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FF331" w14:textId="621F3173" w:rsidR="00764D6A" w:rsidRPr="00A74C8C" w:rsidRDefault="004C4099" w:rsidP="00A74C8C">
      <w:pPr>
        <w:pStyle w:val="Heading1"/>
      </w:pPr>
      <w:r w:rsidRPr="00A74C8C">
        <w:t>Annual report</w:t>
      </w:r>
      <w:r w:rsidR="00551722" w:rsidRPr="00A74C8C">
        <w:t xml:space="preserve"> 2019</w:t>
      </w:r>
      <w:r w:rsidR="00301E5F">
        <w:t>–</w:t>
      </w:r>
      <w:r w:rsidR="00551722" w:rsidRPr="00A74C8C">
        <w:t>20</w:t>
      </w:r>
    </w:p>
    <w:p w14:paraId="01F17FB0" w14:textId="05A2A0EC" w:rsidR="00764D6A" w:rsidRDefault="008A2C92">
      <w:pPr>
        <w:pStyle w:val="AuthorOrganisationAffiliation"/>
        <w:tabs>
          <w:tab w:val="left" w:pos="7995"/>
        </w:tabs>
      </w:pPr>
      <w:proofErr w:type="spellStart"/>
      <w:r w:rsidRPr="008A2C92">
        <w:rPr>
          <w:b/>
          <w:sz w:val="28"/>
          <w:szCs w:val="28"/>
          <w:lang w:val="es-ES"/>
        </w:rPr>
        <w:t>Interim</w:t>
      </w:r>
      <w:proofErr w:type="spellEnd"/>
      <w:r w:rsidRPr="008A2C92">
        <w:rPr>
          <w:b/>
          <w:sz w:val="28"/>
          <w:szCs w:val="28"/>
          <w:lang w:val="es-ES"/>
        </w:rPr>
        <w:t xml:space="preserve"> Inspector-General of </w:t>
      </w:r>
      <w:bookmarkStart w:id="0" w:name="_GoBack"/>
      <w:bookmarkEnd w:id="0"/>
      <w:r w:rsidRPr="008A2C92">
        <w:rPr>
          <w:b/>
          <w:sz w:val="28"/>
          <w:szCs w:val="28"/>
          <w:lang w:val="es-ES"/>
        </w:rPr>
        <w:t>Murray–Darling Basin Water Resources</w:t>
      </w:r>
    </w:p>
    <w:p w14:paraId="28BC3118" w14:textId="77777777" w:rsidR="00764D6A" w:rsidRDefault="00145959">
      <w:pPr>
        <w:pStyle w:val="Picture"/>
      </w:pPr>
      <w:r w:rsidRPr="00145959">
        <w:drawing>
          <wp:inline distT="0" distB="0" distL="0" distR="0" wp14:anchorId="09393415" wp14:editId="5238197F">
            <wp:extent cx="5759450" cy="5550727"/>
            <wp:effectExtent l="0" t="0" r="0" b="0"/>
            <wp:docPr id="10" name="Picture 10" descr="Image shows a map of Australia and the Murray–Darling Basin region, which covers parts of southern Queensland, central New South Wales, the Australian Capital Territory, northern Victoria and easter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0005\AppData\Local\Microsoft\Windows\INetCache\Content.Outlook\J9O1ZDPP\DA4233_0120_MDB maps_MDB blac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5550727"/>
                    </a:xfrm>
                    <a:prstGeom prst="rect">
                      <a:avLst/>
                    </a:prstGeom>
                    <a:noFill/>
                    <a:ln>
                      <a:noFill/>
                    </a:ln>
                  </pic:spPr>
                </pic:pic>
              </a:graphicData>
            </a:graphic>
          </wp:inline>
        </w:drawing>
      </w:r>
    </w:p>
    <w:p w14:paraId="56B43B5D" w14:textId="4B042DD7" w:rsidR="00764D6A" w:rsidRDefault="00E91D72">
      <w:pPr>
        <w:pStyle w:val="Normalsmall"/>
      </w:pPr>
      <w:r>
        <w:br w:type="page"/>
      </w:r>
      <w:r>
        <w:lastRenderedPageBreak/>
        <w:t>© Commonwealth of Australia 20</w:t>
      </w:r>
      <w:r w:rsidR="001C6B77">
        <w:t>20</w:t>
      </w:r>
    </w:p>
    <w:p w14:paraId="5B5640DD" w14:textId="77777777" w:rsidR="00764D6A" w:rsidRDefault="00E91D72">
      <w:pPr>
        <w:pStyle w:val="Normalsmall"/>
        <w:rPr>
          <w:rStyle w:val="Strong"/>
        </w:rPr>
      </w:pPr>
      <w:r>
        <w:rPr>
          <w:rStyle w:val="Strong"/>
        </w:rPr>
        <w:t>Ownership of intellectual property rights</w:t>
      </w:r>
    </w:p>
    <w:p w14:paraId="1703559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5F6A278" w14:textId="77777777" w:rsidR="00764D6A" w:rsidRDefault="00E91D72">
      <w:pPr>
        <w:pStyle w:val="Normalsmall"/>
        <w:rPr>
          <w:rStyle w:val="Strong"/>
        </w:rPr>
      </w:pPr>
      <w:r>
        <w:rPr>
          <w:rStyle w:val="Strong"/>
        </w:rPr>
        <w:t>Creative Commons licence</w:t>
      </w:r>
    </w:p>
    <w:p w14:paraId="11C3CD08"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F9D7411" w14:textId="77777777" w:rsidR="00764D6A" w:rsidRDefault="00E91D72">
      <w:pPr>
        <w:pStyle w:val="Normalsmall"/>
      </w:pPr>
      <w:r>
        <w:t xml:space="preserve">Inquiries about the licence and any use of this document should be emailed to </w:t>
      </w:r>
      <w:hyperlink r:id="rId13" w:history="1">
        <w:r>
          <w:rPr>
            <w:rStyle w:val="Hyperlink"/>
          </w:rPr>
          <w:t>copyright@agriculture.gov.au</w:t>
        </w:r>
      </w:hyperlink>
      <w:r>
        <w:t>.</w:t>
      </w:r>
    </w:p>
    <w:p w14:paraId="767A6094" w14:textId="77777777" w:rsidR="00764D6A" w:rsidRDefault="00E91D72">
      <w:pPr>
        <w:pStyle w:val="Normalsmall"/>
      </w:pPr>
      <w:r>
        <w:rPr>
          <w:noProof/>
          <w:lang w:eastAsia="en-AU"/>
        </w:rPr>
        <w:drawing>
          <wp:inline distT="0" distB="0" distL="0" distR="0" wp14:anchorId="1219A6AB" wp14:editId="445C27FD">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FD7F4A4" w14:textId="77777777" w:rsidR="00764D6A" w:rsidRDefault="00E91D72">
      <w:pPr>
        <w:pStyle w:val="Normalsmall"/>
        <w:rPr>
          <w:rStyle w:val="Strong"/>
        </w:rPr>
      </w:pPr>
      <w:r>
        <w:rPr>
          <w:rStyle w:val="Strong"/>
        </w:rPr>
        <w:t>Cataloguing data</w:t>
      </w:r>
    </w:p>
    <w:p w14:paraId="2AD1208E" w14:textId="4D84966B" w:rsidR="00764D6A" w:rsidRDefault="00E91D72">
      <w:pPr>
        <w:pStyle w:val="Normalsmall"/>
      </w:pPr>
      <w:r>
        <w:t xml:space="preserve">This publication (and any material sourced from it) should be attributed as: </w:t>
      </w:r>
      <w:r w:rsidR="00551722" w:rsidRPr="001C6B77">
        <w:t>Interim Inspector-General of Murray–Darling Basin Water Resources</w:t>
      </w:r>
      <w:r w:rsidR="00551722" w:rsidRPr="004A2745" w:rsidDel="00551722">
        <w:t xml:space="preserve"> </w:t>
      </w:r>
      <w:r w:rsidRPr="004A2745">
        <w:t xml:space="preserve">, </w:t>
      </w:r>
      <w:r w:rsidR="00551722">
        <w:rPr>
          <w:i/>
        </w:rPr>
        <w:t xml:space="preserve">Annual </w:t>
      </w:r>
      <w:r w:rsidR="00862D51">
        <w:rPr>
          <w:i/>
        </w:rPr>
        <w:t>r</w:t>
      </w:r>
      <w:r w:rsidR="00551722">
        <w:rPr>
          <w:i/>
        </w:rPr>
        <w:t>eport 2019</w:t>
      </w:r>
      <w:r w:rsidR="00862D51">
        <w:rPr>
          <w:i/>
        </w:rPr>
        <w:t>–</w:t>
      </w:r>
      <w:r w:rsidR="00551722">
        <w:rPr>
          <w:i/>
        </w:rPr>
        <w:t>20</w:t>
      </w:r>
      <w:r>
        <w:t xml:space="preserve">, </w:t>
      </w:r>
      <w:r w:rsidR="001C6B77" w:rsidRPr="001C6B77">
        <w:t>Interim Inspector-General of Murray–Darling Basin Water Resources</w:t>
      </w:r>
      <w:r>
        <w:t xml:space="preserve">, Canberra, </w:t>
      </w:r>
      <w:r w:rsidR="00551722">
        <w:t>July</w:t>
      </w:r>
      <w:r>
        <w:t>. CC BY 4.0.</w:t>
      </w:r>
    </w:p>
    <w:p w14:paraId="33DAAD6C" w14:textId="728B57DE" w:rsidR="00764D6A" w:rsidRPr="004A2745" w:rsidRDefault="00E91D72">
      <w:pPr>
        <w:pStyle w:val="Normalsmall"/>
        <w:rPr>
          <w:rFonts w:cs="Calibri"/>
          <w:sz w:val="22"/>
          <w:szCs w:val="22"/>
        </w:rPr>
      </w:pPr>
      <w:r w:rsidRPr="004A2745">
        <w:t xml:space="preserve">ISBN </w:t>
      </w:r>
      <w:r w:rsidR="004E45CC">
        <w:t>978-1-76003-306-4</w:t>
      </w:r>
    </w:p>
    <w:p w14:paraId="673BC6CC" w14:textId="27D3E13C" w:rsidR="00764D6A" w:rsidRDefault="00E91D72">
      <w:pPr>
        <w:pStyle w:val="Normalsmall"/>
      </w:pPr>
      <w:r>
        <w:t xml:space="preserve">This publication is available at </w:t>
      </w:r>
      <w:hyperlink r:id="rId15" w:history="1">
        <w:r w:rsidR="00A44709">
          <w:rPr>
            <w:rStyle w:val="Hyperlink"/>
          </w:rPr>
          <w:t>igmdb.gov.au/reviews</w:t>
        </w:r>
      </w:hyperlink>
      <w:r>
        <w:t>.</w:t>
      </w:r>
    </w:p>
    <w:p w14:paraId="7B4673A5" w14:textId="77777777" w:rsidR="001C6B77" w:rsidRDefault="001C6B77">
      <w:pPr>
        <w:pStyle w:val="Normalsmall"/>
        <w:spacing w:after="0"/>
      </w:pPr>
      <w:r w:rsidRPr="001C6B77">
        <w:t>Interim Inspector-General of Murray–Darling Basin Water Resources</w:t>
      </w:r>
    </w:p>
    <w:p w14:paraId="58CF8497" w14:textId="5F55CBD6" w:rsidR="00764D6A" w:rsidRDefault="00E91D72">
      <w:pPr>
        <w:pStyle w:val="Normalsmall"/>
        <w:spacing w:after="0"/>
      </w:pPr>
      <w:r>
        <w:t>Department of Agriculture</w:t>
      </w:r>
      <w:r w:rsidR="00BA4E38">
        <w:t>, Water and the Environment</w:t>
      </w:r>
    </w:p>
    <w:p w14:paraId="2C1E743E" w14:textId="77777777" w:rsidR="00764D6A" w:rsidRDefault="00E91D72">
      <w:pPr>
        <w:pStyle w:val="Normalsmall"/>
        <w:spacing w:after="0"/>
      </w:pPr>
      <w:r>
        <w:t>GPO Box 858 Canberra ACT 2601</w:t>
      </w:r>
    </w:p>
    <w:p w14:paraId="275E2AC5" w14:textId="77777777" w:rsidR="00764D6A" w:rsidRDefault="00E91D72">
      <w:pPr>
        <w:pStyle w:val="Normalsmall"/>
        <w:spacing w:after="0"/>
      </w:pPr>
      <w:r>
        <w:t>Telephone 1800 900 090</w:t>
      </w:r>
    </w:p>
    <w:p w14:paraId="629B7C8A" w14:textId="2AADDC94" w:rsidR="00764D6A" w:rsidRDefault="00E91D72">
      <w:pPr>
        <w:pStyle w:val="Normalsmall"/>
      </w:pPr>
      <w:r>
        <w:t xml:space="preserve">Web </w:t>
      </w:r>
      <w:r w:rsidR="009562FE">
        <w:rPr>
          <w:rStyle w:val="Hyperlink"/>
        </w:rPr>
        <w:t>igmdb.gov.au</w:t>
      </w:r>
    </w:p>
    <w:p w14:paraId="0205A416" w14:textId="02A4E27D" w:rsidR="00764D6A" w:rsidRDefault="00E91D72">
      <w:pPr>
        <w:pStyle w:val="Normalsmall"/>
      </w:pPr>
      <w:r>
        <w:t xml:space="preserve">The </w:t>
      </w:r>
      <w:r w:rsidR="001C6B77">
        <w:t>Interim</w:t>
      </w:r>
      <w:r w:rsidR="001C6B77" w:rsidRPr="001C6B77">
        <w:t xml:space="preserve"> Inspector-General of Murray–Darling Basin Water Resources</w:t>
      </w:r>
      <w:r w:rsidR="008D4AB0">
        <w:t>,</w:t>
      </w:r>
      <w:r w:rsidR="001C6B77">
        <w:t xml:space="preserve"> acting on behalf of the </w:t>
      </w:r>
      <w:r>
        <w:t xml:space="preserve">Australian Government </w:t>
      </w:r>
      <w:r w:rsidR="008D4AB0">
        <w:t xml:space="preserve">, </w:t>
      </w:r>
      <w:r>
        <w:t xml:space="preserve">has exercised due care and skill in preparing and compiling the information and data in this publication. Notwithstanding, the </w:t>
      </w:r>
      <w:r w:rsidR="00532033">
        <w:t xml:space="preserve">Office of the Inspector-General of </w:t>
      </w:r>
      <w:r w:rsidR="00532033" w:rsidRPr="001C6B77">
        <w:t>Murray–Darling Basin Water Resources</w:t>
      </w:r>
      <w:r w:rsidR="00532033">
        <w:t>,</w:t>
      </w:r>
      <w:r>
        <w:t xml:space="preserv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D1ABDF"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0BB6BDF" w14:textId="009C564B" w:rsidR="00764D6A" w:rsidRDefault="00E91D72">
          <w:pPr>
            <w:pStyle w:val="TOCHeading"/>
          </w:pPr>
          <w:r>
            <w:t>Contents</w:t>
          </w:r>
        </w:p>
        <w:p w14:paraId="4200E307" w14:textId="77777777" w:rsidR="00862D51"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5205829" w:history="1">
            <w:r w:rsidR="00862D51" w:rsidRPr="00660F4D">
              <w:rPr>
                <w:rStyle w:val="Hyperlink"/>
              </w:rPr>
              <w:t>Inspector-General of Murray–Darling Basin Water Resources</w:t>
            </w:r>
            <w:r w:rsidR="00862D51">
              <w:rPr>
                <w:webHidden/>
              </w:rPr>
              <w:tab/>
            </w:r>
            <w:r w:rsidR="00862D51">
              <w:rPr>
                <w:webHidden/>
              </w:rPr>
              <w:fldChar w:fldCharType="begin"/>
            </w:r>
            <w:r w:rsidR="00862D51">
              <w:rPr>
                <w:webHidden/>
              </w:rPr>
              <w:instrText xml:space="preserve"> PAGEREF _Toc45205829 \h </w:instrText>
            </w:r>
            <w:r w:rsidR="00862D51">
              <w:rPr>
                <w:webHidden/>
              </w:rPr>
            </w:r>
            <w:r w:rsidR="00862D51">
              <w:rPr>
                <w:webHidden/>
              </w:rPr>
              <w:fldChar w:fldCharType="separate"/>
            </w:r>
            <w:r w:rsidR="00074229">
              <w:rPr>
                <w:webHidden/>
              </w:rPr>
              <w:t>1</w:t>
            </w:r>
            <w:r w:rsidR="00862D51">
              <w:rPr>
                <w:webHidden/>
              </w:rPr>
              <w:fldChar w:fldCharType="end"/>
            </w:r>
          </w:hyperlink>
        </w:p>
        <w:p w14:paraId="37125896" w14:textId="77777777" w:rsidR="00862D51" w:rsidRDefault="00143C1D">
          <w:pPr>
            <w:pStyle w:val="TOC2"/>
            <w:rPr>
              <w:rFonts w:asciiTheme="minorHAnsi" w:eastAsiaTheme="minorEastAsia" w:hAnsiTheme="minorHAnsi"/>
              <w:lang w:eastAsia="en-AU"/>
            </w:rPr>
          </w:pPr>
          <w:hyperlink w:anchor="_Toc45205830" w:history="1">
            <w:r w:rsidR="00862D51" w:rsidRPr="00660F4D">
              <w:rPr>
                <w:rStyle w:val="Hyperlink"/>
              </w:rPr>
              <w:t>Appointment of Interim Inspector-General</w:t>
            </w:r>
            <w:r w:rsidR="00862D51">
              <w:rPr>
                <w:webHidden/>
              </w:rPr>
              <w:tab/>
            </w:r>
            <w:r w:rsidR="00862D51">
              <w:rPr>
                <w:webHidden/>
              </w:rPr>
              <w:fldChar w:fldCharType="begin"/>
            </w:r>
            <w:r w:rsidR="00862D51">
              <w:rPr>
                <w:webHidden/>
              </w:rPr>
              <w:instrText xml:space="preserve"> PAGEREF _Toc45205830 \h </w:instrText>
            </w:r>
            <w:r w:rsidR="00862D51">
              <w:rPr>
                <w:webHidden/>
              </w:rPr>
            </w:r>
            <w:r w:rsidR="00862D51">
              <w:rPr>
                <w:webHidden/>
              </w:rPr>
              <w:fldChar w:fldCharType="separate"/>
            </w:r>
            <w:r w:rsidR="00074229">
              <w:rPr>
                <w:webHidden/>
              </w:rPr>
              <w:t>1</w:t>
            </w:r>
            <w:r w:rsidR="00862D51">
              <w:rPr>
                <w:webHidden/>
              </w:rPr>
              <w:fldChar w:fldCharType="end"/>
            </w:r>
          </w:hyperlink>
        </w:p>
        <w:p w14:paraId="55DD528D" w14:textId="77777777" w:rsidR="00862D51" w:rsidRDefault="00143C1D">
          <w:pPr>
            <w:pStyle w:val="TOC2"/>
            <w:rPr>
              <w:rFonts w:asciiTheme="minorHAnsi" w:eastAsiaTheme="minorEastAsia" w:hAnsiTheme="minorHAnsi"/>
              <w:lang w:eastAsia="en-AU"/>
            </w:rPr>
          </w:pPr>
          <w:hyperlink w:anchor="_Toc45205831" w:history="1">
            <w:r w:rsidR="00862D51" w:rsidRPr="00660F4D">
              <w:rPr>
                <w:rStyle w:val="Hyperlink"/>
              </w:rPr>
              <w:t>Statutory appointment</w:t>
            </w:r>
            <w:r w:rsidR="00862D51">
              <w:rPr>
                <w:webHidden/>
              </w:rPr>
              <w:tab/>
            </w:r>
            <w:r w:rsidR="00862D51">
              <w:rPr>
                <w:webHidden/>
              </w:rPr>
              <w:fldChar w:fldCharType="begin"/>
            </w:r>
            <w:r w:rsidR="00862D51">
              <w:rPr>
                <w:webHidden/>
              </w:rPr>
              <w:instrText xml:space="preserve"> PAGEREF _Toc45205831 \h </w:instrText>
            </w:r>
            <w:r w:rsidR="00862D51">
              <w:rPr>
                <w:webHidden/>
              </w:rPr>
            </w:r>
            <w:r w:rsidR="00862D51">
              <w:rPr>
                <w:webHidden/>
              </w:rPr>
              <w:fldChar w:fldCharType="separate"/>
            </w:r>
            <w:r w:rsidR="00074229">
              <w:rPr>
                <w:webHidden/>
              </w:rPr>
              <w:t>1</w:t>
            </w:r>
            <w:r w:rsidR="00862D51">
              <w:rPr>
                <w:webHidden/>
              </w:rPr>
              <w:fldChar w:fldCharType="end"/>
            </w:r>
          </w:hyperlink>
        </w:p>
        <w:p w14:paraId="26B4BFD2" w14:textId="77777777" w:rsidR="00862D51" w:rsidRDefault="00143C1D">
          <w:pPr>
            <w:pStyle w:val="TOC2"/>
            <w:rPr>
              <w:rFonts w:asciiTheme="minorHAnsi" w:eastAsiaTheme="minorEastAsia" w:hAnsiTheme="minorHAnsi"/>
              <w:lang w:eastAsia="en-AU"/>
            </w:rPr>
          </w:pPr>
          <w:hyperlink w:anchor="_Toc45205832" w:history="1">
            <w:r w:rsidR="00862D51" w:rsidRPr="00660F4D">
              <w:rPr>
                <w:rStyle w:val="Hyperlink"/>
              </w:rPr>
              <w:t>The Office of the Inspector-General</w:t>
            </w:r>
            <w:r w:rsidR="00862D51">
              <w:rPr>
                <w:webHidden/>
              </w:rPr>
              <w:tab/>
            </w:r>
            <w:r w:rsidR="00862D51">
              <w:rPr>
                <w:webHidden/>
              </w:rPr>
              <w:fldChar w:fldCharType="begin"/>
            </w:r>
            <w:r w:rsidR="00862D51">
              <w:rPr>
                <w:webHidden/>
              </w:rPr>
              <w:instrText xml:space="preserve"> PAGEREF _Toc45205832 \h </w:instrText>
            </w:r>
            <w:r w:rsidR="00862D51">
              <w:rPr>
                <w:webHidden/>
              </w:rPr>
            </w:r>
            <w:r w:rsidR="00862D51">
              <w:rPr>
                <w:webHidden/>
              </w:rPr>
              <w:fldChar w:fldCharType="separate"/>
            </w:r>
            <w:r w:rsidR="00074229">
              <w:rPr>
                <w:webHidden/>
              </w:rPr>
              <w:t>1</w:t>
            </w:r>
            <w:r w:rsidR="00862D51">
              <w:rPr>
                <w:webHidden/>
              </w:rPr>
              <w:fldChar w:fldCharType="end"/>
            </w:r>
          </w:hyperlink>
        </w:p>
        <w:p w14:paraId="7F2F9189" w14:textId="77777777" w:rsidR="00862D51" w:rsidRDefault="00143C1D">
          <w:pPr>
            <w:pStyle w:val="TOC2"/>
            <w:rPr>
              <w:rFonts w:asciiTheme="minorHAnsi" w:eastAsiaTheme="minorEastAsia" w:hAnsiTheme="minorHAnsi"/>
              <w:lang w:eastAsia="en-AU"/>
            </w:rPr>
          </w:pPr>
          <w:hyperlink w:anchor="_Toc45205833" w:history="1">
            <w:r w:rsidR="00862D51" w:rsidRPr="00660F4D">
              <w:rPr>
                <w:rStyle w:val="Hyperlink"/>
              </w:rPr>
              <w:t>Engagement</w:t>
            </w:r>
            <w:r w:rsidR="00862D51">
              <w:rPr>
                <w:webHidden/>
              </w:rPr>
              <w:tab/>
            </w:r>
            <w:r w:rsidR="00862D51">
              <w:rPr>
                <w:webHidden/>
              </w:rPr>
              <w:fldChar w:fldCharType="begin"/>
            </w:r>
            <w:r w:rsidR="00862D51">
              <w:rPr>
                <w:webHidden/>
              </w:rPr>
              <w:instrText xml:space="preserve"> PAGEREF _Toc45205833 \h </w:instrText>
            </w:r>
            <w:r w:rsidR="00862D51">
              <w:rPr>
                <w:webHidden/>
              </w:rPr>
            </w:r>
            <w:r w:rsidR="00862D51">
              <w:rPr>
                <w:webHidden/>
              </w:rPr>
              <w:fldChar w:fldCharType="separate"/>
            </w:r>
            <w:r w:rsidR="00074229">
              <w:rPr>
                <w:webHidden/>
              </w:rPr>
              <w:t>2</w:t>
            </w:r>
            <w:r w:rsidR="00862D51">
              <w:rPr>
                <w:webHidden/>
              </w:rPr>
              <w:fldChar w:fldCharType="end"/>
            </w:r>
          </w:hyperlink>
        </w:p>
        <w:p w14:paraId="5EEF2217" w14:textId="77777777" w:rsidR="00862D51" w:rsidRDefault="00143C1D">
          <w:pPr>
            <w:pStyle w:val="TOC2"/>
            <w:rPr>
              <w:rFonts w:asciiTheme="minorHAnsi" w:eastAsiaTheme="minorEastAsia" w:hAnsiTheme="minorHAnsi"/>
              <w:lang w:eastAsia="en-AU"/>
            </w:rPr>
          </w:pPr>
          <w:hyperlink w:anchor="_Toc45205834" w:history="1">
            <w:r w:rsidR="00862D51" w:rsidRPr="00660F4D">
              <w:rPr>
                <w:rStyle w:val="Hyperlink"/>
              </w:rPr>
              <w:t>Referrals</w:t>
            </w:r>
            <w:r w:rsidR="00862D51">
              <w:rPr>
                <w:webHidden/>
              </w:rPr>
              <w:tab/>
            </w:r>
            <w:r w:rsidR="00862D51">
              <w:rPr>
                <w:webHidden/>
              </w:rPr>
              <w:fldChar w:fldCharType="begin"/>
            </w:r>
            <w:r w:rsidR="00862D51">
              <w:rPr>
                <w:webHidden/>
              </w:rPr>
              <w:instrText xml:space="preserve"> PAGEREF _Toc45205834 \h </w:instrText>
            </w:r>
            <w:r w:rsidR="00862D51">
              <w:rPr>
                <w:webHidden/>
              </w:rPr>
            </w:r>
            <w:r w:rsidR="00862D51">
              <w:rPr>
                <w:webHidden/>
              </w:rPr>
              <w:fldChar w:fldCharType="separate"/>
            </w:r>
            <w:r w:rsidR="00074229">
              <w:rPr>
                <w:webHidden/>
              </w:rPr>
              <w:t>3</w:t>
            </w:r>
            <w:r w:rsidR="00862D51">
              <w:rPr>
                <w:webHidden/>
              </w:rPr>
              <w:fldChar w:fldCharType="end"/>
            </w:r>
          </w:hyperlink>
        </w:p>
        <w:p w14:paraId="16FBA6CC" w14:textId="77777777" w:rsidR="00862D51" w:rsidRDefault="00143C1D">
          <w:pPr>
            <w:pStyle w:val="TOC2"/>
            <w:rPr>
              <w:rFonts w:asciiTheme="minorHAnsi" w:eastAsiaTheme="minorEastAsia" w:hAnsiTheme="minorHAnsi"/>
              <w:lang w:eastAsia="en-AU"/>
            </w:rPr>
          </w:pPr>
          <w:hyperlink w:anchor="_Toc45205835" w:history="1">
            <w:r w:rsidR="00862D51" w:rsidRPr="00660F4D">
              <w:rPr>
                <w:rStyle w:val="Hyperlink"/>
              </w:rPr>
              <w:t>Inquiries undertaken</w:t>
            </w:r>
            <w:r w:rsidR="00862D51">
              <w:rPr>
                <w:webHidden/>
              </w:rPr>
              <w:tab/>
            </w:r>
            <w:r w:rsidR="00862D51">
              <w:rPr>
                <w:webHidden/>
              </w:rPr>
              <w:fldChar w:fldCharType="begin"/>
            </w:r>
            <w:r w:rsidR="00862D51">
              <w:rPr>
                <w:webHidden/>
              </w:rPr>
              <w:instrText xml:space="preserve"> PAGEREF _Toc45205835 \h </w:instrText>
            </w:r>
            <w:r w:rsidR="00862D51">
              <w:rPr>
                <w:webHidden/>
              </w:rPr>
            </w:r>
            <w:r w:rsidR="00862D51">
              <w:rPr>
                <w:webHidden/>
              </w:rPr>
              <w:fldChar w:fldCharType="separate"/>
            </w:r>
            <w:r w:rsidR="00074229">
              <w:rPr>
                <w:webHidden/>
              </w:rPr>
              <w:t>4</w:t>
            </w:r>
            <w:r w:rsidR="00862D51">
              <w:rPr>
                <w:webHidden/>
              </w:rPr>
              <w:fldChar w:fldCharType="end"/>
            </w:r>
          </w:hyperlink>
        </w:p>
        <w:p w14:paraId="4F3A9CCD" w14:textId="77777777" w:rsidR="00862D51" w:rsidRDefault="00143C1D">
          <w:pPr>
            <w:pStyle w:val="TOC2"/>
            <w:rPr>
              <w:rFonts w:asciiTheme="minorHAnsi" w:eastAsiaTheme="minorEastAsia" w:hAnsiTheme="minorHAnsi"/>
              <w:lang w:eastAsia="en-AU"/>
            </w:rPr>
          </w:pPr>
          <w:hyperlink w:anchor="_Toc45205836" w:history="1">
            <w:r w:rsidR="00862D51" w:rsidRPr="00660F4D">
              <w:rPr>
                <w:rStyle w:val="Hyperlink"/>
              </w:rPr>
              <w:t>Interim Inspector-General correspondence</w:t>
            </w:r>
            <w:r w:rsidR="00862D51">
              <w:rPr>
                <w:webHidden/>
              </w:rPr>
              <w:tab/>
            </w:r>
            <w:r w:rsidR="00862D51">
              <w:rPr>
                <w:webHidden/>
              </w:rPr>
              <w:fldChar w:fldCharType="begin"/>
            </w:r>
            <w:r w:rsidR="00862D51">
              <w:rPr>
                <w:webHidden/>
              </w:rPr>
              <w:instrText xml:space="preserve"> PAGEREF _Toc45205836 \h </w:instrText>
            </w:r>
            <w:r w:rsidR="00862D51">
              <w:rPr>
                <w:webHidden/>
              </w:rPr>
            </w:r>
            <w:r w:rsidR="00862D51">
              <w:rPr>
                <w:webHidden/>
              </w:rPr>
              <w:fldChar w:fldCharType="separate"/>
            </w:r>
            <w:r w:rsidR="00074229">
              <w:rPr>
                <w:webHidden/>
              </w:rPr>
              <w:t>5</w:t>
            </w:r>
            <w:r w:rsidR="00862D51">
              <w:rPr>
                <w:webHidden/>
              </w:rPr>
              <w:fldChar w:fldCharType="end"/>
            </w:r>
          </w:hyperlink>
        </w:p>
        <w:p w14:paraId="56C0F5A3" w14:textId="54EAE4DE" w:rsidR="00764D6A" w:rsidRDefault="00E91D72">
          <w:r>
            <w:rPr>
              <w:b/>
              <w:noProof/>
            </w:rPr>
            <w:fldChar w:fldCharType="end"/>
          </w:r>
        </w:p>
      </w:sdtContent>
    </w:sdt>
    <w:p w14:paraId="439C56D1" w14:textId="77777777" w:rsidR="00764D6A" w:rsidRDefault="00E91D72">
      <w:pPr>
        <w:pStyle w:val="TOCHeading2"/>
        <w:rPr>
          <w:rStyle w:val="Strong"/>
        </w:rPr>
      </w:pPr>
      <w:r>
        <w:rPr>
          <w:rStyle w:val="Strong"/>
        </w:rPr>
        <w:t>Tables</w:t>
      </w:r>
    </w:p>
    <w:p w14:paraId="2E73751D" w14:textId="77777777" w:rsidR="008B2884" w:rsidRDefault="008B2884">
      <w:pPr>
        <w:pStyle w:val="TableofFigures"/>
        <w:tabs>
          <w:tab w:val="right" w:leader="dot" w:pos="9060"/>
        </w:tabs>
        <w:rPr>
          <w:rFonts w:asciiTheme="minorHAnsi" w:eastAsiaTheme="minorEastAsia" w:hAnsiTheme="minorHAnsi"/>
          <w:noProof/>
          <w:lang w:eastAsia="en-AU"/>
        </w:rPr>
      </w:pPr>
      <w:r>
        <w:fldChar w:fldCharType="begin"/>
      </w:r>
      <w:r>
        <w:instrText xml:space="preserve"> TOC \h \z \c "Table" </w:instrText>
      </w:r>
      <w:r>
        <w:fldChar w:fldCharType="separate"/>
      </w:r>
      <w:hyperlink w:anchor="_Toc45205625" w:history="1">
        <w:r w:rsidRPr="004B76AA">
          <w:rPr>
            <w:rStyle w:val="Hyperlink"/>
            <w:noProof/>
          </w:rPr>
          <w:t>Table 1 IIG correspondence</w:t>
        </w:r>
        <w:r>
          <w:rPr>
            <w:noProof/>
            <w:webHidden/>
          </w:rPr>
          <w:tab/>
        </w:r>
        <w:r>
          <w:rPr>
            <w:noProof/>
            <w:webHidden/>
          </w:rPr>
          <w:fldChar w:fldCharType="begin"/>
        </w:r>
        <w:r>
          <w:rPr>
            <w:noProof/>
            <w:webHidden/>
          </w:rPr>
          <w:instrText xml:space="preserve"> PAGEREF _Toc45205625 \h </w:instrText>
        </w:r>
        <w:r>
          <w:rPr>
            <w:noProof/>
            <w:webHidden/>
          </w:rPr>
        </w:r>
        <w:r>
          <w:rPr>
            <w:noProof/>
            <w:webHidden/>
          </w:rPr>
          <w:fldChar w:fldCharType="separate"/>
        </w:r>
        <w:r w:rsidR="00074229">
          <w:rPr>
            <w:noProof/>
            <w:webHidden/>
          </w:rPr>
          <w:t>6</w:t>
        </w:r>
        <w:r>
          <w:rPr>
            <w:noProof/>
            <w:webHidden/>
          </w:rPr>
          <w:fldChar w:fldCharType="end"/>
        </w:r>
      </w:hyperlink>
    </w:p>
    <w:p w14:paraId="7A93F13E" w14:textId="2ACE5FC6" w:rsidR="008B2884" w:rsidRDefault="008B2884">
      <w:pPr>
        <w:spacing w:before="120" w:after="120"/>
      </w:pPr>
      <w:r>
        <w:fldChar w:fldCharType="end"/>
      </w:r>
    </w:p>
    <w:p w14:paraId="280E7A8F" w14:textId="77777777" w:rsidR="00764D6A" w:rsidRDefault="00E91D72">
      <w:pPr>
        <w:pStyle w:val="TOCHeading2"/>
        <w:rPr>
          <w:rStyle w:val="Strong"/>
        </w:rPr>
      </w:pPr>
      <w:r>
        <w:rPr>
          <w:rStyle w:val="Strong"/>
        </w:rPr>
        <w:t>Figures</w:t>
      </w:r>
    </w:p>
    <w:p w14:paraId="2B3D09AF" w14:textId="77777777" w:rsidR="00862D51" w:rsidRDefault="008B2884">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45205819" w:history="1">
        <w:r w:rsidR="00862D51" w:rsidRPr="00DE16F6">
          <w:rPr>
            <w:rStyle w:val="Hyperlink"/>
            <w:noProof/>
          </w:rPr>
          <w:t>Figure 1 Engagement</w:t>
        </w:r>
        <w:r w:rsidR="00862D51">
          <w:rPr>
            <w:noProof/>
            <w:webHidden/>
          </w:rPr>
          <w:tab/>
        </w:r>
        <w:r w:rsidR="00862D51">
          <w:rPr>
            <w:noProof/>
            <w:webHidden/>
          </w:rPr>
          <w:fldChar w:fldCharType="begin"/>
        </w:r>
        <w:r w:rsidR="00862D51">
          <w:rPr>
            <w:noProof/>
            <w:webHidden/>
          </w:rPr>
          <w:instrText xml:space="preserve"> PAGEREF _Toc45205819 \h </w:instrText>
        </w:r>
        <w:r w:rsidR="00862D51">
          <w:rPr>
            <w:noProof/>
            <w:webHidden/>
          </w:rPr>
        </w:r>
        <w:r w:rsidR="00862D51">
          <w:rPr>
            <w:noProof/>
            <w:webHidden/>
          </w:rPr>
          <w:fldChar w:fldCharType="separate"/>
        </w:r>
        <w:r w:rsidR="00074229">
          <w:rPr>
            <w:noProof/>
            <w:webHidden/>
          </w:rPr>
          <w:t>2</w:t>
        </w:r>
        <w:r w:rsidR="00862D51">
          <w:rPr>
            <w:noProof/>
            <w:webHidden/>
          </w:rPr>
          <w:fldChar w:fldCharType="end"/>
        </w:r>
      </w:hyperlink>
    </w:p>
    <w:p w14:paraId="5FA93B31" w14:textId="77777777" w:rsidR="00862D51" w:rsidRDefault="00143C1D">
      <w:pPr>
        <w:pStyle w:val="TableofFigures"/>
        <w:tabs>
          <w:tab w:val="right" w:leader="dot" w:pos="9060"/>
        </w:tabs>
        <w:rPr>
          <w:rFonts w:asciiTheme="minorHAnsi" w:eastAsiaTheme="minorEastAsia" w:hAnsiTheme="minorHAnsi"/>
          <w:noProof/>
          <w:lang w:eastAsia="en-AU"/>
        </w:rPr>
      </w:pPr>
      <w:hyperlink w:anchor="_Toc45205820" w:history="1">
        <w:r w:rsidR="00862D51" w:rsidRPr="00DE16F6">
          <w:rPr>
            <w:rStyle w:val="Hyperlink"/>
            <w:noProof/>
          </w:rPr>
          <w:t>Figure 2 Engagement (excluding water sharing inquiry)</w:t>
        </w:r>
        <w:r w:rsidR="00862D51">
          <w:rPr>
            <w:noProof/>
            <w:webHidden/>
          </w:rPr>
          <w:tab/>
        </w:r>
        <w:r w:rsidR="00862D51">
          <w:rPr>
            <w:noProof/>
            <w:webHidden/>
          </w:rPr>
          <w:fldChar w:fldCharType="begin"/>
        </w:r>
        <w:r w:rsidR="00862D51">
          <w:rPr>
            <w:noProof/>
            <w:webHidden/>
          </w:rPr>
          <w:instrText xml:space="preserve"> PAGEREF _Toc45205820 \h </w:instrText>
        </w:r>
        <w:r w:rsidR="00862D51">
          <w:rPr>
            <w:noProof/>
            <w:webHidden/>
          </w:rPr>
        </w:r>
        <w:r w:rsidR="00862D51">
          <w:rPr>
            <w:noProof/>
            <w:webHidden/>
          </w:rPr>
          <w:fldChar w:fldCharType="separate"/>
        </w:r>
        <w:r w:rsidR="00074229">
          <w:rPr>
            <w:noProof/>
            <w:webHidden/>
          </w:rPr>
          <w:t>3</w:t>
        </w:r>
        <w:r w:rsidR="00862D51">
          <w:rPr>
            <w:noProof/>
            <w:webHidden/>
          </w:rPr>
          <w:fldChar w:fldCharType="end"/>
        </w:r>
      </w:hyperlink>
    </w:p>
    <w:p w14:paraId="7A509E9D" w14:textId="77777777" w:rsidR="00862D51" w:rsidRDefault="00143C1D">
      <w:pPr>
        <w:pStyle w:val="TableofFigures"/>
        <w:tabs>
          <w:tab w:val="right" w:leader="dot" w:pos="9060"/>
        </w:tabs>
        <w:rPr>
          <w:rFonts w:asciiTheme="minorHAnsi" w:eastAsiaTheme="minorEastAsia" w:hAnsiTheme="minorHAnsi"/>
          <w:noProof/>
          <w:lang w:eastAsia="en-AU"/>
        </w:rPr>
      </w:pPr>
      <w:hyperlink w:anchor="_Toc45205821" w:history="1">
        <w:r w:rsidR="00862D51" w:rsidRPr="00DE16F6">
          <w:rPr>
            <w:rStyle w:val="Hyperlink"/>
            <w:noProof/>
          </w:rPr>
          <w:t>Figure 3 Referral categories</w:t>
        </w:r>
        <w:r w:rsidR="00862D51">
          <w:rPr>
            <w:noProof/>
            <w:webHidden/>
          </w:rPr>
          <w:tab/>
        </w:r>
        <w:r w:rsidR="00862D51">
          <w:rPr>
            <w:noProof/>
            <w:webHidden/>
          </w:rPr>
          <w:fldChar w:fldCharType="begin"/>
        </w:r>
        <w:r w:rsidR="00862D51">
          <w:rPr>
            <w:noProof/>
            <w:webHidden/>
          </w:rPr>
          <w:instrText xml:space="preserve"> PAGEREF _Toc45205821 \h </w:instrText>
        </w:r>
        <w:r w:rsidR="00862D51">
          <w:rPr>
            <w:noProof/>
            <w:webHidden/>
          </w:rPr>
        </w:r>
        <w:r w:rsidR="00862D51">
          <w:rPr>
            <w:noProof/>
            <w:webHidden/>
          </w:rPr>
          <w:fldChar w:fldCharType="separate"/>
        </w:r>
        <w:r w:rsidR="00074229">
          <w:rPr>
            <w:noProof/>
            <w:webHidden/>
          </w:rPr>
          <w:t>3</w:t>
        </w:r>
        <w:r w:rsidR="00862D51">
          <w:rPr>
            <w:noProof/>
            <w:webHidden/>
          </w:rPr>
          <w:fldChar w:fldCharType="end"/>
        </w:r>
      </w:hyperlink>
    </w:p>
    <w:p w14:paraId="01E1E8BF" w14:textId="77777777" w:rsidR="00862D51" w:rsidRDefault="00143C1D">
      <w:pPr>
        <w:pStyle w:val="TableofFigures"/>
        <w:tabs>
          <w:tab w:val="right" w:leader="dot" w:pos="9060"/>
        </w:tabs>
        <w:rPr>
          <w:rFonts w:asciiTheme="minorHAnsi" w:eastAsiaTheme="minorEastAsia" w:hAnsiTheme="minorHAnsi"/>
          <w:noProof/>
          <w:lang w:eastAsia="en-AU"/>
        </w:rPr>
      </w:pPr>
      <w:hyperlink w:anchor="_Toc45205822" w:history="1">
        <w:r w:rsidR="00862D51" w:rsidRPr="00DE16F6">
          <w:rPr>
            <w:rStyle w:val="Hyperlink"/>
            <w:noProof/>
          </w:rPr>
          <w:t>Figure 4 Referral location</w:t>
        </w:r>
        <w:r w:rsidR="00862D51">
          <w:rPr>
            <w:noProof/>
            <w:webHidden/>
          </w:rPr>
          <w:tab/>
        </w:r>
        <w:r w:rsidR="00862D51">
          <w:rPr>
            <w:noProof/>
            <w:webHidden/>
          </w:rPr>
          <w:fldChar w:fldCharType="begin"/>
        </w:r>
        <w:r w:rsidR="00862D51">
          <w:rPr>
            <w:noProof/>
            <w:webHidden/>
          </w:rPr>
          <w:instrText xml:space="preserve"> PAGEREF _Toc45205822 \h </w:instrText>
        </w:r>
        <w:r w:rsidR="00862D51">
          <w:rPr>
            <w:noProof/>
            <w:webHidden/>
          </w:rPr>
        </w:r>
        <w:r w:rsidR="00862D51">
          <w:rPr>
            <w:noProof/>
            <w:webHidden/>
          </w:rPr>
          <w:fldChar w:fldCharType="separate"/>
        </w:r>
        <w:r w:rsidR="00074229">
          <w:rPr>
            <w:noProof/>
            <w:webHidden/>
          </w:rPr>
          <w:t>4</w:t>
        </w:r>
        <w:r w:rsidR="00862D51">
          <w:rPr>
            <w:noProof/>
            <w:webHidden/>
          </w:rPr>
          <w:fldChar w:fldCharType="end"/>
        </w:r>
      </w:hyperlink>
    </w:p>
    <w:p w14:paraId="52AA96AA" w14:textId="77777777" w:rsidR="00862D51" w:rsidRDefault="00143C1D">
      <w:pPr>
        <w:pStyle w:val="TableofFigures"/>
        <w:tabs>
          <w:tab w:val="right" w:leader="dot" w:pos="9060"/>
        </w:tabs>
        <w:rPr>
          <w:rFonts w:asciiTheme="minorHAnsi" w:eastAsiaTheme="minorEastAsia" w:hAnsiTheme="minorHAnsi"/>
          <w:noProof/>
          <w:lang w:eastAsia="en-AU"/>
        </w:rPr>
      </w:pPr>
      <w:hyperlink w:anchor="_Toc45205823" w:history="1">
        <w:r w:rsidR="00862D51" w:rsidRPr="00DE16F6">
          <w:rPr>
            <w:rStyle w:val="Hyperlink"/>
            <w:noProof/>
          </w:rPr>
          <w:t>Figure 5 Referral outcomes</w:t>
        </w:r>
        <w:r w:rsidR="00862D51">
          <w:rPr>
            <w:noProof/>
            <w:webHidden/>
          </w:rPr>
          <w:tab/>
        </w:r>
        <w:r w:rsidR="00862D51">
          <w:rPr>
            <w:noProof/>
            <w:webHidden/>
          </w:rPr>
          <w:fldChar w:fldCharType="begin"/>
        </w:r>
        <w:r w:rsidR="00862D51">
          <w:rPr>
            <w:noProof/>
            <w:webHidden/>
          </w:rPr>
          <w:instrText xml:space="preserve"> PAGEREF _Toc45205823 \h </w:instrText>
        </w:r>
        <w:r w:rsidR="00862D51">
          <w:rPr>
            <w:noProof/>
            <w:webHidden/>
          </w:rPr>
        </w:r>
        <w:r w:rsidR="00862D51">
          <w:rPr>
            <w:noProof/>
            <w:webHidden/>
          </w:rPr>
          <w:fldChar w:fldCharType="separate"/>
        </w:r>
        <w:r w:rsidR="00074229">
          <w:rPr>
            <w:noProof/>
            <w:webHidden/>
          </w:rPr>
          <w:t>4</w:t>
        </w:r>
        <w:r w:rsidR="00862D51">
          <w:rPr>
            <w:noProof/>
            <w:webHidden/>
          </w:rPr>
          <w:fldChar w:fldCharType="end"/>
        </w:r>
      </w:hyperlink>
    </w:p>
    <w:p w14:paraId="1B272BDA" w14:textId="6C911780" w:rsidR="00452813" w:rsidRPr="00452813" w:rsidRDefault="008B2884" w:rsidP="00997935">
      <w:pPr>
        <w:sectPr w:rsidR="00452813" w:rsidRPr="00452813" w:rsidSect="00A44709">
          <w:headerReference w:type="default" r:id="rId16"/>
          <w:footerReference w:type="even" r:id="rId17"/>
          <w:footerReference w:type="default" r:id="rId18"/>
          <w:headerReference w:type="first" r:id="rId19"/>
          <w:pgSz w:w="11906" w:h="16838"/>
          <w:pgMar w:top="1418" w:right="1418" w:bottom="1418" w:left="1418" w:header="567" w:footer="284" w:gutter="0"/>
          <w:pgNumType w:fmt="lowerRoman" w:start="1"/>
          <w:cols w:space="708"/>
          <w:titlePg/>
          <w:docGrid w:linePitch="360"/>
        </w:sectPr>
      </w:pPr>
      <w:r>
        <w:fldChar w:fldCharType="end"/>
      </w:r>
    </w:p>
    <w:p w14:paraId="2455616D" w14:textId="2F49573B" w:rsidR="005112A1" w:rsidRPr="000650A6" w:rsidRDefault="005112A1" w:rsidP="000650A6">
      <w:pPr>
        <w:pStyle w:val="Heading2"/>
        <w:numPr>
          <w:ilvl w:val="0"/>
          <w:numId w:val="0"/>
        </w:numPr>
      </w:pPr>
      <w:bookmarkStart w:id="1" w:name="_Toc45205829"/>
      <w:bookmarkStart w:id="2" w:name="_Toc430782150"/>
      <w:r w:rsidRPr="000650A6">
        <w:lastRenderedPageBreak/>
        <w:t>Inspector-General of Murray</w:t>
      </w:r>
      <w:r w:rsidR="00A708C7">
        <w:t>–</w:t>
      </w:r>
      <w:r w:rsidRPr="000650A6">
        <w:t>Darling Basin Water Resources</w:t>
      </w:r>
      <w:bookmarkEnd w:id="1"/>
    </w:p>
    <w:p w14:paraId="7A87641E" w14:textId="18FFB0C3" w:rsidR="005112A1" w:rsidRPr="00D85A6D" w:rsidRDefault="005112A1" w:rsidP="005112A1">
      <w:r>
        <w:t>On 1 August 2019 t</w:t>
      </w:r>
      <w:r w:rsidRPr="00D85A6D">
        <w:t xml:space="preserve">he </w:t>
      </w:r>
      <w:r w:rsidR="000434F1">
        <w:t>Australian G</w:t>
      </w:r>
      <w:r w:rsidRPr="00D85A6D">
        <w:t xml:space="preserve">overnment </w:t>
      </w:r>
      <w:r>
        <w:t xml:space="preserve">announced the newly created position of </w:t>
      </w:r>
      <w:r w:rsidRPr="00D85A6D">
        <w:t>Inspector-General of Murray</w:t>
      </w:r>
      <w:r w:rsidR="00551722">
        <w:t>–</w:t>
      </w:r>
      <w:r w:rsidRPr="00D85A6D">
        <w:t>Darling Basin Water Resources to improve transparency, accountability and community confide</w:t>
      </w:r>
      <w:r>
        <w:t>nce and help deliver the Murray</w:t>
      </w:r>
      <w:r w:rsidR="00551722">
        <w:t>–</w:t>
      </w:r>
      <w:r w:rsidRPr="00D85A6D">
        <w:t>Darling Basin Plan.</w:t>
      </w:r>
    </w:p>
    <w:p w14:paraId="3718C4B7" w14:textId="77777777" w:rsidR="005112A1" w:rsidRPr="001A03A4" w:rsidRDefault="005112A1" w:rsidP="006E06BE">
      <w:pPr>
        <w:pStyle w:val="Heading3"/>
        <w:numPr>
          <w:ilvl w:val="0"/>
          <w:numId w:val="0"/>
        </w:numPr>
        <w:ind w:left="964" w:hanging="964"/>
      </w:pPr>
      <w:bookmarkStart w:id="3" w:name="_Toc45205830"/>
      <w:r>
        <w:t>Appointment of Interim Inspector-General</w:t>
      </w:r>
      <w:bookmarkEnd w:id="3"/>
    </w:p>
    <w:p w14:paraId="4C3F7706" w14:textId="66DFB1FE" w:rsidR="005112A1" w:rsidRPr="001A03A4" w:rsidRDefault="005112A1" w:rsidP="005112A1">
      <w:r w:rsidRPr="001A03A4">
        <w:t xml:space="preserve">The government appointed Mick Keelty AO as Interim Inspector-General </w:t>
      </w:r>
      <w:r>
        <w:t>of Murray</w:t>
      </w:r>
      <w:r w:rsidR="00551722">
        <w:t>–</w:t>
      </w:r>
      <w:r>
        <w:t xml:space="preserve">Darling Basin Water Resources </w:t>
      </w:r>
      <w:r w:rsidRPr="001A03A4">
        <w:t>(I</w:t>
      </w:r>
      <w:r>
        <w:t xml:space="preserve">IG) on </w:t>
      </w:r>
      <w:r w:rsidRPr="00A33BA4">
        <w:t>1 October 20</w:t>
      </w:r>
      <w:r w:rsidR="00551722">
        <w:t>19</w:t>
      </w:r>
      <w:r w:rsidRPr="00A33BA4">
        <w:t xml:space="preserve"> for a period of 12 months</w:t>
      </w:r>
      <w:r w:rsidR="00301E5F">
        <w:t>. This</w:t>
      </w:r>
      <w:r>
        <w:t xml:space="preserve"> was the estimated time to introduce</w:t>
      </w:r>
      <w:r w:rsidRPr="00A33BA4">
        <w:t xml:space="preserve"> new laws under the </w:t>
      </w:r>
      <w:r w:rsidRPr="004A2745">
        <w:rPr>
          <w:i/>
          <w:iCs/>
        </w:rPr>
        <w:t xml:space="preserve">Water Act 2007 </w:t>
      </w:r>
      <w:r>
        <w:t xml:space="preserve">to </w:t>
      </w:r>
      <w:r w:rsidRPr="00A33BA4">
        <w:t>create a</w:t>
      </w:r>
      <w:r w:rsidRPr="001A03A4">
        <w:t xml:space="preserve"> permanent statutory position.</w:t>
      </w:r>
      <w:r>
        <w:t xml:space="preserve"> The appointment of Mr Keelty effectively ended the previous position </w:t>
      </w:r>
      <w:proofErr w:type="gramStart"/>
      <w:r>
        <w:t xml:space="preserve">of </w:t>
      </w:r>
      <w:r w:rsidR="00FC0B86">
        <w:t xml:space="preserve"> </w:t>
      </w:r>
      <w:r>
        <w:t>Northern</w:t>
      </w:r>
      <w:proofErr w:type="gramEnd"/>
      <w:r>
        <w:t xml:space="preserve"> Basin</w:t>
      </w:r>
      <w:r w:rsidR="00FC0B86">
        <w:t xml:space="preserve"> Commissioner</w:t>
      </w:r>
      <w:r w:rsidR="00823140">
        <w:t>.</w:t>
      </w:r>
    </w:p>
    <w:p w14:paraId="39C5F327" w14:textId="542AC726" w:rsidR="005112A1" w:rsidRPr="00D85A6D" w:rsidRDefault="005112A1" w:rsidP="006E06BE">
      <w:pPr>
        <w:pStyle w:val="Heading3"/>
        <w:numPr>
          <w:ilvl w:val="0"/>
          <w:numId w:val="0"/>
        </w:numPr>
        <w:ind w:left="964" w:hanging="964"/>
      </w:pPr>
      <w:bookmarkStart w:id="4" w:name="_Toc45205831"/>
      <w:r w:rsidRPr="00D85A6D">
        <w:t xml:space="preserve">Statutory </w:t>
      </w:r>
      <w:r w:rsidR="00551722">
        <w:t>a</w:t>
      </w:r>
      <w:r w:rsidRPr="00D85A6D">
        <w:t>ppointment</w:t>
      </w:r>
      <w:bookmarkEnd w:id="4"/>
    </w:p>
    <w:p w14:paraId="7A0DEE10" w14:textId="2EBC432D" w:rsidR="005112A1" w:rsidRDefault="005112A1" w:rsidP="005112A1">
      <w:r w:rsidRPr="004C22B7">
        <w:t xml:space="preserve">It is expected </w:t>
      </w:r>
      <w:r w:rsidR="00301E5F">
        <w:t xml:space="preserve">that </w:t>
      </w:r>
      <w:r w:rsidRPr="004C22B7">
        <w:t xml:space="preserve">amendments </w:t>
      </w:r>
      <w:r>
        <w:t xml:space="preserve">to the </w:t>
      </w:r>
      <w:r w:rsidRPr="00FC0B86">
        <w:rPr>
          <w:i/>
          <w:iCs/>
        </w:rPr>
        <w:t>Water Act 2007</w:t>
      </w:r>
      <w:r>
        <w:t xml:space="preserve"> </w:t>
      </w:r>
      <w:r w:rsidRPr="004C22B7">
        <w:t xml:space="preserve">to create the Inspector-General </w:t>
      </w:r>
      <w:r w:rsidR="00387E56">
        <w:t xml:space="preserve">(IG) </w:t>
      </w:r>
      <w:r w:rsidRPr="004C22B7">
        <w:t>role will</w:t>
      </w:r>
      <w:r>
        <w:t xml:space="preserve"> pass through Parliament in 2021. This was initially planned for 2020</w:t>
      </w:r>
      <w:r w:rsidR="00551722">
        <w:t>. H</w:t>
      </w:r>
      <w:r>
        <w:t>owever</w:t>
      </w:r>
      <w:r w:rsidR="00551722">
        <w:t>,</w:t>
      </w:r>
      <w:r>
        <w:t xml:space="preserve"> the process was delayed due to COVID-19. </w:t>
      </w:r>
      <w:r w:rsidRPr="002B7A3A">
        <w:t xml:space="preserve">The </w:t>
      </w:r>
      <w:r w:rsidR="00986331">
        <w:t>g</w:t>
      </w:r>
      <w:r w:rsidRPr="002B7A3A">
        <w:t xml:space="preserve">overnment is seeking to ensure the powers of the </w:t>
      </w:r>
      <w:r w:rsidR="00FC0B86">
        <w:t>IG</w:t>
      </w:r>
      <w:r w:rsidRPr="002B7A3A">
        <w:t xml:space="preserve"> will provide Basin communities with sufficient confidence in water management in the Basin.</w:t>
      </w:r>
      <w:r>
        <w:t xml:space="preserve"> The d</w:t>
      </w:r>
      <w:r w:rsidRPr="002B7A3A">
        <w:t xml:space="preserve">epartment has commenced discussions with the Basin </w:t>
      </w:r>
      <w:r w:rsidR="00301E5F">
        <w:t>s</w:t>
      </w:r>
      <w:r w:rsidRPr="002B7A3A">
        <w:t>tates on drafting the legislation.</w:t>
      </w:r>
    </w:p>
    <w:p w14:paraId="0372E649" w14:textId="1A9818D2" w:rsidR="005112A1" w:rsidRPr="00356D7A" w:rsidRDefault="005112A1" w:rsidP="005112A1">
      <w:pPr>
        <w:rPr>
          <w:lang w:eastAsia="en-AU"/>
        </w:rPr>
      </w:pPr>
      <w:r>
        <w:rPr>
          <w:lang w:eastAsia="en-AU"/>
        </w:rPr>
        <w:t>Under the interim arrangements, the IIG reports directly to the</w:t>
      </w:r>
      <w:r w:rsidRPr="00356D7A">
        <w:rPr>
          <w:lang w:eastAsia="en-AU"/>
        </w:rPr>
        <w:t xml:space="preserve"> </w:t>
      </w:r>
      <w:r w:rsidRPr="00356D7A">
        <w:t>Minister for Resource</w:t>
      </w:r>
      <w:r>
        <w:t xml:space="preserve">s, Water and Northern Australia, the Hon. Keith Pitt MP. The </w:t>
      </w:r>
      <w:r w:rsidR="00FC0B86">
        <w:t>I</w:t>
      </w:r>
      <w:r>
        <w:t xml:space="preserve">IG also reports to the </w:t>
      </w:r>
      <w:r w:rsidRPr="00356D7A">
        <w:t>Murray–Darling Basin Ministerial Council every 6 months.</w:t>
      </w:r>
    </w:p>
    <w:p w14:paraId="69F92568" w14:textId="77777777" w:rsidR="005112A1" w:rsidRPr="00B46A31" w:rsidRDefault="005112A1" w:rsidP="006E06BE">
      <w:pPr>
        <w:pStyle w:val="Heading3"/>
        <w:numPr>
          <w:ilvl w:val="0"/>
          <w:numId w:val="0"/>
        </w:numPr>
        <w:ind w:left="964" w:hanging="964"/>
      </w:pPr>
      <w:bookmarkStart w:id="5" w:name="_Toc45205832"/>
      <w:r>
        <w:t>The Office of the Inspector-General</w:t>
      </w:r>
      <w:bookmarkEnd w:id="5"/>
    </w:p>
    <w:p w14:paraId="161CEB0A" w14:textId="5BF1D811" w:rsidR="005112A1" w:rsidRPr="00CF243E" w:rsidRDefault="005112A1" w:rsidP="005112A1">
      <w:r w:rsidRPr="00CF243E">
        <w:t xml:space="preserve">A </w:t>
      </w:r>
      <w:r w:rsidR="00387E56">
        <w:t>task</w:t>
      </w:r>
      <w:r w:rsidR="00486A79">
        <w:t xml:space="preserve"> </w:t>
      </w:r>
      <w:r w:rsidR="00387E56">
        <w:t>force</w:t>
      </w:r>
      <w:r w:rsidR="00387E56" w:rsidRPr="00CF243E">
        <w:t xml:space="preserve"> </w:t>
      </w:r>
      <w:r w:rsidRPr="00CF243E">
        <w:t xml:space="preserve">was formed in August 2019 to establish the </w:t>
      </w:r>
      <w:r w:rsidR="00387E56">
        <w:t>O</w:t>
      </w:r>
      <w:r w:rsidRPr="00CF243E">
        <w:t xml:space="preserve">ffice of the </w:t>
      </w:r>
      <w:r>
        <w:t>I</w:t>
      </w:r>
      <w:r w:rsidR="00387E56">
        <w:t>nspector-General</w:t>
      </w:r>
      <w:r w:rsidRPr="00CF243E">
        <w:t xml:space="preserve">. In February 2020 the </w:t>
      </w:r>
      <w:r w:rsidR="00387E56">
        <w:t>task</w:t>
      </w:r>
      <w:r w:rsidR="00486A79">
        <w:t xml:space="preserve"> </w:t>
      </w:r>
      <w:r w:rsidR="00387E56">
        <w:t>force</w:t>
      </w:r>
      <w:r w:rsidR="00387E56" w:rsidRPr="00CF243E">
        <w:t xml:space="preserve"> </w:t>
      </w:r>
      <w:r w:rsidRPr="00CF243E">
        <w:t>was stood down, with the office continuing to support the Interim Inspector-General in his role and functions.</w:t>
      </w:r>
    </w:p>
    <w:p w14:paraId="6E719374" w14:textId="1DF61332" w:rsidR="005112A1" w:rsidRPr="00D85A6D" w:rsidRDefault="005112A1" w:rsidP="005112A1">
      <w:r>
        <w:t>O</w:t>
      </w:r>
      <w:r w:rsidRPr="00D85A6D">
        <w:t>ffices have been established in Brisbane, Goondiwindi, Mildura and Ca</w:t>
      </w:r>
      <w:r>
        <w:t xml:space="preserve">nberra. The location of the </w:t>
      </w:r>
      <w:r w:rsidRPr="00D85A6D">
        <w:t>offices facilitate</w:t>
      </w:r>
      <w:r w:rsidR="00F0346E">
        <w:t>s</w:t>
      </w:r>
      <w:r w:rsidRPr="00D85A6D">
        <w:t xml:space="preserve"> public consultation and travel within the entire Murray</w:t>
      </w:r>
      <w:r w:rsidR="00A708C7">
        <w:t>–</w:t>
      </w:r>
      <w:r w:rsidRPr="00D85A6D">
        <w:t xml:space="preserve">Darling Basin and continues the linkages the </w:t>
      </w:r>
      <w:r w:rsidR="00FC0B86">
        <w:t>I</w:t>
      </w:r>
      <w:r w:rsidRPr="00D85A6D">
        <w:t>IG has established with Basin agencies.</w:t>
      </w:r>
    </w:p>
    <w:p w14:paraId="1632CB85" w14:textId="044B33C5" w:rsidR="005112A1" w:rsidRDefault="005112A1" w:rsidP="005112A1">
      <w:r w:rsidRPr="00CF243E">
        <w:t xml:space="preserve">The budget for the office of the </w:t>
      </w:r>
      <w:r>
        <w:t>IG</w:t>
      </w:r>
      <w:r w:rsidRPr="00CF243E">
        <w:t xml:space="preserve"> is drawn from </w:t>
      </w:r>
      <w:r>
        <w:t>the Department of Agriculture, Water and the Environment</w:t>
      </w:r>
      <w:r w:rsidRPr="00CF243E">
        <w:t>. This measure was funded through an offset from the Sustainable Rural Water Use &amp;</w:t>
      </w:r>
      <w:r>
        <w:t xml:space="preserve"> Infrastructure Program for a period of </w:t>
      </w:r>
      <w:r w:rsidR="000434F1">
        <w:t xml:space="preserve">4 </w:t>
      </w:r>
      <w:r>
        <w:t>years.</w:t>
      </w:r>
    </w:p>
    <w:p w14:paraId="35B662E4" w14:textId="7E7DF429" w:rsidR="005112A1" w:rsidRPr="00E01896" w:rsidRDefault="005112A1" w:rsidP="005112A1">
      <w:r>
        <w:t>The office</w:t>
      </w:r>
      <w:r w:rsidR="00F0346E">
        <w:t xml:space="preserve"> of the IG</w:t>
      </w:r>
      <w:r>
        <w:t xml:space="preserve"> was funded for 7.5 average staffing level (ASL) equivalent for </w:t>
      </w:r>
      <w:r w:rsidR="00486A79">
        <w:t>the 20</w:t>
      </w:r>
      <w:r>
        <w:t>19</w:t>
      </w:r>
      <w:r w:rsidR="00486A79">
        <w:t>–</w:t>
      </w:r>
      <w:r>
        <w:t>20</w:t>
      </w:r>
      <w:r w:rsidR="00486A79">
        <w:t xml:space="preserve"> financial year</w:t>
      </w:r>
      <w:r>
        <w:t>, with an increase to 10 ASL equivalent in future years. This ASL figure was based on an estimate of the workload involved in operating the IG function and will be revised commensurate with the introduction of the legislation and the appointment of a permanent IG.</w:t>
      </w:r>
    </w:p>
    <w:p w14:paraId="30FC99CC" w14:textId="77777777" w:rsidR="005112A1" w:rsidRPr="00AB69F4" w:rsidRDefault="005112A1" w:rsidP="006E06BE">
      <w:pPr>
        <w:pStyle w:val="Heading3"/>
        <w:numPr>
          <w:ilvl w:val="0"/>
          <w:numId w:val="0"/>
        </w:numPr>
        <w:ind w:left="964" w:hanging="964"/>
      </w:pPr>
      <w:bookmarkStart w:id="6" w:name="_Toc45205833"/>
      <w:r w:rsidRPr="00AB69F4">
        <w:lastRenderedPageBreak/>
        <w:t>Engagement</w:t>
      </w:r>
      <w:bookmarkEnd w:id="6"/>
    </w:p>
    <w:p w14:paraId="65A50032" w14:textId="5E709661" w:rsidR="005112A1" w:rsidRPr="00D85A6D" w:rsidRDefault="005112A1" w:rsidP="005112A1">
      <w:r w:rsidRPr="00D85A6D">
        <w:t xml:space="preserve">The </w:t>
      </w:r>
      <w:hyperlink r:id="rId20" w:history="1">
        <w:r w:rsidRPr="00FC0B86">
          <w:rPr>
            <w:rStyle w:val="Hyperlink"/>
          </w:rPr>
          <w:t>IIG website</w:t>
        </w:r>
      </w:hyperlink>
      <w:r w:rsidRPr="00FC0B86">
        <w:rPr>
          <w:rStyle w:val="Hyperlink"/>
        </w:rPr>
        <w:t xml:space="preserve"> </w:t>
      </w:r>
      <w:r w:rsidRPr="00D85A6D">
        <w:t xml:space="preserve">was established to provide a point of contact for the referral of matters to the IIG, publishing of </w:t>
      </w:r>
      <w:r w:rsidR="000D292A">
        <w:t>i</w:t>
      </w:r>
      <w:r w:rsidRPr="00D85A6D">
        <w:t xml:space="preserve">nquiry reports and to provide information about the public consultation arrangements for specific </w:t>
      </w:r>
      <w:r w:rsidR="000D292A">
        <w:t>i</w:t>
      </w:r>
      <w:r w:rsidRPr="00D85A6D">
        <w:t>nquiries undertaken by the IIG.</w:t>
      </w:r>
    </w:p>
    <w:p w14:paraId="06057D3F" w14:textId="77777777" w:rsidR="005112A1" w:rsidRDefault="005112A1" w:rsidP="005112A1">
      <w:r>
        <w:t>In the period from December 2019 until March 2020, t</w:t>
      </w:r>
      <w:r w:rsidRPr="00D85A6D">
        <w:t xml:space="preserve">he IIG </w:t>
      </w:r>
      <w:r>
        <w:t>undertook</w:t>
      </w:r>
      <w:r w:rsidRPr="00D85A6D">
        <w:t xml:space="preserve"> extensive public engagement across the Basin to hear directly from</w:t>
      </w:r>
      <w:r>
        <w:rPr>
          <w:rFonts w:ascii="Calibri" w:eastAsia="Calibri" w:hAnsi="Calibri" w:cs="Times New Roman"/>
          <w:sz w:val="24"/>
          <w:lang w:val="en"/>
        </w:rPr>
        <w:t xml:space="preserve"> </w:t>
      </w:r>
      <w:r w:rsidRPr="004A2745">
        <w:t>the</w:t>
      </w:r>
      <w:r>
        <w:rPr>
          <w:rFonts w:ascii="Calibri" w:eastAsia="Calibri" w:hAnsi="Calibri" w:cs="Times New Roman"/>
          <w:sz w:val="24"/>
          <w:lang w:val="en"/>
        </w:rPr>
        <w:t xml:space="preserve"> </w:t>
      </w:r>
      <w:r w:rsidRPr="00D85A6D">
        <w:t>w</w:t>
      </w:r>
      <w:r>
        <w:t>ide range of Basin stakeholders</w:t>
      </w:r>
      <w:r w:rsidRPr="00D85A6D">
        <w:t>.</w:t>
      </w:r>
    </w:p>
    <w:p w14:paraId="1BA28FC3" w14:textId="4AF6CBE8" w:rsidR="005112A1" w:rsidRDefault="005112A1" w:rsidP="005112A1">
      <w:r>
        <w:t>Over the reporting period the IIG office has engaged with over 1</w:t>
      </w:r>
      <w:r w:rsidR="00486A79">
        <w:t>,</w:t>
      </w:r>
      <w:r>
        <w:t xml:space="preserve">700 individuals or groups related to Basin issues. While the vast majority of engagement was undertaken with farmers or community members </w:t>
      </w:r>
      <w:r w:rsidR="00380B88">
        <w:t>(</w:t>
      </w:r>
      <w:r w:rsidR="008B2884">
        <w:fldChar w:fldCharType="begin"/>
      </w:r>
      <w:r w:rsidR="008B2884">
        <w:instrText xml:space="preserve"> REF _Ref45205522 \h </w:instrText>
      </w:r>
      <w:r w:rsidR="008B2884">
        <w:fldChar w:fldCharType="separate"/>
      </w:r>
      <w:r w:rsidR="00074229">
        <w:t xml:space="preserve">Figure </w:t>
      </w:r>
      <w:r w:rsidR="00074229">
        <w:rPr>
          <w:noProof/>
        </w:rPr>
        <w:t>1</w:t>
      </w:r>
      <w:r w:rsidR="008B2884">
        <w:fldChar w:fldCharType="end"/>
      </w:r>
      <w:r w:rsidR="008B2884">
        <w:t xml:space="preserve"> </w:t>
      </w:r>
      <w:r w:rsidR="00380B88">
        <w:t xml:space="preserve">and </w:t>
      </w:r>
      <w:r w:rsidR="008B2884">
        <w:fldChar w:fldCharType="begin"/>
      </w:r>
      <w:r w:rsidR="008B2884">
        <w:instrText xml:space="preserve"> REF _Ref45205750 \h </w:instrText>
      </w:r>
      <w:r w:rsidR="008B2884">
        <w:fldChar w:fldCharType="separate"/>
      </w:r>
      <w:r w:rsidR="00074229">
        <w:t xml:space="preserve">Figure </w:t>
      </w:r>
      <w:r w:rsidR="00074229">
        <w:rPr>
          <w:noProof/>
        </w:rPr>
        <w:t>2</w:t>
      </w:r>
      <w:r w:rsidR="008B2884">
        <w:fldChar w:fldCharType="end"/>
      </w:r>
      <w:r w:rsidR="00380B88">
        <w:t xml:space="preserve">) </w:t>
      </w:r>
      <w:r>
        <w:t xml:space="preserve">in the course of the </w:t>
      </w:r>
      <w:r w:rsidR="004C4099">
        <w:t>w</w:t>
      </w:r>
      <w:r>
        <w:t xml:space="preserve">ater </w:t>
      </w:r>
      <w:r w:rsidR="004C4099">
        <w:t>s</w:t>
      </w:r>
      <w:r>
        <w:t xml:space="preserve">haring </w:t>
      </w:r>
      <w:r w:rsidR="004C4099">
        <w:t>i</w:t>
      </w:r>
      <w:r>
        <w:t>nquiry, the IIG continued to proactively engage with a variety of Basin stakeholders throughout the year.</w:t>
      </w:r>
    </w:p>
    <w:p w14:paraId="205FC223" w14:textId="68388D05" w:rsidR="000D292A" w:rsidRDefault="000D292A" w:rsidP="00FC0B86">
      <w:pPr>
        <w:pStyle w:val="Caption"/>
      </w:pPr>
      <w:bookmarkStart w:id="7" w:name="_Ref45205522"/>
      <w:bookmarkStart w:id="8" w:name="_Toc45205819"/>
      <w:r>
        <w:t xml:space="preserve">Figure </w:t>
      </w:r>
      <w:r>
        <w:rPr>
          <w:noProof/>
        </w:rPr>
        <w:fldChar w:fldCharType="begin"/>
      </w:r>
      <w:r>
        <w:rPr>
          <w:noProof/>
        </w:rPr>
        <w:instrText xml:space="preserve"> SEQ Figure \* ARABIC </w:instrText>
      </w:r>
      <w:r>
        <w:rPr>
          <w:noProof/>
        </w:rPr>
        <w:fldChar w:fldCharType="separate"/>
      </w:r>
      <w:r w:rsidR="00074229">
        <w:rPr>
          <w:noProof/>
        </w:rPr>
        <w:t>1</w:t>
      </w:r>
      <w:r>
        <w:rPr>
          <w:noProof/>
        </w:rPr>
        <w:fldChar w:fldCharType="end"/>
      </w:r>
      <w:bookmarkEnd w:id="7"/>
      <w:r>
        <w:rPr>
          <w:noProof/>
        </w:rPr>
        <w:t xml:space="preserve"> Engagement</w:t>
      </w:r>
      <w:bookmarkEnd w:id="8"/>
    </w:p>
    <w:p w14:paraId="76514794" w14:textId="0769F064" w:rsidR="000D292A" w:rsidRDefault="00912B98" w:rsidP="00FC0B86">
      <w:pPr>
        <w:pStyle w:val="FigureTableNoteSource"/>
      </w:pPr>
      <w:r>
        <w:rPr>
          <w:noProof/>
          <w:lang w:eastAsia="en-AU"/>
        </w:rPr>
        <w:drawing>
          <wp:inline distT="0" distB="0" distL="0" distR="0" wp14:anchorId="5BE0ED56" wp14:editId="76C8E470">
            <wp:extent cx="5177118" cy="4235823"/>
            <wp:effectExtent l="0" t="0" r="5080" b="12700"/>
            <wp:docPr id="5" name="Chart 5" descr="Figure 1 shows a breakdown of stakeholder group engagement. Farmers and community members accounted for 1358 responses which was the vast majority. Other stakeholders included federal government entities (119 responses), state government entities (90 responses), industry bodies (105 responses), Indigenous representatives (13 responses), community groups (24 responses), environmental groups (17 responses), irrigation infrastructure operators (29 responses), local government (49 responses), academic (26 responses), media (38 responses), private companies or consultants (36). Two respondents did not fit in an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4127C5">
        <w:t xml:space="preserve">Source: Interim Inspector-General of Murray–Darling </w:t>
      </w:r>
      <w:r w:rsidR="00524B0F">
        <w:t xml:space="preserve">Basin </w:t>
      </w:r>
      <w:r w:rsidR="004127C5">
        <w:t>Water Resources</w:t>
      </w:r>
    </w:p>
    <w:p w14:paraId="03843DB9" w14:textId="75B89BF6" w:rsidR="000D292A" w:rsidRDefault="008B2884" w:rsidP="00FC0B86">
      <w:pPr>
        <w:pStyle w:val="Caption"/>
      </w:pPr>
      <w:bookmarkStart w:id="9" w:name="_Ref45205750"/>
      <w:bookmarkStart w:id="10" w:name="_Toc45205820"/>
      <w:r>
        <w:lastRenderedPageBreak/>
        <w:t xml:space="preserve">Figure </w:t>
      </w:r>
      <w:r w:rsidR="00B30960">
        <w:rPr>
          <w:noProof/>
        </w:rPr>
        <w:fldChar w:fldCharType="begin"/>
      </w:r>
      <w:r w:rsidR="00B30960">
        <w:rPr>
          <w:noProof/>
        </w:rPr>
        <w:instrText xml:space="preserve"> SEQ Figure \* ARABIC </w:instrText>
      </w:r>
      <w:r w:rsidR="00B30960">
        <w:rPr>
          <w:noProof/>
        </w:rPr>
        <w:fldChar w:fldCharType="separate"/>
      </w:r>
      <w:r w:rsidR="00074229">
        <w:rPr>
          <w:noProof/>
        </w:rPr>
        <w:t>2</w:t>
      </w:r>
      <w:r w:rsidR="00B30960">
        <w:rPr>
          <w:noProof/>
        </w:rPr>
        <w:fldChar w:fldCharType="end"/>
      </w:r>
      <w:bookmarkEnd w:id="9"/>
      <w:r w:rsidR="000D292A">
        <w:t xml:space="preserve"> Engagement (excluding </w:t>
      </w:r>
      <w:r w:rsidR="004C4099">
        <w:t>w</w:t>
      </w:r>
      <w:r w:rsidR="000D292A">
        <w:t xml:space="preserve">ater </w:t>
      </w:r>
      <w:r w:rsidR="004C4099">
        <w:t>s</w:t>
      </w:r>
      <w:r w:rsidR="000D292A">
        <w:t xml:space="preserve">haring </w:t>
      </w:r>
      <w:r w:rsidR="005F3DAA">
        <w:t>i</w:t>
      </w:r>
      <w:r w:rsidR="000D292A">
        <w:t>nquiry)</w:t>
      </w:r>
      <w:bookmarkEnd w:id="10"/>
    </w:p>
    <w:p w14:paraId="27FBACE8" w14:textId="166C3BC1" w:rsidR="005112A1" w:rsidRDefault="00912B98" w:rsidP="005112A1">
      <w:pPr>
        <w:rPr>
          <w:rFonts w:cs="Arial"/>
        </w:rPr>
      </w:pPr>
      <w:r>
        <w:rPr>
          <w:noProof/>
          <w:lang w:eastAsia="en-AU"/>
        </w:rPr>
        <w:drawing>
          <wp:inline distT="0" distB="0" distL="0" distR="0" wp14:anchorId="513D0692" wp14:editId="251C5C29">
            <wp:extent cx="5311588" cy="3765177"/>
            <wp:effectExtent l="0" t="0" r="3810" b="6985"/>
            <wp:docPr id="6" name="Chart 6" descr="Figure 2 shows a breakdown of stakeholder group engagement, excluding the Water Sharing Inquiry. Highest engagement occurred with farmers and community members (123 interactions), federal government entities (99 interactions), state government entities (59 interactions) and industry bodies (53 interactions). Other stakeholders included Indigenous representatives (11 interactions), community groups (9 interactions), environmental groups (4 interactions), irrigation infrastructure operators (7 interactions), local government (11 interactions), academic (10 interactions), media (29 interactions), private companies or consultants (20 interactions). Two respondents did not fit in an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250E6E" w14:textId="6E5E4977" w:rsidR="005112A1" w:rsidRPr="00AC2770" w:rsidRDefault="00524B0F" w:rsidP="00AC2770">
      <w:pPr>
        <w:pStyle w:val="FigureTableNoteSource"/>
      </w:pPr>
      <w:r>
        <w:t>Source: Interim Inspector-General of Murray–Darling Basin Water Resources</w:t>
      </w:r>
    </w:p>
    <w:p w14:paraId="11A77D1D" w14:textId="77777777" w:rsidR="005112A1" w:rsidRPr="00AB69F4" w:rsidRDefault="005112A1" w:rsidP="00823140">
      <w:pPr>
        <w:pStyle w:val="Heading3"/>
        <w:numPr>
          <w:ilvl w:val="0"/>
          <w:numId w:val="0"/>
        </w:numPr>
        <w:ind w:left="964" w:hanging="964"/>
      </w:pPr>
      <w:bookmarkStart w:id="11" w:name="_Toc45205834"/>
      <w:r w:rsidRPr="00AB69F4">
        <w:t>Referrals</w:t>
      </w:r>
      <w:bookmarkEnd w:id="11"/>
    </w:p>
    <w:p w14:paraId="37689E17" w14:textId="15A75FBA" w:rsidR="00524B0F" w:rsidRDefault="005112A1" w:rsidP="005112A1">
      <w:r>
        <w:t>The IIG received 30 referrals over the reporting period</w:t>
      </w:r>
      <w:r w:rsidR="00AC2770">
        <w:t xml:space="preserve"> (</w:t>
      </w:r>
      <w:r w:rsidR="008B2884">
        <w:fldChar w:fldCharType="begin"/>
      </w:r>
      <w:r w:rsidR="008B2884">
        <w:instrText xml:space="preserve"> REF _Ref45205763 \h </w:instrText>
      </w:r>
      <w:r w:rsidR="008B2884">
        <w:fldChar w:fldCharType="separate"/>
      </w:r>
      <w:r w:rsidR="00074229">
        <w:t xml:space="preserve">Figure </w:t>
      </w:r>
      <w:r w:rsidR="00074229">
        <w:rPr>
          <w:noProof/>
        </w:rPr>
        <w:t>3</w:t>
      </w:r>
      <w:r w:rsidR="008B2884">
        <w:fldChar w:fldCharType="end"/>
      </w:r>
      <w:r w:rsidR="00AC2770">
        <w:t xml:space="preserve">, </w:t>
      </w:r>
      <w:r w:rsidR="008B2884">
        <w:fldChar w:fldCharType="begin"/>
      </w:r>
      <w:r w:rsidR="008B2884">
        <w:instrText xml:space="preserve"> REF _Ref45205774 \h </w:instrText>
      </w:r>
      <w:r w:rsidR="008B2884">
        <w:fldChar w:fldCharType="separate"/>
      </w:r>
      <w:r w:rsidR="00074229">
        <w:t xml:space="preserve">Figure </w:t>
      </w:r>
      <w:r w:rsidR="00074229">
        <w:rPr>
          <w:noProof/>
        </w:rPr>
        <w:t>4</w:t>
      </w:r>
      <w:r w:rsidR="008B2884">
        <w:fldChar w:fldCharType="end"/>
      </w:r>
      <w:r w:rsidR="00AC2770">
        <w:t xml:space="preserve"> and </w:t>
      </w:r>
      <w:r w:rsidR="008B2884">
        <w:fldChar w:fldCharType="begin"/>
      </w:r>
      <w:r w:rsidR="008B2884">
        <w:instrText xml:space="preserve"> REF _Ref45205781 \h </w:instrText>
      </w:r>
      <w:r w:rsidR="008B2884">
        <w:fldChar w:fldCharType="separate"/>
      </w:r>
      <w:r w:rsidR="00074229">
        <w:t xml:space="preserve">Figure </w:t>
      </w:r>
      <w:r w:rsidR="00074229">
        <w:rPr>
          <w:noProof/>
        </w:rPr>
        <w:t>5</w:t>
      </w:r>
      <w:r w:rsidR="008B2884">
        <w:fldChar w:fldCharType="end"/>
      </w:r>
      <w:r w:rsidR="00AC2770">
        <w:t>)</w:t>
      </w:r>
      <w:r>
        <w:t>.</w:t>
      </w:r>
    </w:p>
    <w:p w14:paraId="3C8C3DC9" w14:textId="7109D293" w:rsidR="00524B0F" w:rsidRPr="003F0F88" w:rsidRDefault="008B2884" w:rsidP="00FC0B86">
      <w:pPr>
        <w:pStyle w:val="Caption"/>
      </w:pPr>
      <w:bookmarkStart w:id="12" w:name="_Ref45205763"/>
      <w:bookmarkStart w:id="13" w:name="_Toc45205821"/>
      <w:r>
        <w:t xml:space="preserve">Figure </w:t>
      </w:r>
      <w:r w:rsidR="00B30960">
        <w:rPr>
          <w:noProof/>
        </w:rPr>
        <w:fldChar w:fldCharType="begin"/>
      </w:r>
      <w:r w:rsidR="00B30960">
        <w:rPr>
          <w:noProof/>
        </w:rPr>
        <w:instrText xml:space="preserve"> SEQ Figure \* ARABIC </w:instrText>
      </w:r>
      <w:r w:rsidR="00B30960">
        <w:rPr>
          <w:noProof/>
        </w:rPr>
        <w:fldChar w:fldCharType="separate"/>
      </w:r>
      <w:r w:rsidR="00074229">
        <w:rPr>
          <w:noProof/>
        </w:rPr>
        <w:t>3</w:t>
      </w:r>
      <w:r w:rsidR="00B30960">
        <w:rPr>
          <w:noProof/>
        </w:rPr>
        <w:fldChar w:fldCharType="end"/>
      </w:r>
      <w:bookmarkEnd w:id="12"/>
      <w:r w:rsidR="00524B0F">
        <w:t xml:space="preserve"> Referral categories</w:t>
      </w:r>
      <w:bookmarkEnd w:id="13"/>
    </w:p>
    <w:p w14:paraId="470AB139" w14:textId="1A36A990" w:rsidR="005112A1" w:rsidRDefault="005112A1" w:rsidP="005112A1">
      <w:r>
        <w:rPr>
          <w:noProof/>
          <w:lang w:eastAsia="en-AU"/>
        </w:rPr>
        <w:drawing>
          <wp:inline distT="0" distB="0" distL="0" distR="0" wp14:anchorId="0B996968" wp14:editId="64F18B53">
            <wp:extent cx="5287296" cy="3023419"/>
            <wp:effectExtent l="0" t="0" r="8890" b="5715"/>
            <wp:docPr id="18" name="Chart 18" descr="Figure 3 shows referral categories in percentages. The highest percentage was conduct of a government agency/official (43%), followed by conduct of an irrigation infrastructure operator (20%) and water markets and trade (17%). Other referral categories included environmental water (3%), illegal water take (7%), illegal works and structures (7%) and referrals that did not fit the above categori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13C9A3" w14:textId="1F0D8AAD" w:rsidR="00524B0F" w:rsidRDefault="00524B0F" w:rsidP="00524B0F">
      <w:pPr>
        <w:pStyle w:val="FigureTableNoteSource"/>
      </w:pPr>
      <w:r>
        <w:t>Source: Interim Inspector-General of Murray–Darling Basin Water Resources</w:t>
      </w:r>
    </w:p>
    <w:p w14:paraId="658DE2FD" w14:textId="52DFCB78" w:rsidR="00524B0F" w:rsidRPr="000434F1" w:rsidRDefault="008B2884" w:rsidP="00FC0B86">
      <w:pPr>
        <w:pStyle w:val="Caption"/>
      </w:pPr>
      <w:bookmarkStart w:id="14" w:name="_Ref45205774"/>
      <w:bookmarkStart w:id="15" w:name="_Toc45205822"/>
      <w:r>
        <w:lastRenderedPageBreak/>
        <w:t xml:space="preserve">Figure </w:t>
      </w:r>
      <w:r w:rsidR="00B30960">
        <w:rPr>
          <w:noProof/>
        </w:rPr>
        <w:fldChar w:fldCharType="begin"/>
      </w:r>
      <w:r w:rsidR="00B30960">
        <w:rPr>
          <w:noProof/>
        </w:rPr>
        <w:instrText xml:space="preserve"> SEQ Figure \* ARABIC </w:instrText>
      </w:r>
      <w:r w:rsidR="00B30960">
        <w:rPr>
          <w:noProof/>
        </w:rPr>
        <w:fldChar w:fldCharType="separate"/>
      </w:r>
      <w:r w:rsidR="00074229">
        <w:rPr>
          <w:noProof/>
        </w:rPr>
        <w:t>4</w:t>
      </w:r>
      <w:r w:rsidR="00B30960">
        <w:rPr>
          <w:noProof/>
        </w:rPr>
        <w:fldChar w:fldCharType="end"/>
      </w:r>
      <w:bookmarkEnd w:id="14"/>
      <w:r w:rsidR="00524B0F">
        <w:t xml:space="preserve"> Referral location</w:t>
      </w:r>
      <w:bookmarkEnd w:id="15"/>
    </w:p>
    <w:p w14:paraId="003DC2B5" w14:textId="0F4A0371" w:rsidR="005112A1" w:rsidRDefault="005112A1" w:rsidP="005112A1">
      <w:r>
        <w:rPr>
          <w:noProof/>
          <w:lang w:eastAsia="en-AU"/>
        </w:rPr>
        <w:drawing>
          <wp:inline distT="0" distB="0" distL="0" distR="0" wp14:anchorId="5F1FA9A2" wp14:editId="00ED4DE3">
            <wp:extent cx="5243051" cy="3104535"/>
            <wp:effectExtent l="0" t="0" r="15240" b="635"/>
            <wp:docPr id="7" name="Chart 7" descr="Figure 4 shows a breakdown of locations where referrals took place. These include the Australian Government (17%), Basin wide (7%), New South Wales (56%), Victoria (17%) and South Australi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52E9CDD" w14:textId="0C22082A" w:rsidR="00524B0F" w:rsidRPr="00AC2770" w:rsidRDefault="00524B0F" w:rsidP="00AC2770">
      <w:pPr>
        <w:pStyle w:val="FigureTableNoteSource"/>
      </w:pPr>
      <w:r>
        <w:t>Source: Interim Inspector-General of Murray–Darling Basin Water Resources</w:t>
      </w:r>
    </w:p>
    <w:p w14:paraId="7D61A565" w14:textId="76C4E441" w:rsidR="00524B0F" w:rsidRPr="000434F1" w:rsidRDefault="008B2884" w:rsidP="00FC0B86">
      <w:pPr>
        <w:pStyle w:val="Caption"/>
      </w:pPr>
      <w:bookmarkStart w:id="16" w:name="_Ref45205781"/>
      <w:bookmarkStart w:id="17" w:name="_Toc45205823"/>
      <w:r>
        <w:t xml:space="preserve">Figure </w:t>
      </w:r>
      <w:r w:rsidR="00B30960">
        <w:rPr>
          <w:noProof/>
        </w:rPr>
        <w:fldChar w:fldCharType="begin"/>
      </w:r>
      <w:r w:rsidR="00B30960">
        <w:rPr>
          <w:noProof/>
        </w:rPr>
        <w:instrText xml:space="preserve"> SEQ Figure \* ARABIC </w:instrText>
      </w:r>
      <w:r w:rsidR="00B30960">
        <w:rPr>
          <w:noProof/>
        </w:rPr>
        <w:fldChar w:fldCharType="separate"/>
      </w:r>
      <w:r w:rsidR="00074229">
        <w:rPr>
          <w:noProof/>
        </w:rPr>
        <w:t>5</w:t>
      </w:r>
      <w:r w:rsidR="00B30960">
        <w:rPr>
          <w:noProof/>
        </w:rPr>
        <w:fldChar w:fldCharType="end"/>
      </w:r>
      <w:bookmarkEnd w:id="16"/>
      <w:r w:rsidR="00524B0F">
        <w:t xml:space="preserve"> Referral outcomes</w:t>
      </w:r>
      <w:bookmarkEnd w:id="17"/>
    </w:p>
    <w:p w14:paraId="06F87FED" w14:textId="77777777" w:rsidR="00912B98" w:rsidRDefault="00912B98" w:rsidP="00FC0B86">
      <w:pPr>
        <w:pStyle w:val="FigureTableNoteSource"/>
      </w:pPr>
      <w:r>
        <w:rPr>
          <w:noProof/>
          <w:lang w:eastAsia="en-AU"/>
        </w:rPr>
        <w:drawing>
          <wp:inline distT="0" distB="0" distL="0" distR="0" wp14:anchorId="73E5D22A" wp14:editId="47A39490">
            <wp:extent cx="5166068" cy="3378039"/>
            <wp:effectExtent l="0" t="0" r="15875" b="13335"/>
            <wp:docPr id="4" name="Chart 4" descr="Figure 5 shows a breakdown of referral outcomes. The highest was referral to an appropriate agency (34%), followed by no further action (20%), input into own-motion (13%) and office advised appropriate agency (13%). Other outcomes included input into inquiry/investigation (10%), inquiry/investigation (7%) and own-moti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6782CC" w14:textId="77777777" w:rsidR="00912B98" w:rsidRDefault="00912B98" w:rsidP="00FC0B86">
      <w:pPr>
        <w:pStyle w:val="FigureTableNoteSource"/>
      </w:pPr>
    </w:p>
    <w:p w14:paraId="7D04B5B1" w14:textId="06505F5F" w:rsidR="00524B0F" w:rsidRDefault="00524B0F" w:rsidP="00FC0B86">
      <w:pPr>
        <w:pStyle w:val="FigureTableNoteSource"/>
      </w:pPr>
      <w:r>
        <w:t>Source: Interim Inspector-General of Murray–Darling Basin Water Resources</w:t>
      </w:r>
    </w:p>
    <w:p w14:paraId="6ACA08C2" w14:textId="43280C52" w:rsidR="005112A1" w:rsidRPr="00AB69F4" w:rsidRDefault="005112A1" w:rsidP="0067446F">
      <w:pPr>
        <w:pStyle w:val="Heading3"/>
        <w:numPr>
          <w:ilvl w:val="0"/>
          <w:numId w:val="0"/>
        </w:numPr>
        <w:ind w:left="964" w:hanging="964"/>
      </w:pPr>
      <w:bookmarkStart w:id="18" w:name="_Toc45205835"/>
      <w:r w:rsidRPr="00AB69F4">
        <w:t>Inquiries</w:t>
      </w:r>
      <w:r>
        <w:t xml:space="preserve"> </w:t>
      </w:r>
      <w:r w:rsidR="00387E56">
        <w:t>u</w:t>
      </w:r>
      <w:r>
        <w:t>ndertaken</w:t>
      </w:r>
      <w:bookmarkEnd w:id="18"/>
    </w:p>
    <w:p w14:paraId="63BEE027" w14:textId="6841FCE4" w:rsidR="005112A1" w:rsidRPr="00CF243E" w:rsidRDefault="005112A1" w:rsidP="0067446F">
      <w:r>
        <w:t>T</w:t>
      </w:r>
      <w:r w:rsidRPr="00CF243E">
        <w:t xml:space="preserve">he </w:t>
      </w:r>
      <w:r>
        <w:t>IIG</w:t>
      </w:r>
      <w:r w:rsidRPr="00CF243E">
        <w:t xml:space="preserve"> </w:t>
      </w:r>
      <w:r>
        <w:t>undertook</w:t>
      </w:r>
      <w:r w:rsidRPr="00CF243E">
        <w:t xml:space="preserve"> </w:t>
      </w:r>
      <w:r w:rsidR="004C4099">
        <w:t>4</w:t>
      </w:r>
      <w:r w:rsidRPr="00CF243E">
        <w:t xml:space="preserve"> </w:t>
      </w:r>
      <w:r w:rsidR="00F76B6C">
        <w:t>i</w:t>
      </w:r>
      <w:r w:rsidRPr="00CF243E">
        <w:t xml:space="preserve">nquiries </w:t>
      </w:r>
      <w:r>
        <w:t>during the reporting period</w:t>
      </w:r>
      <w:r w:rsidRPr="00CF243E">
        <w:t>.</w:t>
      </w:r>
    </w:p>
    <w:p w14:paraId="2CAA24BE" w14:textId="77777777" w:rsidR="005112A1" w:rsidRPr="00D85A6D" w:rsidRDefault="005112A1" w:rsidP="00FC0B86">
      <w:pPr>
        <w:pStyle w:val="Heading4"/>
        <w:numPr>
          <w:ilvl w:val="0"/>
          <w:numId w:val="0"/>
        </w:numPr>
        <w:ind w:left="964" w:hanging="964"/>
      </w:pPr>
      <w:r w:rsidRPr="00D85A6D">
        <w:lastRenderedPageBreak/>
        <w:t>Northern Basin Commissioner’s First Year Report</w:t>
      </w:r>
    </w:p>
    <w:p w14:paraId="16504812" w14:textId="1D61B4DB" w:rsidR="005112A1" w:rsidRPr="00D85A6D" w:rsidRDefault="005112A1" w:rsidP="005112A1">
      <w:r w:rsidRPr="00D85A6D">
        <w:t>The Northern Basin Commissioner’s First Year Report was submitted to the (previous) Minister for Water Resources on 1</w:t>
      </w:r>
      <w:r w:rsidR="00486A79">
        <w:t> </w:t>
      </w:r>
      <w:r w:rsidRPr="00D85A6D">
        <w:t>December</w:t>
      </w:r>
      <w:r w:rsidR="00486A79">
        <w:t> </w:t>
      </w:r>
      <w:r w:rsidRPr="00D85A6D">
        <w:t>2019 and tabled in Parliament on 5</w:t>
      </w:r>
      <w:r w:rsidR="00486A79">
        <w:t> </w:t>
      </w:r>
      <w:r w:rsidRPr="00D85A6D">
        <w:t>December</w:t>
      </w:r>
      <w:r w:rsidR="00486A79">
        <w:t> </w:t>
      </w:r>
      <w:r w:rsidRPr="00D85A6D">
        <w:t xml:space="preserve">2019. The </w:t>
      </w:r>
      <w:r w:rsidR="004C4099">
        <w:t>r</w:t>
      </w:r>
      <w:r w:rsidRPr="00D85A6D">
        <w:t>eport is also available on th</w:t>
      </w:r>
      <w:r w:rsidR="00F0346E">
        <w:t xml:space="preserve">e </w:t>
      </w:r>
      <w:hyperlink r:id="rId26" w:history="1">
        <w:r w:rsidR="00F0346E" w:rsidRPr="00FC0B86">
          <w:rPr>
            <w:rStyle w:val="Hyperlink"/>
          </w:rPr>
          <w:t>I</w:t>
        </w:r>
        <w:r w:rsidR="002E0390">
          <w:rPr>
            <w:rStyle w:val="Hyperlink"/>
          </w:rPr>
          <w:t>I</w:t>
        </w:r>
        <w:r w:rsidR="00F0346E" w:rsidRPr="00FC0B86">
          <w:rPr>
            <w:rStyle w:val="Hyperlink"/>
          </w:rPr>
          <w:t>G website</w:t>
        </w:r>
      </w:hyperlink>
      <w:r w:rsidR="00F0346E">
        <w:t>.</w:t>
      </w:r>
    </w:p>
    <w:p w14:paraId="20E9931D" w14:textId="2F823288" w:rsidR="005112A1" w:rsidRPr="003F0F88" w:rsidRDefault="005112A1" w:rsidP="005112A1">
      <w:r w:rsidRPr="00D85A6D">
        <w:t>The publication of the report was deferred until 1</w:t>
      </w:r>
      <w:r w:rsidR="00486A79">
        <w:t> </w:t>
      </w:r>
      <w:r w:rsidRPr="00D85A6D">
        <w:t>December</w:t>
      </w:r>
      <w:r w:rsidR="00486A79">
        <w:t> </w:t>
      </w:r>
      <w:r w:rsidRPr="00D85A6D">
        <w:t xml:space="preserve">2019 </w:t>
      </w:r>
      <w:r w:rsidR="00486A79">
        <w:t>because</w:t>
      </w:r>
      <w:r w:rsidR="00486A79" w:rsidRPr="00D85A6D">
        <w:t xml:space="preserve"> </w:t>
      </w:r>
      <w:r w:rsidRPr="00D85A6D">
        <w:t xml:space="preserve">Mr Keelty was engaged </w:t>
      </w:r>
      <w:r w:rsidR="00486A79">
        <w:t xml:space="preserve">in </w:t>
      </w:r>
      <w:r w:rsidRPr="00D85A6D">
        <w:t>standing up the new entity of the office of the Inspector-General of Murray</w:t>
      </w:r>
      <w:r w:rsidR="00A708C7">
        <w:t>–</w:t>
      </w:r>
      <w:r w:rsidRPr="00D85A6D">
        <w:t>Darling Basin Water Resources.</w:t>
      </w:r>
    </w:p>
    <w:p w14:paraId="3BBD7855" w14:textId="741958EA" w:rsidR="005112A1" w:rsidRPr="00D85A6D" w:rsidRDefault="005112A1" w:rsidP="0067446F">
      <w:pPr>
        <w:pStyle w:val="Heading4"/>
        <w:numPr>
          <w:ilvl w:val="0"/>
          <w:numId w:val="0"/>
        </w:numPr>
        <w:ind w:left="964" w:hanging="964"/>
      </w:pPr>
      <w:r w:rsidRPr="00D85A6D">
        <w:t xml:space="preserve">First </w:t>
      </w:r>
      <w:r w:rsidR="00387E56">
        <w:t>f</w:t>
      </w:r>
      <w:r w:rsidRPr="00D85A6D">
        <w:t xml:space="preserve">lush </w:t>
      </w:r>
      <w:r w:rsidR="00387E56">
        <w:t>f</w:t>
      </w:r>
      <w:r w:rsidRPr="00D85A6D">
        <w:t xml:space="preserve">lows </w:t>
      </w:r>
      <w:r w:rsidR="00387E56">
        <w:t>r</w:t>
      </w:r>
      <w:r w:rsidRPr="00D85A6D">
        <w:t>eport</w:t>
      </w:r>
    </w:p>
    <w:p w14:paraId="6EBE2294" w14:textId="6D112D61" w:rsidR="005112A1" w:rsidRPr="00D85A6D" w:rsidRDefault="005112A1" w:rsidP="005112A1">
      <w:r w:rsidRPr="00D85A6D">
        <w:t>The IIG conducted an investigation into the circumstances surrounding the premature release of the Murray</w:t>
      </w:r>
      <w:r w:rsidR="00A708C7">
        <w:t>–</w:t>
      </w:r>
      <w:r w:rsidRPr="00D85A6D">
        <w:t>Darling Basin Authority’s report titled, ‘Monitoring first flush flows in the Namoi, Macquarie and Warrego Rivers – Remote sensing for compliance and ecohydrology’. The investigation examined:</w:t>
      </w:r>
    </w:p>
    <w:p w14:paraId="0F416F78" w14:textId="6C7E24EC" w:rsidR="005112A1" w:rsidRPr="00D85A6D" w:rsidRDefault="005112A1" w:rsidP="005112A1">
      <w:pPr>
        <w:pStyle w:val="ListBullet"/>
      </w:pPr>
      <w:r w:rsidRPr="00D85A6D">
        <w:t>the events that led to the premature release of the report</w:t>
      </w:r>
    </w:p>
    <w:p w14:paraId="5C5E110E" w14:textId="4706CBBD" w:rsidR="005112A1" w:rsidRPr="00D85A6D" w:rsidRDefault="005112A1" w:rsidP="005112A1">
      <w:pPr>
        <w:pStyle w:val="ListBullet"/>
      </w:pPr>
      <w:r w:rsidRPr="00D85A6D">
        <w:t>the Murray</w:t>
      </w:r>
      <w:r w:rsidR="00A708C7">
        <w:t>–</w:t>
      </w:r>
      <w:r w:rsidRPr="00D85A6D">
        <w:t>Darling Basin Authority’s response to the premature release of an incorrect version of the report</w:t>
      </w:r>
    </w:p>
    <w:p w14:paraId="1FC12459" w14:textId="6AC2E1E8" w:rsidR="005112A1" w:rsidRPr="00D85A6D" w:rsidRDefault="005112A1" w:rsidP="005112A1">
      <w:pPr>
        <w:pStyle w:val="ListBullet"/>
      </w:pPr>
      <w:r w:rsidRPr="00D85A6D">
        <w:t>the adequacy of Murray</w:t>
      </w:r>
      <w:r w:rsidR="00A708C7">
        <w:t>–</w:t>
      </w:r>
      <w:r w:rsidRPr="00D85A6D">
        <w:t>Darling Basin Authority procedures for managing the release of compliance and enforcement related information.</w:t>
      </w:r>
    </w:p>
    <w:p w14:paraId="4F9C3123" w14:textId="1F6B6B1E" w:rsidR="005112A1" w:rsidRPr="00D85A6D" w:rsidRDefault="005112A1" w:rsidP="005112A1">
      <w:r w:rsidRPr="00D85A6D">
        <w:t>The report was submitted to the (previous) Minister for Water Resources on 30</w:t>
      </w:r>
      <w:r w:rsidR="007779CC">
        <w:t> </w:t>
      </w:r>
      <w:r w:rsidRPr="00D85A6D">
        <w:t>November</w:t>
      </w:r>
      <w:r w:rsidR="007779CC">
        <w:t> </w:t>
      </w:r>
      <w:r w:rsidRPr="00D85A6D">
        <w:t>2019</w:t>
      </w:r>
      <w:r>
        <w:t xml:space="preserve">. The report </w:t>
      </w:r>
      <w:r w:rsidR="00387E56">
        <w:t xml:space="preserve">is available on the </w:t>
      </w:r>
      <w:hyperlink r:id="rId27" w:history="1">
        <w:r w:rsidR="000434F1" w:rsidRPr="000434F1">
          <w:rPr>
            <w:rStyle w:val="Hyperlink"/>
          </w:rPr>
          <w:t>I</w:t>
        </w:r>
        <w:r w:rsidR="002E0390">
          <w:rPr>
            <w:rStyle w:val="Hyperlink"/>
          </w:rPr>
          <w:t>I</w:t>
        </w:r>
        <w:r w:rsidR="000434F1" w:rsidRPr="000434F1">
          <w:rPr>
            <w:rStyle w:val="Hyperlink"/>
          </w:rPr>
          <w:t>G website</w:t>
        </w:r>
      </w:hyperlink>
      <w:r>
        <w:t>.</w:t>
      </w:r>
    </w:p>
    <w:p w14:paraId="3615FE82" w14:textId="36A0867B" w:rsidR="005112A1" w:rsidRPr="00D85A6D" w:rsidRDefault="005112A1" w:rsidP="0067446F">
      <w:pPr>
        <w:pStyle w:val="Heading4"/>
        <w:numPr>
          <w:ilvl w:val="0"/>
          <w:numId w:val="0"/>
        </w:numPr>
        <w:ind w:left="964" w:hanging="964"/>
      </w:pPr>
      <w:r w:rsidRPr="00D85A6D">
        <w:t xml:space="preserve">Water </w:t>
      </w:r>
      <w:r w:rsidR="00F76B6C">
        <w:t>s</w:t>
      </w:r>
      <w:r w:rsidRPr="00D85A6D">
        <w:t xml:space="preserve">haring </w:t>
      </w:r>
      <w:r w:rsidR="00F76B6C">
        <w:t>i</w:t>
      </w:r>
      <w:r w:rsidRPr="00D85A6D">
        <w:t>nquiry</w:t>
      </w:r>
    </w:p>
    <w:p w14:paraId="04D17F32" w14:textId="7AC388BF" w:rsidR="005112A1" w:rsidRPr="00D85A6D" w:rsidRDefault="005112A1" w:rsidP="005112A1">
      <w:r w:rsidRPr="00D85A6D">
        <w:t xml:space="preserve">The IIG </w:t>
      </w:r>
      <w:r>
        <w:t>undertook</w:t>
      </w:r>
      <w:r w:rsidRPr="00D85A6D">
        <w:t xml:space="preserve"> an inquiry into the management of Murray</w:t>
      </w:r>
      <w:r w:rsidR="00A708C7">
        <w:t>–</w:t>
      </w:r>
      <w:r w:rsidRPr="00D85A6D">
        <w:t>Darling Basin water resources, specifically to consider:</w:t>
      </w:r>
    </w:p>
    <w:p w14:paraId="74095CF4" w14:textId="5BB91566" w:rsidR="005112A1" w:rsidRPr="00D85A6D" w:rsidRDefault="005112A1" w:rsidP="005112A1">
      <w:pPr>
        <w:pStyle w:val="ListBullet"/>
      </w:pPr>
      <w:r w:rsidRPr="00D85A6D">
        <w:t xml:space="preserve">the impact of the changing distribution of inflows to the southern Basin on </w:t>
      </w:r>
      <w:r w:rsidR="007779CC">
        <w:t>s</w:t>
      </w:r>
      <w:r w:rsidRPr="00D85A6D">
        <w:t>tate shares under the Murray</w:t>
      </w:r>
      <w:r w:rsidR="00A708C7">
        <w:t>–</w:t>
      </w:r>
      <w:r w:rsidRPr="00D85A6D">
        <w:t>Darling Basin Agreement</w:t>
      </w:r>
    </w:p>
    <w:p w14:paraId="263FFAE6" w14:textId="617BC648" w:rsidR="005112A1" w:rsidRPr="00D85A6D" w:rsidRDefault="005112A1" w:rsidP="005112A1">
      <w:pPr>
        <w:pStyle w:val="ListBullet"/>
      </w:pPr>
      <w:r w:rsidRPr="00D85A6D">
        <w:t xml:space="preserve">any consequential impacts on the </w:t>
      </w:r>
      <w:r w:rsidR="007779CC">
        <w:t>s</w:t>
      </w:r>
      <w:r w:rsidRPr="00D85A6D">
        <w:t xml:space="preserve">tate shares resulting from reserves required under the </w:t>
      </w:r>
      <w:r w:rsidR="007779CC">
        <w:t>a</w:t>
      </w:r>
      <w:r w:rsidRPr="00D85A6D">
        <w:t xml:space="preserve">greement, including how these interact with </w:t>
      </w:r>
      <w:r w:rsidR="007779CC">
        <w:t>s</w:t>
      </w:r>
      <w:r w:rsidRPr="00D85A6D">
        <w:t>tate allocation policies.</w:t>
      </w:r>
    </w:p>
    <w:p w14:paraId="7F88FF93" w14:textId="1C7F9C7B" w:rsidR="005112A1" w:rsidRDefault="005112A1" w:rsidP="005112A1">
      <w:r w:rsidRPr="00FD762F">
        <w:t xml:space="preserve">The </w:t>
      </w:r>
      <w:r w:rsidR="004C4099">
        <w:t>i</w:t>
      </w:r>
      <w:r w:rsidRPr="00FD762F">
        <w:t>nquiry heard from many interested and engaged people across the Murray</w:t>
      </w:r>
      <w:r w:rsidR="00A708C7">
        <w:t>–</w:t>
      </w:r>
      <w:r w:rsidRPr="00FD762F">
        <w:t>Darling Basin</w:t>
      </w:r>
      <w:r>
        <w:t xml:space="preserve">, </w:t>
      </w:r>
      <w:r w:rsidRPr="00532BFE">
        <w:t>including irrigators, community members, subject matter experts and environmental groups.</w:t>
      </w:r>
    </w:p>
    <w:p w14:paraId="45C1A92E" w14:textId="14A58990" w:rsidR="005112A1" w:rsidRDefault="005112A1" w:rsidP="005112A1">
      <w:r w:rsidRPr="00D85A6D">
        <w:t xml:space="preserve">A report </w:t>
      </w:r>
      <w:r>
        <w:t>was submitted to the Minister for Resources, Water and Northern Australia</w:t>
      </w:r>
      <w:r w:rsidRPr="00D85A6D">
        <w:t xml:space="preserve"> </w:t>
      </w:r>
      <w:r>
        <w:t>on 27</w:t>
      </w:r>
      <w:r w:rsidR="007779CC">
        <w:t> </w:t>
      </w:r>
      <w:r w:rsidRPr="00D85A6D">
        <w:t>March</w:t>
      </w:r>
      <w:r w:rsidR="007779CC">
        <w:t> </w:t>
      </w:r>
      <w:r w:rsidRPr="00D85A6D">
        <w:t>2020</w:t>
      </w:r>
      <w:r>
        <w:t xml:space="preserve"> and publicly released on 17</w:t>
      </w:r>
      <w:r w:rsidR="007779CC">
        <w:t> </w:t>
      </w:r>
      <w:r>
        <w:t>April</w:t>
      </w:r>
      <w:r w:rsidR="007779CC">
        <w:t> </w:t>
      </w:r>
      <w:r>
        <w:t>2020</w:t>
      </w:r>
      <w:r w:rsidRPr="00D85A6D">
        <w:t>.</w:t>
      </w:r>
      <w:r>
        <w:t xml:space="preserve"> The report can be found </w:t>
      </w:r>
      <w:r w:rsidR="00F76B6C">
        <w:t xml:space="preserve">on the </w:t>
      </w:r>
      <w:hyperlink r:id="rId28" w:history="1">
        <w:r w:rsidR="000434F1" w:rsidRPr="000434F1">
          <w:rPr>
            <w:rStyle w:val="Hyperlink"/>
          </w:rPr>
          <w:t>I</w:t>
        </w:r>
        <w:r w:rsidR="002E0390">
          <w:rPr>
            <w:rStyle w:val="Hyperlink"/>
          </w:rPr>
          <w:t>I</w:t>
        </w:r>
        <w:r w:rsidR="000434F1" w:rsidRPr="000434F1">
          <w:rPr>
            <w:rStyle w:val="Hyperlink"/>
          </w:rPr>
          <w:t>G website</w:t>
        </w:r>
      </w:hyperlink>
      <w:r>
        <w:t>.</w:t>
      </w:r>
    </w:p>
    <w:p w14:paraId="31843070" w14:textId="77777777" w:rsidR="005112A1" w:rsidRPr="00E01896" w:rsidRDefault="005112A1" w:rsidP="00C73C5C">
      <w:pPr>
        <w:pStyle w:val="Heading4"/>
        <w:numPr>
          <w:ilvl w:val="0"/>
          <w:numId w:val="0"/>
        </w:numPr>
        <w:ind w:left="964" w:hanging="964"/>
        <w:rPr>
          <w:rFonts w:eastAsiaTheme="minorHAnsi"/>
        </w:rPr>
      </w:pPr>
      <w:r w:rsidRPr="00E01896">
        <w:rPr>
          <w:rFonts w:eastAsiaTheme="minorHAnsi"/>
        </w:rPr>
        <w:t>Investigation into Lower Murray groundwater entitlements</w:t>
      </w:r>
    </w:p>
    <w:p w14:paraId="374313A7" w14:textId="4BA966B8" w:rsidR="005112A1" w:rsidRDefault="005112A1" w:rsidP="005112A1">
      <w:r w:rsidRPr="00D85A6D">
        <w:t xml:space="preserve">The IIG </w:t>
      </w:r>
      <w:r>
        <w:t xml:space="preserve">has commenced an inquiry into Lower Murray groundwater entitlements, to determine whether flood recharge was considered in the modelling of the Lower Murray </w:t>
      </w:r>
      <w:r w:rsidR="00FC0B86">
        <w:t xml:space="preserve">sustainable diversion </w:t>
      </w:r>
      <w:proofErr w:type="gramStart"/>
      <w:r w:rsidR="00FC0B86">
        <w:t xml:space="preserve">limits </w:t>
      </w:r>
      <w:r>
        <w:t xml:space="preserve"> when</w:t>
      </w:r>
      <w:proofErr w:type="gramEnd"/>
      <w:r>
        <w:t xml:space="preserve"> it was set under the Basin Plan.</w:t>
      </w:r>
    </w:p>
    <w:p w14:paraId="2355B4C7" w14:textId="31CD6178" w:rsidR="005112A1" w:rsidRDefault="005112A1" w:rsidP="00560D5C">
      <w:pPr>
        <w:pStyle w:val="Heading3"/>
        <w:numPr>
          <w:ilvl w:val="0"/>
          <w:numId w:val="0"/>
        </w:numPr>
        <w:ind w:left="964" w:hanging="964"/>
      </w:pPr>
      <w:bookmarkStart w:id="19" w:name="_Toc45205836"/>
      <w:r w:rsidRPr="004954B7">
        <w:t>I</w:t>
      </w:r>
      <w:r>
        <w:t>nterim Inspector</w:t>
      </w:r>
      <w:r w:rsidR="00F76B6C">
        <w:t>-</w:t>
      </w:r>
      <w:r>
        <w:t>General</w:t>
      </w:r>
      <w:r w:rsidRPr="004954B7">
        <w:t xml:space="preserve"> </w:t>
      </w:r>
      <w:r w:rsidR="00F76B6C">
        <w:t>c</w:t>
      </w:r>
      <w:r w:rsidRPr="004954B7">
        <w:t>orrespondence</w:t>
      </w:r>
      <w:bookmarkEnd w:id="19"/>
    </w:p>
    <w:p w14:paraId="10F04275" w14:textId="0F969087" w:rsidR="00F0346E" w:rsidRDefault="008B2884" w:rsidP="00F0346E">
      <w:r>
        <w:fldChar w:fldCharType="begin"/>
      </w:r>
      <w:r>
        <w:instrText xml:space="preserve"> REF _Ref45205721 \h </w:instrText>
      </w:r>
      <w:r>
        <w:fldChar w:fldCharType="separate"/>
      </w:r>
      <w:r w:rsidR="00074229">
        <w:t xml:space="preserve">Table </w:t>
      </w:r>
      <w:r w:rsidR="00074229">
        <w:rPr>
          <w:noProof/>
        </w:rPr>
        <w:t>1</w:t>
      </w:r>
      <w:r>
        <w:fldChar w:fldCharType="end"/>
      </w:r>
      <w:r>
        <w:t xml:space="preserve"> </w:t>
      </w:r>
      <w:r w:rsidR="004C674D">
        <w:t>details IIG correspondence between 16</w:t>
      </w:r>
      <w:r w:rsidR="004858DC">
        <w:t> </w:t>
      </w:r>
      <w:r w:rsidR="004C674D">
        <w:t>December</w:t>
      </w:r>
      <w:r w:rsidR="004858DC">
        <w:t> </w:t>
      </w:r>
      <w:r w:rsidR="004C674D">
        <w:t>2019 and 30</w:t>
      </w:r>
      <w:r w:rsidR="004858DC">
        <w:t> </w:t>
      </w:r>
      <w:r w:rsidR="004C674D">
        <w:t>June</w:t>
      </w:r>
      <w:r w:rsidR="004858DC">
        <w:t> </w:t>
      </w:r>
      <w:r w:rsidR="004C674D">
        <w:t>2020.</w:t>
      </w:r>
    </w:p>
    <w:p w14:paraId="2373C922" w14:textId="70B25D03" w:rsidR="004C674D" w:rsidRPr="000D24ED" w:rsidRDefault="008B2884" w:rsidP="00FC0B86">
      <w:pPr>
        <w:pStyle w:val="Caption"/>
      </w:pPr>
      <w:bookmarkStart w:id="20" w:name="_Ref45205721"/>
      <w:bookmarkStart w:id="21" w:name="_Toc45205625"/>
      <w:r>
        <w:lastRenderedPageBreak/>
        <w:t xml:space="preserve">Table </w:t>
      </w:r>
      <w:r w:rsidR="00B30960">
        <w:rPr>
          <w:noProof/>
        </w:rPr>
        <w:fldChar w:fldCharType="begin"/>
      </w:r>
      <w:r w:rsidR="00B30960">
        <w:rPr>
          <w:noProof/>
        </w:rPr>
        <w:instrText xml:space="preserve"> SEQ Table \* ARABIC </w:instrText>
      </w:r>
      <w:r w:rsidR="00B30960">
        <w:rPr>
          <w:noProof/>
        </w:rPr>
        <w:fldChar w:fldCharType="separate"/>
      </w:r>
      <w:r w:rsidR="00074229">
        <w:rPr>
          <w:noProof/>
        </w:rPr>
        <w:t>1</w:t>
      </w:r>
      <w:r w:rsidR="00B30960">
        <w:rPr>
          <w:noProof/>
        </w:rPr>
        <w:fldChar w:fldCharType="end"/>
      </w:r>
      <w:bookmarkEnd w:id="20"/>
      <w:r w:rsidR="004C674D">
        <w:t xml:space="preserve"> IIG correspondence</w:t>
      </w:r>
      <w:bookmarkEnd w:id="21"/>
    </w:p>
    <w:tbl>
      <w:tblPr>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083"/>
      </w:tblGrid>
      <w:tr w:rsidR="002E0390" w:rsidRPr="004954B7" w14:paraId="2F664060" w14:textId="77777777" w:rsidTr="00630604">
        <w:trPr>
          <w:cantSplit/>
          <w:tblHeader/>
        </w:trPr>
        <w:tc>
          <w:tcPr>
            <w:tcW w:w="1696" w:type="dxa"/>
            <w:shd w:val="clear" w:color="auto" w:fill="auto"/>
            <w:noWrap/>
          </w:tcPr>
          <w:p w14:paraId="19D799EA" w14:textId="2CBD2031" w:rsidR="002E0390" w:rsidRPr="004954B7" w:rsidRDefault="002E0390" w:rsidP="00FC0B86">
            <w:pPr>
              <w:pStyle w:val="TableHeading"/>
              <w:rPr>
                <w:lang w:eastAsia="en-AU"/>
              </w:rPr>
            </w:pPr>
            <w:r>
              <w:rPr>
                <w:lang w:eastAsia="en-AU"/>
              </w:rPr>
              <w:t>Date</w:t>
            </w:r>
          </w:p>
        </w:tc>
        <w:tc>
          <w:tcPr>
            <w:tcW w:w="7083" w:type="dxa"/>
            <w:shd w:val="clear" w:color="auto" w:fill="auto"/>
          </w:tcPr>
          <w:p w14:paraId="7F3856C8" w14:textId="28889B39" w:rsidR="002E0390" w:rsidRPr="004954B7" w:rsidRDefault="002E0390" w:rsidP="00FC0B86">
            <w:pPr>
              <w:pStyle w:val="TableHeading"/>
              <w:rPr>
                <w:lang w:eastAsia="en-AU"/>
              </w:rPr>
            </w:pPr>
            <w:r>
              <w:rPr>
                <w:lang w:eastAsia="en-AU"/>
              </w:rPr>
              <w:t>Co</w:t>
            </w:r>
            <w:r w:rsidR="004858DC">
              <w:rPr>
                <w:lang w:eastAsia="en-AU"/>
              </w:rPr>
              <w:t>r</w:t>
            </w:r>
            <w:r>
              <w:rPr>
                <w:lang w:eastAsia="en-AU"/>
              </w:rPr>
              <w:t>respondence</w:t>
            </w:r>
          </w:p>
        </w:tc>
      </w:tr>
      <w:tr w:rsidR="005112A1" w:rsidRPr="004954B7" w14:paraId="5A575E72" w14:textId="77777777" w:rsidTr="00630604">
        <w:trPr>
          <w:trHeight w:val="580"/>
        </w:trPr>
        <w:tc>
          <w:tcPr>
            <w:tcW w:w="1696" w:type="dxa"/>
            <w:shd w:val="clear" w:color="auto" w:fill="auto"/>
            <w:noWrap/>
            <w:hideMark/>
          </w:tcPr>
          <w:p w14:paraId="2A04F83B" w14:textId="1BB7A22A" w:rsidR="005112A1" w:rsidRPr="00435090" w:rsidRDefault="005112A1" w:rsidP="00B30960">
            <w:pPr>
              <w:pStyle w:val="TableText"/>
              <w:rPr>
                <w:lang w:eastAsia="en-AU"/>
              </w:rPr>
            </w:pPr>
            <w:r w:rsidRPr="004954B7">
              <w:rPr>
                <w:lang w:eastAsia="en-AU"/>
              </w:rPr>
              <w:t>1</w:t>
            </w:r>
            <w:r w:rsidR="00B30960">
              <w:rPr>
                <w:lang w:eastAsia="en-AU"/>
              </w:rPr>
              <w:t xml:space="preserve">6 December </w:t>
            </w:r>
            <w:r w:rsidRPr="004954B7">
              <w:rPr>
                <w:lang w:eastAsia="en-AU"/>
              </w:rPr>
              <w:t>2019</w:t>
            </w:r>
          </w:p>
        </w:tc>
        <w:tc>
          <w:tcPr>
            <w:tcW w:w="7083" w:type="dxa"/>
            <w:shd w:val="clear" w:color="auto" w:fill="auto"/>
            <w:hideMark/>
          </w:tcPr>
          <w:p w14:paraId="1BB3C348" w14:textId="7A42EB29" w:rsidR="005112A1" w:rsidRPr="00435090" w:rsidRDefault="005112A1" w:rsidP="005112A1">
            <w:pPr>
              <w:pStyle w:val="TableText"/>
              <w:rPr>
                <w:lang w:eastAsia="en-AU"/>
              </w:rPr>
            </w:pPr>
            <w:r w:rsidRPr="004954B7">
              <w:rPr>
                <w:lang w:eastAsia="en-AU"/>
              </w:rPr>
              <w:t>Northern Basin Commissioner First year report provided to The Sena</w:t>
            </w:r>
            <w:r>
              <w:rPr>
                <w:lang w:eastAsia="en-AU"/>
              </w:rPr>
              <w:t>te Select Committee on the Multi</w:t>
            </w:r>
            <w:r w:rsidRPr="004954B7">
              <w:rPr>
                <w:lang w:eastAsia="en-AU"/>
              </w:rPr>
              <w:t>-Jurisdictional Management and Execution of the Murray</w:t>
            </w:r>
            <w:r w:rsidR="00A708C7">
              <w:rPr>
                <w:lang w:eastAsia="en-AU"/>
              </w:rPr>
              <w:t>–</w:t>
            </w:r>
            <w:r w:rsidRPr="004954B7">
              <w:rPr>
                <w:lang w:eastAsia="en-AU"/>
              </w:rPr>
              <w:t>Darling Basin Plan</w:t>
            </w:r>
          </w:p>
        </w:tc>
      </w:tr>
      <w:tr w:rsidR="005112A1" w:rsidRPr="004954B7" w14:paraId="5D937D53" w14:textId="77777777" w:rsidTr="00630604">
        <w:trPr>
          <w:trHeight w:val="580"/>
        </w:trPr>
        <w:tc>
          <w:tcPr>
            <w:tcW w:w="1696" w:type="dxa"/>
            <w:shd w:val="clear" w:color="auto" w:fill="auto"/>
            <w:noWrap/>
            <w:hideMark/>
          </w:tcPr>
          <w:p w14:paraId="64CF2B94" w14:textId="004AEA56" w:rsidR="005112A1" w:rsidRPr="00435090" w:rsidRDefault="005112A1" w:rsidP="00B30960">
            <w:pPr>
              <w:pStyle w:val="TableText"/>
              <w:rPr>
                <w:lang w:eastAsia="en-AU"/>
              </w:rPr>
            </w:pPr>
            <w:r w:rsidRPr="004954B7">
              <w:rPr>
                <w:lang w:eastAsia="en-AU"/>
              </w:rPr>
              <w:t>24</w:t>
            </w:r>
            <w:r w:rsidR="00B30960">
              <w:rPr>
                <w:lang w:eastAsia="en-AU"/>
              </w:rPr>
              <w:t xml:space="preserve"> December </w:t>
            </w:r>
            <w:r w:rsidRPr="004954B7">
              <w:rPr>
                <w:lang w:eastAsia="en-AU"/>
              </w:rPr>
              <w:t>2019</w:t>
            </w:r>
          </w:p>
        </w:tc>
        <w:tc>
          <w:tcPr>
            <w:tcW w:w="7083" w:type="dxa"/>
            <w:shd w:val="clear" w:color="auto" w:fill="auto"/>
            <w:hideMark/>
          </w:tcPr>
          <w:p w14:paraId="7AC7C9BE" w14:textId="550CA528" w:rsidR="005112A1" w:rsidRPr="00435090" w:rsidRDefault="005112A1" w:rsidP="005112A1">
            <w:pPr>
              <w:pStyle w:val="TableText"/>
              <w:rPr>
                <w:lang w:eastAsia="en-AU"/>
              </w:rPr>
            </w:pPr>
            <w:r w:rsidRPr="004954B7">
              <w:rPr>
                <w:lang w:eastAsia="en-AU"/>
              </w:rPr>
              <w:t>Correspondence to the Minister for Water Resources, Drought, Rural Finance, Natural Disaster and Emergency</w:t>
            </w:r>
          </w:p>
        </w:tc>
      </w:tr>
      <w:tr w:rsidR="005112A1" w:rsidRPr="004954B7" w14:paraId="6D2CAA56" w14:textId="77777777" w:rsidTr="00630604">
        <w:trPr>
          <w:trHeight w:val="580"/>
        </w:trPr>
        <w:tc>
          <w:tcPr>
            <w:tcW w:w="1696" w:type="dxa"/>
            <w:shd w:val="clear" w:color="auto" w:fill="auto"/>
            <w:noWrap/>
            <w:hideMark/>
          </w:tcPr>
          <w:p w14:paraId="7E3BCA5E" w14:textId="6128C70C" w:rsidR="005112A1" w:rsidRPr="00435090" w:rsidRDefault="005112A1" w:rsidP="00B30960">
            <w:pPr>
              <w:pStyle w:val="TableText"/>
              <w:rPr>
                <w:lang w:eastAsia="en-AU"/>
              </w:rPr>
            </w:pPr>
            <w:r w:rsidRPr="00435090">
              <w:rPr>
                <w:lang w:eastAsia="en-AU"/>
              </w:rPr>
              <w:t>20</w:t>
            </w:r>
            <w:r w:rsidR="00B30960">
              <w:rPr>
                <w:lang w:eastAsia="en-AU"/>
              </w:rPr>
              <w:t xml:space="preserve"> April </w:t>
            </w:r>
            <w:r w:rsidRPr="00435090">
              <w:rPr>
                <w:lang w:eastAsia="en-AU"/>
              </w:rPr>
              <w:t>2020</w:t>
            </w:r>
          </w:p>
        </w:tc>
        <w:tc>
          <w:tcPr>
            <w:tcW w:w="7083" w:type="dxa"/>
            <w:shd w:val="clear" w:color="auto" w:fill="auto"/>
            <w:hideMark/>
          </w:tcPr>
          <w:p w14:paraId="56CF6398" w14:textId="7C07E005" w:rsidR="005112A1" w:rsidRPr="00435090" w:rsidRDefault="005112A1" w:rsidP="005112A1">
            <w:pPr>
              <w:pStyle w:val="TableText"/>
              <w:rPr>
                <w:lang w:eastAsia="en-AU"/>
              </w:rPr>
            </w:pPr>
            <w:r w:rsidRPr="004954B7">
              <w:rPr>
                <w:lang w:eastAsia="en-AU"/>
              </w:rPr>
              <w:t xml:space="preserve">Submission to </w:t>
            </w:r>
            <w:r w:rsidRPr="004954B7">
              <w:t>The Senate Select Committee on the Mul</w:t>
            </w:r>
            <w:r>
              <w:t>ti-Juris</w:t>
            </w:r>
            <w:r w:rsidRPr="004954B7">
              <w:t>dictional Management and Execution of the Murray</w:t>
            </w:r>
            <w:r w:rsidR="00A708C7">
              <w:t>–</w:t>
            </w:r>
            <w:r w:rsidRPr="004954B7">
              <w:t>Darling Basin Plan titled Impact of lower inflows on state shares under the Murray</w:t>
            </w:r>
            <w:r w:rsidR="00A708C7">
              <w:t>–</w:t>
            </w:r>
            <w:r w:rsidRPr="004954B7">
              <w:t>Darling Basin Agreement</w:t>
            </w:r>
          </w:p>
        </w:tc>
      </w:tr>
      <w:tr w:rsidR="005112A1" w:rsidRPr="004954B7" w14:paraId="7BF71D1B" w14:textId="77777777" w:rsidTr="00630604">
        <w:trPr>
          <w:trHeight w:val="944"/>
        </w:trPr>
        <w:tc>
          <w:tcPr>
            <w:tcW w:w="1696" w:type="dxa"/>
            <w:shd w:val="clear" w:color="auto" w:fill="auto"/>
            <w:noWrap/>
            <w:hideMark/>
          </w:tcPr>
          <w:p w14:paraId="658FA990" w14:textId="552A1753" w:rsidR="005112A1" w:rsidRPr="00435090" w:rsidRDefault="005112A1" w:rsidP="005112A1">
            <w:pPr>
              <w:pStyle w:val="TableText"/>
              <w:rPr>
                <w:lang w:eastAsia="en-AU"/>
              </w:rPr>
            </w:pPr>
            <w:r w:rsidRPr="00435090">
              <w:rPr>
                <w:lang w:eastAsia="en-AU"/>
              </w:rPr>
              <w:t>13</w:t>
            </w:r>
            <w:r w:rsidR="00B30960">
              <w:rPr>
                <w:lang w:eastAsia="en-AU"/>
              </w:rPr>
              <w:t xml:space="preserve"> May </w:t>
            </w:r>
            <w:r w:rsidRPr="00435090">
              <w:rPr>
                <w:lang w:eastAsia="en-AU"/>
              </w:rPr>
              <w:t>2020</w:t>
            </w:r>
          </w:p>
        </w:tc>
        <w:tc>
          <w:tcPr>
            <w:tcW w:w="7083" w:type="dxa"/>
            <w:shd w:val="clear" w:color="auto" w:fill="auto"/>
            <w:hideMark/>
          </w:tcPr>
          <w:p w14:paraId="5368F11F" w14:textId="4ACDC091" w:rsidR="005112A1" w:rsidRPr="00435090" w:rsidRDefault="005112A1" w:rsidP="005112A1">
            <w:pPr>
              <w:pStyle w:val="TableText"/>
            </w:pPr>
            <w:r w:rsidRPr="004954B7">
              <w:rPr>
                <w:lang w:eastAsia="en-AU"/>
              </w:rPr>
              <w:t xml:space="preserve">Provision of responses to Questions on Notice to the </w:t>
            </w:r>
            <w:r w:rsidRPr="004954B7">
              <w:t>Senate Select Committee on the Mul</w:t>
            </w:r>
            <w:r>
              <w:t>ti-Juris</w:t>
            </w:r>
            <w:r w:rsidRPr="004954B7">
              <w:t>dictional Management and Execution of the Murray</w:t>
            </w:r>
            <w:r w:rsidR="00A708C7">
              <w:t>–</w:t>
            </w:r>
            <w:r w:rsidRPr="004954B7">
              <w:t>Darling Basin Plan following appearance before the Committee on 12 May 2020</w:t>
            </w:r>
          </w:p>
        </w:tc>
      </w:tr>
      <w:tr w:rsidR="005112A1" w:rsidRPr="004954B7" w14:paraId="6190C601" w14:textId="77777777" w:rsidTr="00630604">
        <w:trPr>
          <w:trHeight w:val="290"/>
        </w:trPr>
        <w:tc>
          <w:tcPr>
            <w:tcW w:w="1696" w:type="dxa"/>
            <w:shd w:val="clear" w:color="auto" w:fill="auto"/>
            <w:noWrap/>
            <w:hideMark/>
          </w:tcPr>
          <w:p w14:paraId="522495C2" w14:textId="5261465A" w:rsidR="005112A1" w:rsidRPr="00435090" w:rsidRDefault="005112A1" w:rsidP="005112A1">
            <w:pPr>
              <w:pStyle w:val="TableText"/>
              <w:rPr>
                <w:lang w:eastAsia="en-AU"/>
              </w:rPr>
            </w:pPr>
            <w:r w:rsidRPr="00435090">
              <w:rPr>
                <w:lang w:eastAsia="en-AU"/>
              </w:rPr>
              <w:t>26</w:t>
            </w:r>
            <w:r w:rsidR="00B30960">
              <w:rPr>
                <w:lang w:eastAsia="en-AU"/>
              </w:rPr>
              <w:t xml:space="preserve"> May </w:t>
            </w:r>
            <w:r w:rsidRPr="00435090">
              <w:rPr>
                <w:lang w:eastAsia="en-AU"/>
              </w:rPr>
              <w:t>2020</w:t>
            </w:r>
          </w:p>
        </w:tc>
        <w:tc>
          <w:tcPr>
            <w:tcW w:w="7083" w:type="dxa"/>
            <w:shd w:val="clear" w:color="auto" w:fill="auto"/>
            <w:noWrap/>
            <w:hideMark/>
          </w:tcPr>
          <w:p w14:paraId="6092248B" w14:textId="77777777" w:rsidR="005112A1" w:rsidRPr="00435090" w:rsidRDefault="005112A1" w:rsidP="005112A1">
            <w:pPr>
              <w:pStyle w:val="TableText"/>
              <w:rPr>
                <w:lang w:eastAsia="en-AU"/>
              </w:rPr>
            </w:pPr>
            <w:r w:rsidRPr="004954B7">
              <w:rPr>
                <w:lang w:eastAsia="en-AU"/>
              </w:rPr>
              <w:t xml:space="preserve">Correspondence to Chief Executive, MDBA and Chief Executive Officer, Department of Planning, Industry and Environment (NSW) referring correspondence received from </w:t>
            </w:r>
            <w:proofErr w:type="spellStart"/>
            <w:r w:rsidRPr="00435090">
              <w:rPr>
                <w:lang w:eastAsia="en-AU"/>
              </w:rPr>
              <w:t>SunRice</w:t>
            </w:r>
            <w:proofErr w:type="spellEnd"/>
            <w:r w:rsidRPr="00435090">
              <w:rPr>
                <w:lang w:eastAsia="en-AU"/>
              </w:rPr>
              <w:t xml:space="preserve">/Rice Growers Association </w:t>
            </w:r>
            <w:r w:rsidRPr="004954B7">
              <w:rPr>
                <w:lang w:eastAsia="en-AU"/>
              </w:rPr>
              <w:t>regarding priority water issues</w:t>
            </w:r>
          </w:p>
        </w:tc>
      </w:tr>
      <w:tr w:rsidR="005112A1" w:rsidRPr="004954B7" w14:paraId="2C519138" w14:textId="77777777" w:rsidTr="00630604">
        <w:trPr>
          <w:trHeight w:val="870"/>
        </w:trPr>
        <w:tc>
          <w:tcPr>
            <w:tcW w:w="1696" w:type="dxa"/>
            <w:shd w:val="clear" w:color="auto" w:fill="auto"/>
            <w:noWrap/>
            <w:hideMark/>
          </w:tcPr>
          <w:p w14:paraId="0A090895" w14:textId="78D4D610" w:rsidR="005112A1" w:rsidRPr="00435090" w:rsidRDefault="005112A1" w:rsidP="005112A1">
            <w:pPr>
              <w:pStyle w:val="TableText"/>
              <w:rPr>
                <w:lang w:eastAsia="en-AU"/>
              </w:rPr>
            </w:pPr>
            <w:r w:rsidRPr="00435090">
              <w:rPr>
                <w:lang w:eastAsia="en-AU"/>
              </w:rPr>
              <w:t>26</w:t>
            </w:r>
            <w:r w:rsidR="00B30960">
              <w:rPr>
                <w:lang w:eastAsia="en-AU"/>
              </w:rPr>
              <w:t xml:space="preserve"> May </w:t>
            </w:r>
            <w:r w:rsidRPr="00435090">
              <w:rPr>
                <w:lang w:eastAsia="en-AU"/>
              </w:rPr>
              <w:t>2020</w:t>
            </w:r>
          </w:p>
        </w:tc>
        <w:tc>
          <w:tcPr>
            <w:tcW w:w="7083" w:type="dxa"/>
            <w:shd w:val="clear" w:color="auto" w:fill="auto"/>
            <w:hideMark/>
          </w:tcPr>
          <w:p w14:paraId="179AE50B" w14:textId="18252F2F" w:rsidR="005112A1" w:rsidRPr="00435090" w:rsidRDefault="005112A1" w:rsidP="005112A1">
            <w:pPr>
              <w:pStyle w:val="TableText"/>
              <w:rPr>
                <w:lang w:eastAsia="en-AU"/>
              </w:rPr>
            </w:pPr>
            <w:r w:rsidRPr="004954B7">
              <w:rPr>
                <w:lang w:eastAsia="en-AU"/>
              </w:rPr>
              <w:t xml:space="preserve">Supplementary submission to </w:t>
            </w:r>
            <w:r w:rsidRPr="004954B7">
              <w:t>The Senate Select Committee on the Mul</w:t>
            </w:r>
            <w:r>
              <w:t>ti-Juris</w:t>
            </w:r>
            <w:r w:rsidRPr="004954B7">
              <w:t>dictional Management and Execution of the Murray</w:t>
            </w:r>
            <w:r w:rsidR="00A708C7">
              <w:t>–</w:t>
            </w:r>
            <w:r w:rsidRPr="004954B7">
              <w:t xml:space="preserve">Darling Basin Plan </w:t>
            </w:r>
            <w:r w:rsidRPr="00435090">
              <w:rPr>
                <w:lang w:eastAsia="en-AU"/>
              </w:rPr>
              <w:t>regarding the percentage that the Menindee Lakes scheme delivers to South Australia to meet part of its annual entitlement</w:t>
            </w:r>
          </w:p>
        </w:tc>
      </w:tr>
      <w:tr w:rsidR="005112A1" w:rsidRPr="004954B7" w14:paraId="5E82AA36" w14:textId="77777777" w:rsidTr="00630604">
        <w:trPr>
          <w:trHeight w:val="580"/>
        </w:trPr>
        <w:tc>
          <w:tcPr>
            <w:tcW w:w="1696" w:type="dxa"/>
            <w:shd w:val="clear" w:color="auto" w:fill="auto"/>
            <w:noWrap/>
            <w:hideMark/>
          </w:tcPr>
          <w:p w14:paraId="503CC9FD" w14:textId="658FCBDA" w:rsidR="005112A1" w:rsidRPr="00435090" w:rsidRDefault="005112A1" w:rsidP="00B30960">
            <w:pPr>
              <w:pStyle w:val="TableText"/>
              <w:rPr>
                <w:lang w:eastAsia="en-AU"/>
              </w:rPr>
            </w:pPr>
            <w:r w:rsidRPr="00435090">
              <w:rPr>
                <w:lang w:eastAsia="en-AU"/>
              </w:rPr>
              <w:t>10</w:t>
            </w:r>
            <w:r w:rsidR="00B30960">
              <w:rPr>
                <w:lang w:eastAsia="en-AU"/>
              </w:rPr>
              <w:t xml:space="preserve"> June </w:t>
            </w:r>
            <w:r w:rsidRPr="00435090">
              <w:rPr>
                <w:lang w:eastAsia="en-AU"/>
              </w:rPr>
              <w:t>2020</w:t>
            </w:r>
          </w:p>
        </w:tc>
        <w:tc>
          <w:tcPr>
            <w:tcW w:w="7083" w:type="dxa"/>
            <w:shd w:val="clear" w:color="auto" w:fill="auto"/>
            <w:hideMark/>
          </w:tcPr>
          <w:p w14:paraId="471DD50A" w14:textId="588C69B9" w:rsidR="005112A1" w:rsidRPr="00435090" w:rsidRDefault="005112A1" w:rsidP="005112A1">
            <w:pPr>
              <w:pStyle w:val="TableText"/>
              <w:rPr>
                <w:lang w:eastAsia="en-AU"/>
              </w:rPr>
            </w:pPr>
            <w:r w:rsidRPr="004954B7">
              <w:rPr>
                <w:lang w:eastAsia="en-AU"/>
              </w:rPr>
              <w:t>Correspondence to Chair of Basin Officials Committee seeking advice regarding i</w:t>
            </w:r>
            <w:r w:rsidRPr="00435090">
              <w:rPr>
                <w:lang w:eastAsia="en-AU"/>
              </w:rPr>
              <w:t xml:space="preserve">mplications of </w:t>
            </w:r>
            <w:r w:rsidRPr="004954B7">
              <w:rPr>
                <w:lang w:eastAsia="en-AU"/>
              </w:rPr>
              <w:t xml:space="preserve">the </w:t>
            </w:r>
            <w:r w:rsidRPr="00435090">
              <w:rPr>
                <w:lang w:eastAsia="en-AU"/>
              </w:rPr>
              <w:t>withdraw</w:t>
            </w:r>
            <w:r w:rsidRPr="004954B7">
              <w:rPr>
                <w:lang w:eastAsia="en-AU"/>
              </w:rPr>
              <w:t xml:space="preserve">al of MACE </w:t>
            </w:r>
            <w:r w:rsidRPr="00435090">
              <w:rPr>
                <w:lang w:eastAsia="en-AU"/>
              </w:rPr>
              <w:t>Doppler meter</w:t>
            </w:r>
            <w:r w:rsidRPr="004954B7">
              <w:rPr>
                <w:lang w:eastAsia="en-AU"/>
              </w:rPr>
              <w:t>s</w:t>
            </w:r>
            <w:r w:rsidRPr="00435090">
              <w:rPr>
                <w:lang w:eastAsia="en-AU"/>
              </w:rPr>
              <w:t xml:space="preserve"> from Pattern Approval testing</w:t>
            </w:r>
          </w:p>
        </w:tc>
      </w:tr>
      <w:tr w:rsidR="005112A1" w:rsidRPr="004954B7" w14:paraId="62746BF6" w14:textId="77777777" w:rsidTr="00630604">
        <w:trPr>
          <w:trHeight w:val="580"/>
        </w:trPr>
        <w:tc>
          <w:tcPr>
            <w:tcW w:w="1696" w:type="dxa"/>
            <w:shd w:val="clear" w:color="auto" w:fill="auto"/>
            <w:noWrap/>
            <w:hideMark/>
          </w:tcPr>
          <w:p w14:paraId="55C8C1B1" w14:textId="1DC0BDE5" w:rsidR="005112A1" w:rsidRPr="00435090" w:rsidRDefault="005112A1" w:rsidP="005112A1">
            <w:pPr>
              <w:pStyle w:val="TableText"/>
              <w:rPr>
                <w:lang w:eastAsia="en-AU"/>
              </w:rPr>
            </w:pPr>
            <w:r w:rsidRPr="00435090">
              <w:rPr>
                <w:lang w:eastAsia="en-AU"/>
              </w:rPr>
              <w:t>12</w:t>
            </w:r>
            <w:r w:rsidR="00B30960">
              <w:rPr>
                <w:lang w:eastAsia="en-AU"/>
              </w:rPr>
              <w:t xml:space="preserve"> June </w:t>
            </w:r>
            <w:r w:rsidRPr="00435090">
              <w:rPr>
                <w:lang w:eastAsia="en-AU"/>
              </w:rPr>
              <w:t>2020</w:t>
            </w:r>
          </w:p>
        </w:tc>
        <w:tc>
          <w:tcPr>
            <w:tcW w:w="7083" w:type="dxa"/>
            <w:shd w:val="clear" w:color="auto" w:fill="auto"/>
            <w:hideMark/>
          </w:tcPr>
          <w:p w14:paraId="11BB889B" w14:textId="77777777" w:rsidR="005112A1" w:rsidRPr="00435090" w:rsidRDefault="005112A1" w:rsidP="005112A1">
            <w:pPr>
              <w:pStyle w:val="TableText"/>
              <w:rPr>
                <w:lang w:eastAsia="en-AU"/>
              </w:rPr>
            </w:pPr>
            <w:r w:rsidRPr="004954B7">
              <w:rPr>
                <w:lang w:eastAsia="en-AU"/>
              </w:rPr>
              <w:t xml:space="preserve">Correspondence to Chief Executive Officer, Department of Planning, Industry and Environment (NSW) regarding oversight </w:t>
            </w:r>
            <w:r w:rsidRPr="00435090">
              <w:rPr>
                <w:lang w:eastAsia="en-AU"/>
              </w:rPr>
              <w:t>of Irrigation Corporations</w:t>
            </w:r>
          </w:p>
        </w:tc>
      </w:tr>
      <w:tr w:rsidR="005112A1" w:rsidRPr="004954B7" w14:paraId="165FAC8C" w14:textId="77777777" w:rsidTr="00630604">
        <w:trPr>
          <w:trHeight w:val="580"/>
        </w:trPr>
        <w:tc>
          <w:tcPr>
            <w:tcW w:w="1696" w:type="dxa"/>
            <w:shd w:val="clear" w:color="auto" w:fill="auto"/>
            <w:noWrap/>
            <w:hideMark/>
          </w:tcPr>
          <w:p w14:paraId="275EAB6A" w14:textId="0641ABF3" w:rsidR="005112A1" w:rsidRPr="00435090" w:rsidRDefault="005112A1" w:rsidP="005112A1">
            <w:pPr>
              <w:pStyle w:val="TableText"/>
              <w:rPr>
                <w:lang w:eastAsia="en-AU"/>
              </w:rPr>
            </w:pPr>
            <w:r w:rsidRPr="00435090">
              <w:rPr>
                <w:lang w:eastAsia="en-AU"/>
              </w:rPr>
              <w:t>29</w:t>
            </w:r>
            <w:r w:rsidR="00B30960">
              <w:rPr>
                <w:lang w:eastAsia="en-AU"/>
              </w:rPr>
              <w:t xml:space="preserve"> June </w:t>
            </w:r>
            <w:r w:rsidRPr="00435090">
              <w:rPr>
                <w:lang w:eastAsia="en-AU"/>
              </w:rPr>
              <w:t>2020</w:t>
            </w:r>
          </w:p>
        </w:tc>
        <w:tc>
          <w:tcPr>
            <w:tcW w:w="7083" w:type="dxa"/>
            <w:shd w:val="clear" w:color="auto" w:fill="auto"/>
            <w:hideMark/>
          </w:tcPr>
          <w:p w14:paraId="75E2BC53" w14:textId="77777777" w:rsidR="005112A1" w:rsidRPr="00435090" w:rsidRDefault="005112A1" w:rsidP="005112A1">
            <w:pPr>
              <w:pStyle w:val="TableText"/>
              <w:rPr>
                <w:lang w:eastAsia="en-AU"/>
              </w:rPr>
            </w:pPr>
            <w:r w:rsidRPr="004954B7">
              <w:rPr>
                <w:lang w:eastAsia="en-AU"/>
              </w:rPr>
              <w:t xml:space="preserve">Correspondence to Chief Executive Officer, Department of Planning, Industry and Environment (NSW) on forwarding referral from </w:t>
            </w:r>
            <w:r w:rsidRPr="00435090">
              <w:rPr>
                <w:lang w:eastAsia="en-AU"/>
              </w:rPr>
              <w:t>Senator Ayres regarding changes in policy for the Barwon Darling Water Sharing Plan</w:t>
            </w:r>
          </w:p>
        </w:tc>
      </w:tr>
      <w:tr w:rsidR="005112A1" w:rsidRPr="004954B7" w14:paraId="5C4DE6BE" w14:textId="77777777" w:rsidTr="00630604">
        <w:trPr>
          <w:trHeight w:val="580"/>
        </w:trPr>
        <w:tc>
          <w:tcPr>
            <w:tcW w:w="1696" w:type="dxa"/>
            <w:shd w:val="clear" w:color="auto" w:fill="auto"/>
            <w:noWrap/>
            <w:hideMark/>
          </w:tcPr>
          <w:p w14:paraId="6F6B3C04" w14:textId="206E2DC5" w:rsidR="005112A1" w:rsidRPr="00435090" w:rsidRDefault="005112A1" w:rsidP="005112A1">
            <w:pPr>
              <w:pStyle w:val="TableText"/>
              <w:rPr>
                <w:lang w:eastAsia="en-AU"/>
              </w:rPr>
            </w:pPr>
            <w:r w:rsidRPr="00435090">
              <w:rPr>
                <w:lang w:eastAsia="en-AU"/>
              </w:rPr>
              <w:t>30</w:t>
            </w:r>
            <w:r w:rsidR="00B30960">
              <w:rPr>
                <w:lang w:eastAsia="en-AU"/>
              </w:rPr>
              <w:t xml:space="preserve"> June </w:t>
            </w:r>
            <w:r w:rsidRPr="00435090">
              <w:rPr>
                <w:lang w:eastAsia="en-AU"/>
              </w:rPr>
              <w:t>2020</w:t>
            </w:r>
          </w:p>
        </w:tc>
        <w:tc>
          <w:tcPr>
            <w:tcW w:w="7083" w:type="dxa"/>
            <w:shd w:val="clear" w:color="auto" w:fill="auto"/>
            <w:hideMark/>
          </w:tcPr>
          <w:p w14:paraId="7FEA5864" w14:textId="77777777" w:rsidR="005112A1" w:rsidRPr="00435090" w:rsidRDefault="005112A1" w:rsidP="005112A1">
            <w:pPr>
              <w:pStyle w:val="TableText"/>
              <w:rPr>
                <w:lang w:eastAsia="en-AU"/>
              </w:rPr>
            </w:pPr>
            <w:r w:rsidRPr="004954B7">
              <w:rPr>
                <w:lang w:eastAsia="en-AU"/>
              </w:rPr>
              <w:t xml:space="preserve">Correspondence to Chief Executive Officer, Department of Planning, Industry and Environment (NSW) outlining complaints received </w:t>
            </w:r>
            <w:r w:rsidRPr="00435090">
              <w:rPr>
                <w:lang w:eastAsia="en-AU"/>
              </w:rPr>
              <w:t>regarding the consultation process in developing NSW Water Sharing Plans</w:t>
            </w:r>
          </w:p>
        </w:tc>
      </w:tr>
      <w:tr w:rsidR="005112A1" w:rsidRPr="004954B7" w14:paraId="064206D8" w14:textId="77777777" w:rsidTr="00630604">
        <w:trPr>
          <w:trHeight w:val="290"/>
        </w:trPr>
        <w:tc>
          <w:tcPr>
            <w:tcW w:w="1696" w:type="dxa"/>
            <w:shd w:val="clear" w:color="auto" w:fill="auto"/>
            <w:noWrap/>
            <w:hideMark/>
          </w:tcPr>
          <w:p w14:paraId="3399EEF3" w14:textId="3DDEA3A7" w:rsidR="005112A1" w:rsidRPr="00435090" w:rsidRDefault="005112A1" w:rsidP="005112A1">
            <w:pPr>
              <w:pStyle w:val="TableText"/>
              <w:rPr>
                <w:lang w:eastAsia="en-AU"/>
              </w:rPr>
            </w:pPr>
            <w:r w:rsidRPr="00435090">
              <w:rPr>
                <w:lang w:eastAsia="en-AU"/>
              </w:rPr>
              <w:t>30</w:t>
            </w:r>
            <w:r w:rsidR="00B30960">
              <w:rPr>
                <w:lang w:eastAsia="en-AU"/>
              </w:rPr>
              <w:t xml:space="preserve"> June </w:t>
            </w:r>
            <w:r w:rsidRPr="00435090">
              <w:rPr>
                <w:lang w:eastAsia="en-AU"/>
              </w:rPr>
              <w:t>2020</w:t>
            </w:r>
          </w:p>
        </w:tc>
        <w:tc>
          <w:tcPr>
            <w:tcW w:w="7083" w:type="dxa"/>
            <w:shd w:val="clear" w:color="auto" w:fill="auto"/>
            <w:noWrap/>
            <w:hideMark/>
          </w:tcPr>
          <w:p w14:paraId="3370B7A5" w14:textId="21390347" w:rsidR="005112A1" w:rsidRPr="00435090" w:rsidRDefault="005112A1" w:rsidP="005112A1">
            <w:pPr>
              <w:pStyle w:val="TableText"/>
              <w:rPr>
                <w:lang w:eastAsia="en-AU"/>
              </w:rPr>
            </w:pPr>
            <w:r w:rsidRPr="004954B7">
              <w:rPr>
                <w:lang w:eastAsia="en-AU"/>
              </w:rPr>
              <w:t xml:space="preserve">Correspondence to </w:t>
            </w:r>
            <w:r w:rsidRPr="004954B7">
              <w:t>Minister for Resources, Water and Northern Australia</w:t>
            </w:r>
          </w:p>
        </w:tc>
      </w:tr>
      <w:bookmarkEnd w:id="2"/>
    </w:tbl>
    <w:p w14:paraId="2E0D2E0A" w14:textId="77777777" w:rsidR="005112A1" w:rsidRPr="0099707B" w:rsidRDefault="005112A1" w:rsidP="005112A1">
      <w:pPr>
        <w:rPr>
          <w:sz w:val="2"/>
          <w:szCs w:val="2"/>
        </w:rPr>
      </w:pPr>
    </w:p>
    <w:sectPr w:rsidR="005112A1" w:rsidRPr="0099707B" w:rsidSect="001E5727">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498898" w14:textId="77777777" w:rsidR="00143C1D" w:rsidRDefault="00143C1D">
      <w:r>
        <w:separator/>
      </w:r>
    </w:p>
    <w:p w14:paraId="2909F115" w14:textId="77777777" w:rsidR="00143C1D" w:rsidRDefault="00143C1D"/>
    <w:p w14:paraId="7D727F80" w14:textId="77777777" w:rsidR="00143C1D" w:rsidRDefault="00143C1D"/>
  </w:endnote>
  <w:endnote w:type="continuationSeparator" w:id="0">
    <w:p w14:paraId="066BE016" w14:textId="77777777" w:rsidR="00143C1D" w:rsidRDefault="00143C1D">
      <w:r>
        <w:continuationSeparator/>
      </w:r>
    </w:p>
    <w:p w14:paraId="738066BC" w14:textId="77777777" w:rsidR="00143C1D" w:rsidRDefault="00143C1D"/>
    <w:p w14:paraId="1FF223B9" w14:textId="77777777" w:rsidR="00143C1D" w:rsidRDefault="00143C1D"/>
  </w:endnote>
  <w:endnote w:type="continuationNotice" w:id="1">
    <w:p w14:paraId="721A1C7B" w14:textId="77777777" w:rsidR="00143C1D" w:rsidRDefault="00143C1D">
      <w:pPr>
        <w:pStyle w:val="Footer"/>
      </w:pPr>
    </w:p>
    <w:p w14:paraId="6EC38C59" w14:textId="77777777" w:rsidR="00143C1D" w:rsidRDefault="00143C1D"/>
    <w:p w14:paraId="5EEC214D" w14:textId="77777777" w:rsidR="00143C1D" w:rsidRDefault="00143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0156C" w14:textId="77777777" w:rsidR="000D292A" w:rsidRDefault="000D292A">
    <w:pPr>
      <w:pStyle w:val="Footer"/>
    </w:pPr>
  </w:p>
  <w:p w14:paraId="14A2A291" w14:textId="77777777" w:rsidR="000D292A" w:rsidRDefault="000D292A"/>
  <w:p w14:paraId="3E43418F" w14:textId="77777777" w:rsidR="000D292A" w:rsidRDefault="000D292A" w:rsidP="00A447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981F" w14:textId="42FD0F90" w:rsidR="000D292A" w:rsidRDefault="000D292A">
    <w:pPr>
      <w:pStyle w:val="Footer"/>
    </w:pPr>
    <w:r w:rsidRPr="001C6B77">
      <w:t>Interim Inspector-General of Murray–Darling Basin Water Resources</w:t>
    </w:r>
  </w:p>
  <w:p w14:paraId="47C58A85" w14:textId="77777777" w:rsidR="000D292A" w:rsidRDefault="000D292A">
    <w:pPr>
      <w:pStyle w:val="Footer"/>
    </w:pPr>
    <w:r>
      <w:fldChar w:fldCharType="begin"/>
    </w:r>
    <w:r>
      <w:instrText xml:space="preserve"> PAGE   \* MERGEFORMAT </w:instrText>
    </w:r>
    <w:r>
      <w:fldChar w:fldCharType="separate"/>
    </w:r>
    <w:r w:rsidR="00074229">
      <w:rPr>
        <w:noProof/>
      </w:rPr>
      <w:t>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120CE" w14:textId="77777777" w:rsidR="00143C1D" w:rsidRDefault="00143C1D">
      <w:r>
        <w:separator/>
      </w:r>
    </w:p>
    <w:p w14:paraId="0F147201" w14:textId="77777777" w:rsidR="00143C1D" w:rsidRDefault="00143C1D"/>
    <w:p w14:paraId="1E664ACF" w14:textId="77777777" w:rsidR="00143C1D" w:rsidRDefault="00143C1D"/>
  </w:footnote>
  <w:footnote w:type="continuationSeparator" w:id="0">
    <w:p w14:paraId="14330384" w14:textId="77777777" w:rsidR="00143C1D" w:rsidRDefault="00143C1D">
      <w:r>
        <w:continuationSeparator/>
      </w:r>
    </w:p>
    <w:p w14:paraId="041AA9A9" w14:textId="77777777" w:rsidR="00143C1D" w:rsidRDefault="00143C1D"/>
    <w:p w14:paraId="0DEB6F8C" w14:textId="77777777" w:rsidR="00143C1D" w:rsidRDefault="00143C1D"/>
  </w:footnote>
  <w:footnote w:type="continuationNotice" w:id="1">
    <w:p w14:paraId="042B269C" w14:textId="77777777" w:rsidR="00143C1D" w:rsidRDefault="00143C1D">
      <w:pPr>
        <w:pStyle w:val="Footer"/>
      </w:pPr>
    </w:p>
    <w:p w14:paraId="0674E8E5" w14:textId="77777777" w:rsidR="00143C1D" w:rsidRDefault="00143C1D"/>
    <w:p w14:paraId="4E1751D6" w14:textId="77777777" w:rsidR="00143C1D" w:rsidRDefault="00143C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5E5E6" w14:textId="39667580" w:rsidR="000D292A" w:rsidRDefault="000D292A" w:rsidP="0090608B">
    <w:pPr>
      <w:pStyle w:val="Header"/>
    </w:pPr>
    <w:r>
      <w:rPr>
        <w:noProof/>
        <w:lang w:val="en-US"/>
      </w:rPr>
      <w:t xml:space="preserve">Annual </w:t>
    </w:r>
    <w:r w:rsidR="004C4099">
      <w:rPr>
        <w:noProof/>
        <w:lang w:val="en-US"/>
      </w:rPr>
      <w:t>r</w:t>
    </w:r>
    <w:r>
      <w:rPr>
        <w:noProof/>
        <w:lang w:val="en-US"/>
      </w:rPr>
      <w:t>eport 2019</w:t>
    </w:r>
    <w:r w:rsidR="00E11B8F">
      <w:rPr>
        <w:noProof/>
        <w:lang w:val="en-US"/>
      </w:rPr>
      <w:t>–</w:t>
    </w:r>
    <w:r>
      <w:rPr>
        <w:noProof/>
        <w:lang w:val="en-US"/>
      </w:rPr>
      <w:t>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D6557" w14:textId="7B9BE1EE" w:rsidR="000D292A" w:rsidRDefault="000D292A">
    <w:pPr>
      <w:pStyle w:val="Header"/>
      <w:jc w:val="left"/>
    </w:pPr>
    <w:r>
      <w:rPr>
        <w:noProof/>
        <w:lang w:eastAsia="en-AU"/>
      </w:rPr>
      <w:drawing>
        <wp:inline distT="0" distB="0" distL="0" distR="0" wp14:anchorId="7548F186" wp14:editId="49DDBB00">
          <wp:extent cx="3095625" cy="733425"/>
          <wp:effectExtent l="0" t="0" r="9525" b="9525"/>
          <wp:docPr id="1" name="Picture 1" descr="Crest of the Australian Government Interim Inspector-General of Murray-Darling Basin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ner lawrence\AppData\Local\Microsoft\Windows\INetCache\Content.Word\Artboard 1 copy 4@4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3E87E5B"/>
    <w:multiLevelType w:val="hybridMultilevel"/>
    <w:tmpl w:val="5B78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3"/>
  </w:num>
  <w:num w:numId="22">
    <w:abstractNumId w:val="18"/>
  </w:num>
  <w:num w:numId="23">
    <w:abstractNumId w:val="26"/>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9"/>
  </w:num>
  <w:num w:numId="29">
    <w:abstractNumId w:val="21"/>
  </w:num>
  <w:num w:numId="30">
    <w:abstractNumId w:val="8"/>
  </w:num>
  <w:num w:numId="31">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434F1"/>
    <w:rsid w:val="000650A6"/>
    <w:rsid w:val="00074229"/>
    <w:rsid w:val="000D24ED"/>
    <w:rsid w:val="000D292A"/>
    <w:rsid w:val="000E140B"/>
    <w:rsid w:val="00105543"/>
    <w:rsid w:val="00143C1D"/>
    <w:rsid w:val="00145959"/>
    <w:rsid w:val="001C6B77"/>
    <w:rsid w:val="001E5727"/>
    <w:rsid w:val="002A47E3"/>
    <w:rsid w:val="002A4E76"/>
    <w:rsid w:val="002E0390"/>
    <w:rsid w:val="0030115D"/>
    <w:rsid w:val="00301E5F"/>
    <w:rsid w:val="00312883"/>
    <w:rsid w:val="00380B88"/>
    <w:rsid w:val="00387E56"/>
    <w:rsid w:val="004127C5"/>
    <w:rsid w:val="00452813"/>
    <w:rsid w:val="00477B12"/>
    <w:rsid w:val="004858DC"/>
    <w:rsid w:val="00486A79"/>
    <w:rsid w:val="004A2745"/>
    <w:rsid w:val="004C4099"/>
    <w:rsid w:val="004C674D"/>
    <w:rsid w:val="004E45CC"/>
    <w:rsid w:val="005016D6"/>
    <w:rsid w:val="005050AD"/>
    <w:rsid w:val="005112A1"/>
    <w:rsid w:val="00524B0F"/>
    <w:rsid w:val="00532033"/>
    <w:rsid w:val="00537AF1"/>
    <w:rsid w:val="00551722"/>
    <w:rsid w:val="00560D5C"/>
    <w:rsid w:val="00576D5B"/>
    <w:rsid w:val="005E2818"/>
    <w:rsid w:val="005F3DAA"/>
    <w:rsid w:val="00611F08"/>
    <w:rsid w:val="006152AF"/>
    <w:rsid w:val="00630604"/>
    <w:rsid w:val="0067446F"/>
    <w:rsid w:val="00682E33"/>
    <w:rsid w:val="006B1EA7"/>
    <w:rsid w:val="006E06BE"/>
    <w:rsid w:val="00741DFD"/>
    <w:rsid w:val="00764D6A"/>
    <w:rsid w:val="007779CC"/>
    <w:rsid w:val="00781D76"/>
    <w:rsid w:val="007C0488"/>
    <w:rsid w:val="00823140"/>
    <w:rsid w:val="0084277B"/>
    <w:rsid w:val="00862D51"/>
    <w:rsid w:val="00887852"/>
    <w:rsid w:val="00895CF0"/>
    <w:rsid w:val="008A2C92"/>
    <w:rsid w:val="008B2884"/>
    <w:rsid w:val="008D4AB0"/>
    <w:rsid w:val="0090608B"/>
    <w:rsid w:val="00912B98"/>
    <w:rsid w:val="009562FE"/>
    <w:rsid w:val="00980C2E"/>
    <w:rsid w:val="00982C6D"/>
    <w:rsid w:val="00986331"/>
    <w:rsid w:val="00997935"/>
    <w:rsid w:val="009E587A"/>
    <w:rsid w:val="00A44709"/>
    <w:rsid w:val="00A708C7"/>
    <w:rsid w:val="00A74C8C"/>
    <w:rsid w:val="00AA2244"/>
    <w:rsid w:val="00AC2770"/>
    <w:rsid w:val="00B149D8"/>
    <w:rsid w:val="00B30960"/>
    <w:rsid w:val="00B94458"/>
    <w:rsid w:val="00BA4E38"/>
    <w:rsid w:val="00C722C7"/>
    <w:rsid w:val="00C73C5C"/>
    <w:rsid w:val="00D12A92"/>
    <w:rsid w:val="00D277ED"/>
    <w:rsid w:val="00D40FE0"/>
    <w:rsid w:val="00D52855"/>
    <w:rsid w:val="00D66F5C"/>
    <w:rsid w:val="00D96D8C"/>
    <w:rsid w:val="00E11B8F"/>
    <w:rsid w:val="00E1398C"/>
    <w:rsid w:val="00E1730A"/>
    <w:rsid w:val="00E60EA4"/>
    <w:rsid w:val="00E91D72"/>
    <w:rsid w:val="00F0346E"/>
    <w:rsid w:val="00F411DD"/>
    <w:rsid w:val="00F76B6C"/>
    <w:rsid w:val="00FC0B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D1AD9"/>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sid w:val="005E2818"/>
    <w:rPr>
      <w:rFonts w:eastAsiaTheme="minorHAnsi" w:cstheme="minorBidi"/>
      <w:sz w:val="22"/>
      <w:szCs w:val="22"/>
      <w:lang w:eastAsia="en-US"/>
    </w:rPr>
  </w:style>
  <w:style w:type="paragraph" w:styleId="PlainText">
    <w:name w:val="Plain Text"/>
    <w:basedOn w:val="Normal"/>
    <w:link w:val="PlainTextChar"/>
    <w:uiPriority w:val="99"/>
    <w:unhideWhenUsed/>
    <w:rsid w:val="0045281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52813"/>
    <w:rPr>
      <w:rFonts w:ascii="Consolas" w:eastAsiaTheme="minorHAnsi" w:hAnsi="Consolas" w:cstheme="minorBidi"/>
      <w:sz w:val="21"/>
      <w:szCs w:val="21"/>
      <w:lang w:eastAsia="en-US"/>
    </w:rPr>
  </w:style>
  <w:style w:type="paragraph" w:styleId="BodyText">
    <w:name w:val="Body Text"/>
    <w:basedOn w:val="Normal"/>
    <w:link w:val="BodyTextChar"/>
    <w:uiPriority w:val="1"/>
    <w:qFormat/>
    <w:rsid w:val="00452813"/>
    <w:pPr>
      <w:widowControl w:val="0"/>
      <w:autoSpaceDE w:val="0"/>
      <w:autoSpaceDN w:val="0"/>
      <w:spacing w:after="0" w:line="240" w:lineRule="auto"/>
      <w:ind w:left="100"/>
    </w:pPr>
    <w:rPr>
      <w:rFonts w:ascii="Calibri" w:eastAsia="Calibri" w:hAnsi="Calibri" w:cs="Calibri"/>
      <w:lang w:eastAsia="en-AU" w:bidi="en-AU"/>
    </w:rPr>
  </w:style>
  <w:style w:type="character" w:customStyle="1" w:styleId="BodyTextChar">
    <w:name w:val="Body Text Char"/>
    <w:basedOn w:val="DefaultParagraphFont"/>
    <w:link w:val="BodyText"/>
    <w:uiPriority w:val="1"/>
    <w:rsid w:val="00452813"/>
    <w:rPr>
      <w:rFonts w:ascii="Calibri" w:eastAsia="Calibri" w:hAnsi="Calibri" w:cs="Calibri"/>
      <w:sz w:val="22"/>
      <w:szCs w:val="22"/>
      <w:lang w:bidi="en-AU"/>
    </w:rPr>
  </w:style>
  <w:style w:type="character" w:customStyle="1" w:styleId="UnresolvedMention1">
    <w:name w:val="Unresolved Mention1"/>
    <w:basedOn w:val="DefaultParagraphFont"/>
    <w:uiPriority w:val="99"/>
    <w:semiHidden/>
    <w:unhideWhenUsed/>
    <w:rsid w:val="00387E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11896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40253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958982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2.xml"/><Relationship Id="rId26" Type="http://schemas.openxmlformats.org/officeDocument/2006/relationships/hyperlink" Target="https://www.igmdb.gov.au/reviews" TargetMode="Externa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footer" Target="footer1.xml"/><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igmdb.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5" Type="http://schemas.openxmlformats.org/officeDocument/2006/relationships/numbering" Target="numbering.xml"/><Relationship Id="rId15" Type="http://schemas.openxmlformats.org/officeDocument/2006/relationships/hyperlink" Target="http://www.igmdb.gov.au/reviews" TargetMode="External"/><Relationship Id="rId23" Type="http://schemas.openxmlformats.org/officeDocument/2006/relationships/chart" Target="charts/chart3.xml"/><Relationship Id="rId28" Type="http://schemas.openxmlformats.org/officeDocument/2006/relationships/hyperlink" Target="https://www.igmdb.gov.au/review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hart" Target="charts/chart2.xml"/><Relationship Id="rId27" Type="http://schemas.openxmlformats.org/officeDocument/2006/relationships/hyperlink" Target="https://www.igmdb.gov.au/reviews"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8fs01\home2$\RJ0004\Desktop\Copy%20of%20D19%20673405%20%202019-20%20Master%20Regist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8fs01\home2$\RJ0004\Desktop\Copy%20of%20D19%20673405%20%202019-20%20Master%20Register.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D19 673405  2019-20 Master Register.XLSX]19-20 Statistics!PivotTable1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Engagement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pivotFmt>
      <c:pivotFmt>
        <c:idx val="62"/>
        <c:spPr>
          <a:solidFill>
            <a:schemeClr val="accent1"/>
          </a:solidFill>
          <a:ln w="19050">
            <a:solidFill>
              <a:schemeClr val="lt1"/>
            </a:solidFill>
          </a:ln>
          <a:effectLst/>
        </c:spPr>
      </c:pivotFmt>
      <c:pivotFmt>
        <c:idx val="63"/>
        <c:spPr>
          <a:solidFill>
            <a:schemeClr val="accent1"/>
          </a:solidFill>
          <a:ln w="19050">
            <a:solidFill>
              <a:schemeClr val="lt1"/>
            </a:solidFill>
          </a:ln>
          <a:effectLst/>
        </c:spPr>
      </c:pivotFmt>
      <c:pivotFmt>
        <c:idx val="64"/>
        <c:spPr>
          <a:solidFill>
            <a:schemeClr val="accent1"/>
          </a:solidFill>
          <a:ln w="19050">
            <a:solidFill>
              <a:schemeClr val="lt1"/>
            </a:solidFill>
          </a:ln>
          <a:effectLst/>
        </c:spPr>
      </c:pivotFmt>
      <c:pivotFmt>
        <c:idx val="65"/>
        <c:spPr>
          <a:solidFill>
            <a:schemeClr val="accent1"/>
          </a:solidFill>
          <a:ln w="19050">
            <a:solidFill>
              <a:schemeClr val="lt1"/>
            </a:solidFill>
          </a:ln>
          <a:effectLst/>
        </c:spPr>
      </c:pivotFmt>
      <c:pivotFmt>
        <c:idx val="66"/>
        <c:spPr>
          <a:solidFill>
            <a:schemeClr val="accent1"/>
          </a:solidFill>
          <a:ln w="19050">
            <a:solidFill>
              <a:schemeClr val="lt1"/>
            </a:solidFill>
          </a:ln>
          <a:effectLst/>
        </c:spPr>
      </c:pivotFmt>
      <c:pivotFmt>
        <c:idx val="67"/>
        <c:spPr>
          <a:solidFill>
            <a:schemeClr val="accent1"/>
          </a:solidFill>
          <a:ln w="19050">
            <a:solidFill>
              <a:schemeClr val="lt1"/>
            </a:solidFill>
          </a:ln>
          <a:effectLst/>
        </c:spPr>
      </c:pivotFmt>
      <c:pivotFmt>
        <c:idx val="68"/>
        <c:spPr>
          <a:solidFill>
            <a:schemeClr val="accent1"/>
          </a:solidFill>
          <a:ln w="19050">
            <a:solidFill>
              <a:schemeClr val="lt1"/>
            </a:solidFill>
          </a:ln>
          <a:effectLst/>
        </c:spPr>
      </c:pivotFmt>
      <c:pivotFmt>
        <c:idx val="6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spPr>
          <a:solidFill>
            <a:schemeClr val="accent1"/>
          </a:solidFill>
          <a:ln w="19050">
            <a:solidFill>
              <a:schemeClr val="lt1"/>
            </a:solidFill>
          </a:ln>
          <a:effectLst/>
        </c:spPr>
      </c:pivotFmt>
      <c:pivotFmt>
        <c:idx val="71"/>
        <c:spPr>
          <a:solidFill>
            <a:schemeClr val="accent1"/>
          </a:solidFill>
          <a:ln w="19050">
            <a:solidFill>
              <a:schemeClr val="lt1"/>
            </a:solidFill>
          </a:ln>
          <a:effectLst/>
        </c:spPr>
      </c:pivotFmt>
      <c:pivotFmt>
        <c:idx val="72"/>
        <c:spPr>
          <a:solidFill>
            <a:schemeClr val="accent1"/>
          </a:solidFill>
          <a:ln w="19050">
            <a:solidFill>
              <a:schemeClr val="lt1"/>
            </a:solidFill>
          </a:ln>
          <a:effectLst/>
        </c:spPr>
      </c:pivotFmt>
      <c:pivotFmt>
        <c:idx val="73"/>
        <c:spPr>
          <a:solidFill>
            <a:schemeClr val="accent1"/>
          </a:solidFill>
          <a:ln w="19050">
            <a:solidFill>
              <a:schemeClr val="lt1"/>
            </a:solidFill>
          </a:ln>
          <a:effectLst/>
        </c:spPr>
      </c:pivotFmt>
      <c:pivotFmt>
        <c:idx val="74"/>
        <c:spPr>
          <a:solidFill>
            <a:schemeClr val="accent1"/>
          </a:solidFill>
          <a:ln w="19050">
            <a:solidFill>
              <a:schemeClr val="lt1"/>
            </a:solidFill>
          </a:ln>
          <a:effectLst/>
        </c:spPr>
      </c:pivotFmt>
      <c:pivotFmt>
        <c:idx val="75"/>
        <c:spPr>
          <a:solidFill>
            <a:schemeClr val="accent1"/>
          </a:solidFill>
          <a:ln w="19050">
            <a:solidFill>
              <a:schemeClr val="lt1"/>
            </a:solidFill>
          </a:ln>
          <a:effectLst/>
        </c:spPr>
      </c:pivotFmt>
      <c:pivotFmt>
        <c:idx val="76"/>
        <c:spPr>
          <a:solidFill>
            <a:schemeClr val="accent1"/>
          </a:solidFill>
          <a:ln w="19050">
            <a:solidFill>
              <a:schemeClr val="lt1"/>
            </a:solidFill>
          </a:ln>
          <a:effectLst/>
        </c:spPr>
      </c:pivotFmt>
      <c:pivotFmt>
        <c:idx val="77"/>
        <c:spPr>
          <a:solidFill>
            <a:schemeClr val="accent1"/>
          </a:solidFill>
          <a:ln w="19050">
            <a:solidFill>
              <a:schemeClr val="lt1"/>
            </a:solidFill>
          </a:ln>
          <a:effectLst/>
        </c:spPr>
      </c:pivotFmt>
      <c:pivotFmt>
        <c:idx val="78"/>
        <c:spPr>
          <a:solidFill>
            <a:schemeClr val="accent1"/>
          </a:solidFill>
          <a:ln w="19050">
            <a:solidFill>
              <a:schemeClr val="lt1"/>
            </a:solidFill>
          </a:ln>
          <a:effectLst/>
        </c:spPr>
      </c:pivotFmt>
      <c:pivotFmt>
        <c:idx val="79"/>
        <c:spPr>
          <a:solidFill>
            <a:schemeClr val="accent1"/>
          </a:solidFill>
          <a:ln w="19050">
            <a:solidFill>
              <a:schemeClr val="lt1"/>
            </a:solidFill>
          </a:ln>
          <a:effectLst/>
        </c:spPr>
      </c:pivotFmt>
      <c:pivotFmt>
        <c:idx val="80"/>
        <c:spPr>
          <a:solidFill>
            <a:schemeClr val="accent1"/>
          </a:solidFill>
          <a:ln w="19050">
            <a:solidFill>
              <a:schemeClr val="lt1"/>
            </a:solidFill>
          </a:ln>
          <a:effectLst/>
        </c:spPr>
      </c:pivotFmt>
      <c:pivotFmt>
        <c:idx val="81"/>
        <c:spPr>
          <a:solidFill>
            <a:schemeClr val="accent1"/>
          </a:solidFill>
          <a:ln w="19050">
            <a:solidFill>
              <a:schemeClr val="lt1"/>
            </a:solidFill>
          </a:ln>
          <a:effectLst/>
        </c:spPr>
      </c:pivotFmt>
      <c:pivotFmt>
        <c:idx val="82"/>
        <c:spPr>
          <a:solidFill>
            <a:schemeClr val="accent1"/>
          </a:solidFill>
          <a:ln w="19050">
            <a:solidFill>
              <a:schemeClr val="lt1"/>
            </a:solidFill>
          </a:ln>
          <a:effectLst/>
        </c:spPr>
      </c:pivotFmt>
    </c:pivotFmts>
    <c:plotArea>
      <c:layout/>
      <c:pieChart>
        <c:varyColors val="1"/>
        <c:ser>
          <c:idx val="0"/>
          <c:order val="0"/>
          <c:tx>
            <c:strRef>
              <c:f>'19-20 Statistics'!$C$6</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B9F-4D6C-AACE-0F3C694C55A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B9F-4D6C-AACE-0F3C694C55A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B9F-4D6C-AACE-0F3C694C55A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B9F-4D6C-AACE-0F3C694C55A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B9F-4D6C-AACE-0F3C694C55A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B9F-4D6C-AACE-0F3C694C55A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B9F-4D6C-AACE-0F3C694C55A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0B9F-4D6C-AACE-0F3C694C55A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0B9F-4D6C-AACE-0F3C694C55A4}"/>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0B9F-4D6C-AACE-0F3C694C55A4}"/>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0B9F-4D6C-AACE-0F3C694C55A4}"/>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0B9F-4D6C-AACE-0F3C694C55A4}"/>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0B9F-4D6C-AACE-0F3C694C55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'19-20 Statistics'!$B$7:$B$20</c:f>
              <c:strCache>
                <c:ptCount val="13"/>
                <c:pt idx="0">
                  <c:v>Federal government entities</c:v>
                </c:pt>
                <c:pt idx="1">
                  <c:v>State government entities</c:v>
                </c:pt>
                <c:pt idx="2">
                  <c:v>Industry body</c:v>
                </c:pt>
                <c:pt idx="3">
                  <c:v>Indigenous representative</c:v>
                </c:pt>
                <c:pt idx="4">
                  <c:v>Community group</c:v>
                </c:pt>
                <c:pt idx="5">
                  <c:v>Environmental group</c:v>
                </c:pt>
                <c:pt idx="6">
                  <c:v>Irrigation infrastructure operator</c:v>
                </c:pt>
                <c:pt idx="7">
                  <c:v>Local government</c:v>
                </c:pt>
                <c:pt idx="8">
                  <c:v>Academic</c:v>
                </c:pt>
                <c:pt idx="9">
                  <c:v>Media</c:v>
                </c:pt>
                <c:pt idx="10">
                  <c:v>Other</c:v>
                </c:pt>
                <c:pt idx="11">
                  <c:v>Farmer or community member</c:v>
                </c:pt>
                <c:pt idx="12">
                  <c:v>Private company or consultant</c:v>
                </c:pt>
              </c:strCache>
            </c:strRef>
          </c:cat>
          <c:val>
            <c:numRef>
              <c:f>'19-20 Statistics'!$C$7:$C$20</c:f>
              <c:numCache>
                <c:formatCode>General</c:formatCode>
                <c:ptCount val="13"/>
                <c:pt idx="0">
                  <c:v>119</c:v>
                </c:pt>
                <c:pt idx="1">
                  <c:v>90</c:v>
                </c:pt>
                <c:pt idx="2">
                  <c:v>105</c:v>
                </c:pt>
                <c:pt idx="3">
                  <c:v>13</c:v>
                </c:pt>
                <c:pt idx="4">
                  <c:v>24</c:v>
                </c:pt>
                <c:pt idx="5">
                  <c:v>17</c:v>
                </c:pt>
                <c:pt idx="6">
                  <c:v>29</c:v>
                </c:pt>
                <c:pt idx="7">
                  <c:v>49</c:v>
                </c:pt>
                <c:pt idx="8">
                  <c:v>26</c:v>
                </c:pt>
                <c:pt idx="9">
                  <c:v>38</c:v>
                </c:pt>
                <c:pt idx="10">
                  <c:v>2</c:v>
                </c:pt>
                <c:pt idx="11">
                  <c:v>1358</c:v>
                </c:pt>
                <c:pt idx="12">
                  <c:v>36</c:v>
                </c:pt>
              </c:numCache>
            </c:numRef>
          </c:val>
          <c:extLst xmlns:c16r2="http://schemas.microsoft.com/office/drawing/2015/06/chart">
            <c:ext xmlns:c16="http://schemas.microsoft.com/office/drawing/2014/chart" uri="{C3380CC4-5D6E-409C-BE32-E72D297353CC}">
              <c16:uniqueId val="{0000001A-0B9F-4D6C-AACE-0F3C694C55A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D19 673405  2019-20 Master Register.XLSX]19-20 Statistics!PivotTable2</c:name>
    <c:fmtId val="-1"/>
  </c:pivotSource>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Engagement (excluding Water Sharing Inquiry)</a:t>
            </a:r>
          </a:p>
        </c:rich>
      </c:tx>
      <c:layout>
        <c:manualLayout>
          <c:xMode val="edge"/>
          <c:yMode val="edge"/>
          <c:x val="0.13408514932763965"/>
          <c:y val="4.57091328755097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
        <c:idx val="34"/>
        <c:spPr>
          <a:solidFill>
            <a:schemeClr val="accent1"/>
          </a:solidFill>
          <a:ln w="19050">
            <a:solidFill>
              <a:schemeClr val="lt1"/>
            </a:solidFill>
          </a:ln>
          <a:effectLst/>
        </c:spPr>
      </c:pivotFmt>
      <c:pivotFmt>
        <c:idx val="35"/>
        <c:spPr>
          <a:solidFill>
            <a:schemeClr val="accent1"/>
          </a:solidFill>
          <a:ln w="19050">
            <a:solidFill>
              <a:schemeClr val="lt1"/>
            </a:solidFill>
          </a:ln>
          <a:effectLst/>
        </c:spPr>
      </c:pivotFmt>
      <c:pivotFmt>
        <c:idx val="36"/>
        <c:spPr>
          <a:solidFill>
            <a:schemeClr val="accent1"/>
          </a:solidFill>
          <a:ln w="19050">
            <a:solidFill>
              <a:schemeClr val="lt1"/>
            </a:solidFill>
          </a:ln>
          <a:effectLst/>
        </c:spPr>
      </c:pivotFmt>
      <c:pivotFmt>
        <c:idx val="37"/>
        <c:spPr>
          <a:solidFill>
            <a:schemeClr val="accent1"/>
          </a:solidFill>
          <a:ln w="19050">
            <a:solidFill>
              <a:schemeClr val="lt1"/>
            </a:solidFill>
          </a:ln>
          <a:effectLst/>
        </c:spPr>
      </c:pivotFmt>
      <c:pivotFmt>
        <c:idx val="38"/>
        <c:spPr>
          <a:solidFill>
            <a:schemeClr val="accent1"/>
          </a:solidFill>
          <a:ln w="19050">
            <a:solidFill>
              <a:schemeClr val="lt1"/>
            </a:solidFill>
          </a:ln>
          <a:effectLst/>
        </c:spPr>
      </c:pivotFmt>
      <c:pivotFmt>
        <c:idx val="39"/>
        <c:spPr>
          <a:solidFill>
            <a:schemeClr val="accent1"/>
          </a:solidFill>
          <a:ln w="19050">
            <a:solidFill>
              <a:schemeClr val="lt1"/>
            </a:solidFill>
          </a:ln>
          <a:effectLst/>
        </c:spPr>
      </c:pivotFmt>
      <c:pivotFmt>
        <c:idx val="40"/>
        <c:spPr>
          <a:solidFill>
            <a:schemeClr val="accent1"/>
          </a:solidFill>
          <a:ln w="19050">
            <a:solidFill>
              <a:schemeClr val="lt1"/>
            </a:solidFill>
          </a:ln>
          <a:effectLst/>
        </c:spPr>
      </c:pivotFmt>
      <c:pivotFmt>
        <c:idx val="41"/>
        <c:spPr>
          <a:solidFill>
            <a:schemeClr val="accent1"/>
          </a:solidFill>
          <a:ln w="19050">
            <a:solidFill>
              <a:schemeClr val="lt1"/>
            </a:solidFill>
          </a:ln>
          <a:effectLst/>
        </c:spPr>
      </c:pivotFmt>
      <c:pivotFmt>
        <c:idx val="42"/>
        <c:spPr>
          <a:solidFill>
            <a:schemeClr val="accent1"/>
          </a:solidFill>
          <a:ln w="19050">
            <a:solidFill>
              <a:schemeClr val="lt1"/>
            </a:solidFill>
          </a:ln>
          <a:effectLst/>
        </c:spPr>
      </c:pivotFmt>
      <c:pivotFmt>
        <c:idx val="43"/>
        <c:spPr>
          <a:solidFill>
            <a:schemeClr val="accent1"/>
          </a:solidFill>
          <a:ln w="19050">
            <a:solidFill>
              <a:schemeClr val="lt1"/>
            </a:solidFill>
          </a:ln>
          <a:effectLst/>
        </c:spPr>
      </c:pivotFmt>
      <c:pivotFmt>
        <c:idx val="44"/>
        <c:spPr>
          <a:solidFill>
            <a:schemeClr val="accent1"/>
          </a:solidFill>
          <a:ln w="19050">
            <a:solidFill>
              <a:schemeClr val="lt1"/>
            </a:solidFill>
          </a:ln>
          <a:effectLst/>
        </c:spPr>
      </c:pivotFmt>
      <c:pivotFmt>
        <c:idx val="45"/>
        <c:spPr>
          <a:solidFill>
            <a:schemeClr val="accent1"/>
          </a:solidFill>
          <a:ln w="19050">
            <a:solidFill>
              <a:schemeClr val="lt1"/>
            </a:solidFill>
          </a:ln>
          <a:effectLst/>
        </c:spPr>
      </c:pivotFmt>
      <c:pivotFmt>
        <c:idx val="46"/>
        <c:spPr>
          <a:solidFill>
            <a:schemeClr val="accent1"/>
          </a:solidFill>
          <a:ln w="19050">
            <a:solidFill>
              <a:schemeClr val="lt1"/>
            </a:solidFill>
          </a:ln>
          <a:effectLst/>
        </c:spPr>
      </c:pivotFmt>
      <c:pivotFmt>
        <c:idx val="47"/>
        <c:spPr>
          <a:solidFill>
            <a:schemeClr val="accent1"/>
          </a:solidFill>
          <a:ln w="19050">
            <a:solidFill>
              <a:schemeClr val="lt1"/>
            </a:solidFill>
          </a:ln>
          <a:effectLst/>
        </c:spPr>
      </c:pivotFmt>
      <c:pivotFmt>
        <c:idx val="48"/>
        <c:spPr>
          <a:solidFill>
            <a:schemeClr val="accent1"/>
          </a:solidFill>
          <a:ln w="19050">
            <a:solidFill>
              <a:schemeClr val="lt1"/>
            </a:solidFill>
          </a:ln>
          <a:effectLst/>
        </c:spPr>
      </c:pivotFmt>
      <c:pivotFmt>
        <c:idx val="49"/>
        <c:spPr>
          <a:solidFill>
            <a:schemeClr val="accent1"/>
          </a:solidFill>
          <a:ln w="19050">
            <a:solidFill>
              <a:schemeClr val="lt1"/>
            </a:solidFill>
          </a:ln>
          <a:effectLst/>
        </c:spPr>
      </c:pivotFmt>
      <c:pivotFmt>
        <c:idx val="50"/>
        <c:spPr>
          <a:solidFill>
            <a:schemeClr val="accent1"/>
          </a:solidFill>
          <a:ln w="19050">
            <a:solidFill>
              <a:schemeClr val="lt1"/>
            </a:solidFill>
          </a:ln>
          <a:effectLst/>
        </c:spPr>
      </c:pivotFmt>
      <c:pivotFmt>
        <c:idx val="51"/>
        <c:spPr>
          <a:solidFill>
            <a:schemeClr val="accent1"/>
          </a:solidFill>
          <a:ln w="19050">
            <a:solidFill>
              <a:schemeClr val="lt1"/>
            </a:solidFill>
          </a:ln>
          <a:effectLst/>
        </c:spPr>
      </c:pivotFmt>
      <c:pivotFmt>
        <c:idx val="52"/>
        <c:spPr>
          <a:solidFill>
            <a:schemeClr val="accent1"/>
          </a:solidFill>
          <a:ln w="19050">
            <a:solidFill>
              <a:schemeClr val="lt1"/>
            </a:solidFill>
          </a:ln>
          <a:effectLst/>
        </c:spPr>
      </c:pivotFmt>
      <c:pivotFmt>
        <c:idx val="53"/>
        <c:spPr>
          <a:solidFill>
            <a:schemeClr val="accent1"/>
          </a:solidFill>
          <a:ln w="19050">
            <a:solidFill>
              <a:schemeClr val="lt1"/>
            </a:solidFill>
          </a:ln>
          <a:effectLst/>
        </c:spPr>
      </c:pivotFmt>
      <c:pivotFmt>
        <c:idx val="54"/>
        <c:spPr>
          <a:solidFill>
            <a:schemeClr val="accent1"/>
          </a:solidFill>
          <a:ln w="19050">
            <a:solidFill>
              <a:schemeClr val="lt1"/>
            </a:solidFill>
          </a:ln>
          <a:effectLst/>
        </c:spPr>
      </c:pivotFmt>
      <c:pivotFmt>
        <c:idx val="55"/>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6"/>
        <c:spPr>
          <a:solidFill>
            <a:schemeClr val="accent1"/>
          </a:solidFill>
          <a:ln w="19050">
            <a:solidFill>
              <a:schemeClr val="lt1"/>
            </a:solidFill>
          </a:ln>
          <a:effectLst/>
        </c:spPr>
      </c:pivotFmt>
      <c:pivotFmt>
        <c:idx val="57"/>
        <c:spPr>
          <a:solidFill>
            <a:schemeClr val="accent1"/>
          </a:solidFill>
          <a:ln w="19050">
            <a:solidFill>
              <a:schemeClr val="lt1"/>
            </a:solidFill>
          </a:ln>
          <a:effectLst/>
        </c:spPr>
      </c:pivotFmt>
      <c:pivotFmt>
        <c:idx val="58"/>
        <c:spPr>
          <a:solidFill>
            <a:schemeClr val="accent1"/>
          </a:solidFill>
          <a:ln w="19050">
            <a:solidFill>
              <a:schemeClr val="lt1"/>
            </a:solidFill>
          </a:ln>
          <a:effectLst/>
        </c:spPr>
      </c:pivotFmt>
      <c:pivotFmt>
        <c:idx val="59"/>
        <c:spPr>
          <a:solidFill>
            <a:schemeClr val="accent1"/>
          </a:solidFill>
          <a:ln w="19050">
            <a:solidFill>
              <a:schemeClr val="lt1"/>
            </a:solidFill>
          </a:ln>
          <a:effectLst/>
        </c:spPr>
      </c:pivotFmt>
      <c:pivotFmt>
        <c:idx val="60"/>
        <c:spPr>
          <a:solidFill>
            <a:schemeClr val="accent1"/>
          </a:solidFill>
          <a:ln w="19050">
            <a:solidFill>
              <a:schemeClr val="lt1"/>
            </a:solidFill>
          </a:ln>
          <a:effectLst/>
        </c:spPr>
      </c:pivotFmt>
      <c:pivotFmt>
        <c:idx val="61"/>
        <c:spPr>
          <a:solidFill>
            <a:schemeClr val="accent1"/>
          </a:solidFill>
          <a:ln w="19050">
            <a:solidFill>
              <a:schemeClr val="lt1"/>
            </a:solidFill>
          </a:ln>
          <a:effectLst/>
        </c:spPr>
      </c:pivotFmt>
      <c:pivotFmt>
        <c:idx val="62"/>
        <c:spPr>
          <a:solidFill>
            <a:schemeClr val="accent1"/>
          </a:solidFill>
          <a:ln w="19050">
            <a:solidFill>
              <a:schemeClr val="lt1"/>
            </a:solidFill>
          </a:ln>
          <a:effectLst/>
        </c:spPr>
      </c:pivotFmt>
      <c:pivotFmt>
        <c:idx val="63"/>
        <c:spPr>
          <a:solidFill>
            <a:schemeClr val="accent1"/>
          </a:solidFill>
          <a:ln w="19050">
            <a:solidFill>
              <a:schemeClr val="lt1"/>
            </a:solidFill>
          </a:ln>
          <a:effectLst/>
        </c:spPr>
      </c:pivotFmt>
      <c:pivotFmt>
        <c:idx val="64"/>
        <c:spPr>
          <a:solidFill>
            <a:schemeClr val="accent1"/>
          </a:solidFill>
          <a:ln w="19050">
            <a:solidFill>
              <a:schemeClr val="lt1"/>
            </a:solidFill>
          </a:ln>
          <a:effectLst/>
        </c:spPr>
      </c:pivotFmt>
      <c:pivotFmt>
        <c:idx val="65"/>
        <c:spPr>
          <a:solidFill>
            <a:schemeClr val="accent1"/>
          </a:solidFill>
          <a:ln w="19050">
            <a:solidFill>
              <a:schemeClr val="lt1"/>
            </a:solidFill>
          </a:ln>
          <a:effectLst/>
        </c:spPr>
      </c:pivotFmt>
      <c:pivotFmt>
        <c:idx val="66"/>
        <c:spPr>
          <a:solidFill>
            <a:schemeClr val="accent1"/>
          </a:solidFill>
          <a:ln w="19050">
            <a:solidFill>
              <a:schemeClr val="lt1"/>
            </a:solidFill>
          </a:ln>
          <a:effectLst/>
        </c:spPr>
      </c:pivotFmt>
      <c:pivotFmt>
        <c:idx val="67"/>
        <c:spPr>
          <a:solidFill>
            <a:schemeClr val="accent1"/>
          </a:solidFill>
          <a:ln w="19050">
            <a:solidFill>
              <a:schemeClr val="lt1"/>
            </a:solidFill>
          </a:ln>
          <a:effectLst/>
        </c:spPr>
      </c:pivotFmt>
      <c:pivotFmt>
        <c:idx val="68"/>
        <c:spPr>
          <a:solidFill>
            <a:schemeClr val="accent1"/>
          </a:solidFill>
          <a:ln w="19050">
            <a:solidFill>
              <a:schemeClr val="lt1"/>
            </a:solidFill>
          </a:ln>
          <a:effectLst/>
        </c:spPr>
      </c:pivotFmt>
      <c:pivotFmt>
        <c:idx val="6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0"/>
        <c:spPr>
          <a:solidFill>
            <a:schemeClr val="accent1"/>
          </a:solidFill>
          <a:ln w="19050">
            <a:solidFill>
              <a:schemeClr val="lt1"/>
            </a:solidFill>
          </a:ln>
          <a:effectLst/>
        </c:spPr>
      </c:pivotFmt>
      <c:pivotFmt>
        <c:idx val="71"/>
        <c:spPr>
          <a:solidFill>
            <a:schemeClr val="accent1"/>
          </a:solidFill>
          <a:ln w="19050">
            <a:solidFill>
              <a:schemeClr val="lt1"/>
            </a:solidFill>
          </a:ln>
          <a:effectLst/>
        </c:spPr>
      </c:pivotFmt>
      <c:pivotFmt>
        <c:idx val="72"/>
        <c:spPr>
          <a:solidFill>
            <a:schemeClr val="accent1"/>
          </a:solidFill>
          <a:ln w="19050">
            <a:solidFill>
              <a:schemeClr val="lt1"/>
            </a:solidFill>
          </a:ln>
          <a:effectLst/>
        </c:spPr>
      </c:pivotFmt>
      <c:pivotFmt>
        <c:idx val="73"/>
        <c:spPr>
          <a:solidFill>
            <a:schemeClr val="accent1"/>
          </a:solidFill>
          <a:ln w="19050">
            <a:solidFill>
              <a:schemeClr val="lt1"/>
            </a:solidFill>
          </a:ln>
          <a:effectLst/>
        </c:spPr>
      </c:pivotFmt>
      <c:pivotFmt>
        <c:idx val="74"/>
        <c:spPr>
          <a:solidFill>
            <a:schemeClr val="accent1"/>
          </a:solidFill>
          <a:ln w="19050">
            <a:solidFill>
              <a:schemeClr val="lt1"/>
            </a:solidFill>
          </a:ln>
          <a:effectLst/>
        </c:spPr>
      </c:pivotFmt>
      <c:pivotFmt>
        <c:idx val="75"/>
        <c:spPr>
          <a:solidFill>
            <a:schemeClr val="accent1"/>
          </a:solidFill>
          <a:ln w="19050">
            <a:solidFill>
              <a:schemeClr val="lt1"/>
            </a:solidFill>
          </a:ln>
          <a:effectLst/>
        </c:spPr>
      </c:pivotFmt>
      <c:pivotFmt>
        <c:idx val="76"/>
        <c:spPr>
          <a:solidFill>
            <a:schemeClr val="accent1"/>
          </a:solidFill>
          <a:ln w="19050">
            <a:solidFill>
              <a:schemeClr val="lt1"/>
            </a:solidFill>
          </a:ln>
          <a:effectLst/>
        </c:spPr>
      </c:pivotFmt>
      <c:pivotFmt>
        <c:idx val="77"/>
        <c:spPr>
          <a:solidFill>
            <a:schemeClr val="accent1"/>
          </a:solidFill>
          <a:ln w="19050">
            <a:solidFill>
              <a:schemeClr val="lt1"/>
            </a:solidFill>
          </a:ln>
          <a:effectLst/>
        </c:spPr>
      </c:pivotFmt>
      <c:pivotFmt>
        <c:idx val="78"/>
        <c:spPr>
          <a:solidFill>
            <a:schemeClr val="accent1"/>
          </a:solidFill>
          <a:ln w="19050">
            <a:solidFill>
              <a:schemeClr val="lt1"/>
            </a:solidFill>
          </a:ln>
          <a:effectLst/>
        </c:spPr>
      </c:pivotFmt>
      <c:pivotFmt>
        <c:idx val="79"/>
        <c:spPr>
          <a:solidFill>
            <a:schemeClr val="accent1"/>
          </a:solidFill>
          <a:ln w="19050">
            <a:solidFill>
              <a:schemeClr val="lt1"/>
            </a:solidFill>
          </a:ln>
          <a:effectLst/>
        </c:spPr>
      </c:pivotFmt>
      <c:pivotFmt>
        <c:idx val="80"/>
        <c:spPr>
          <a:solidFill>
            <a:schemeClr val="accent1"/>
          </a:solidFill>
          <a:ln w="19050">
            <a:solidFill>
              <a:schemeClr val="lt1"/>
            </a:solidFill>
          </a:ln>
          <a:effectLst/>
        </c:spPr>
      </c:pivotFmt>
      <c:pivotFmt>
        <c:idx val="81"/>
        <c:spPr>
          <a:solidFill>
            <a:schemeClr val="accent1"/>
          </a:solidFill>
          <a:ln w="19050">
            <a:solidFill>
              <a:schemeClr val="lt1"/>
            </a:solidFill>
          </a:ln>
          <a:effectLst/>
        </c:spPr>
      </c:pivotFmt>
      <c:pivotFmt>
        <c:idx val="82"/>
        <c:spPr>
          <a:solidFill>
            <a:schemeClr val="accent1"/>
          </a:solidFill>
          <a:ln w="19050">
            <a:solidFill>
              <a:schemeClr val="lt1"/>
            </a:solidFill>
          </a:ln>
          <a:effectLst/>
        </c:spPr>
      </c:pivotFmt>
    </c:pivotFmts>
    <c:plotArea>
      <c:layout/>
      <c:pieChart>
        <c:varyColors val="1"/>
        <c:ser>
          <c:idx val="0"/>
          <c:order val="0"/>
          <c:tx>
            <c:strRef>
              <c:f>'19-20 Statistics'!$C$33</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604-40F8-82AC-BF7F8982C2E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604-40F8-82AC-BF7F8982C2E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604-40F8-82AC-BF7F8982C2E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604-40F8-82AC-BF7F8982C2E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604-40F8-82AC-BF7F8982C2E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604-40F8-82AC-BF7F8982C2E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604-40F8-82AC-BF7F8982C2E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604-40F8-82AC-BF7F8982C2E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604-40F8-82AC-BF7F8982C2E8}"/>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604-40F8-82AC-BF7F8982C2E8}"/>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604-40F8-82AC-BF7F8982C2E8}"/>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A604-40F8-82AC-BF7F8982C2E8}"/>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A604-40F8-82AC-BF7F8982C2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'19-20 Statistics'!$B$34:$B$47</c:f>
              <c:strCache>
                <c:ptCount val="13"/>
                <c:pt idx="0">
                  <c:v>Federal government entities</c:v>
                </c:pt>
                <c:pt idx="1">
                  <c:v>State government entities</c:v>
                </c:pt>
                <c:pt idx="2">
                  <c:v>Industry body</c:v>
                </c:pt>
                <c:pt idx="3">
                  <c:v>Indigenous representative</c:v>
                </c:pt>
                <c:pt idx="4">
                  <c:v>Community group</c:v>
                </c:pt>
                <c:pt idx="5">
                  <c:v>Environmental group</c:v>
                </c:pt>
                <c:pt idx="6">
                  <c:v>Irrigation infrastructure operator</c:v>
                </c:pt>
                <c:pt idx="7">
                  <c:v>Local government</c:v>
                </c:pt>
                <c:pt idx="8">
                  <c:v>Academic</c:v>
                </c:pt>
                <c:pt idx="9">
                  <c:v>Media</c:v>
                </c:pt>
                <c:pt idx="10">
                  <c:v>Other</c:v>
                </c:pt>
                <c:pt idx="11">
                  <c:v>Farmer or community member</c:v>
                </c:pt>
                <c:pt idx="12">
                  <c:v>Private company or consultant</c:v>
                </c:pt>
              </c:strCache>
            </c:strRef>
          </c:cat>
          <c:val>
            <c:numRef>
              <c:f>'19-20 Statistics'!$C$34:$C$47</c:f>
              <c:numCache>
                <c:formatCode>General</c:formatCode>
                <c:ptCount val="13"/>
                <c:pt idx="0">
                  <c:v>99</c:v>
                </c:pt>
                <c:pt idx="1">
                  <c:v>59</c:v>
                </c:pt>
                <c:pt idx="2">
                  <c:v>53</c:v>
                </c:pt>
                <c:pt idx="3">
                  <c:v>11</c:v>
                </c:pt>
                <c:pt idx="4">
                  <c:v>9</c:v>
                </c:pt>
                <c:pt idx="5">
                  <c:v>4</c:v>
                </c:pt>
                <c:pt idx="6">
                  <c:v>7</c:v>
                </c:pt>
                <c:pt idx="7">
                  <c:v>11</c:v>
                </c:pt>
                <c:pt idx="8">
                  <c:v>10</c:v>
                </c:pt>
                <c:pt idx="9">
                  <c:v>29</c:v>
                </c:pt>
                <c:pt idx="10">
                  <c:v>2</c:v>
                </c:pt>
                <c:pt idx="11">
                  <c:v>123</c:v>
                </c:pt>
                <c:pt idx="12">
                  <c:v>20</c:v>
                </c:pt>
              </c:numCache>
            </c:numRef>
          </c:val>
          <c:extLst xmlns:c16r2="http://schemas.microsoft.com/office/drawing/2015/06/chart">
            <c:ext xmlns:c16="http://schemas.microsoft.com/office/drawing/2014/chart" uri="{C3380CC4-5D6E-409C-BE32-E72D297353CC}">
              <c16:uniqueId val="{0000001A-A604-40F8-82AC-BF7F8982C2E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[2019-20 Master Register.XLSX]19-20 Statistics!PivotTable4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Referral categories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s>
    <c:plotArea>
      <c:layout/>
      <c:pieChart>
        <c:varyColors val="1"/>
        <c:ser>
          <c:idx val="0"/>
          <c:order val="0"/>
          <c:tx>
            <c:strRef>
              <c:f>'19-20 Statistics'!$C$89</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B4-45CA-AE00-C23DEC49BF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B4-45CA-AE00-C23DEC49BF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B4-45CA-AE00-C23DEC49BF6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7B4-45CA-AE00-C23DEC49BF6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7B4-45CA-AE00-C23DEC49BF6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7B4-45CA-AE00-C23DEC49BF6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7B4-45CA-AE00-C23DEC49BF6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7B4-45CA-AE00-C23DEC49BF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'19-20 Statistics'!$B$90:$B$97</c:f>
              <c:strCache>
                <c:ptCount val="7"/>
                <c:pt idx="0">
                  <c:v>Conduct of a government agency/official</c:v>
                </c:pt>
                <c:pt idx="1">
                  <c:v>Conduct of an irrigation infrastructure operator</c:v>
                </c:pt>
                <c:pt idx="2">
                  <c:v>Environmental water</c:v>
                </c:pt>
                <c:pt idx="3">
                  <c:v>Illegal water take</c:v>
                </c:pt>
                <c:pt idx="4">
                  <c:v>Illegal works and structures</c:v>
                </c:pt>
                <c:pt idx="5">
                  <c:v>Water markets and trade</c:v>
                </c:pt>
                <c:pt idx="6">
                  <c:v>Other</c:v>
                </c:pt>
              </c:strCache>
            </c:strRef>
          </c:cat>
          <c:val>
            <c:numRef>
              <c:f>'19-20 Statistics'!$C$90:$C$97</c:f>
              <c:numCache>
                <c:formatCode>General</c:formatCode>
                <c:ptCount val="7"/>
                <c:pt idx="0">
                  <c:v>13</c:v>
                </c:pt>
                <c:pt idx="1">
                  <c:v>6</c:v>
                </c:pt>
                <c:pt idx="2">
                  <c:v>1</c:v>
                </c:pt>
                <c:pt idx="3">
                  <c:v>2</c:v>
                </c:pt>
                <c:pt idx="4">
                  <c:v>2</c:v>
                </c:pt>
                <c:pt idx="5">
                  <c:v>5</c:v>
                </c:pt>
                <c:pt idx="6">
                  <c:v>1</c:v>
                </c:pt>
              </c:numCache>
            </c:numRef>
          </c:val>
          <c:extLst xmlns:c16r2="http://schemas.microsoft.com/office/drawing/2015/06/chart">
            <c:ext xmlns:c16="http://schemas.microsoft.com/office/drawing/2014/chart" uri="{C3380CC4-5D6E-409C-BE32-E72D297353CC}">
              <c16:uniqueId val="{00000010-37B4-45CA-AE00-C23DEC49BF6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[2019-20 Master Register.XLSX]19-20 Statistics!PivotTable5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Referral location</a:t>
            </a:r>
          </a:p>
        </c:rich>
      </c:tx>
      <c:layout>
        <c:manualLayout>
          <c:xMode val="edge"/>
          <c:yMode val="edge"/>
          <c:x val="0.33404600183895694"/>
          <c:y val="4.67055879899916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
        <c:idx val="26"/>
        <c:spPr>
          <a:solidFill>
            <a:schemeClr val="accent1"/>
          </a:solidFill>
          <a:ln w="19050">
            <a:solidFill>
              <a:schemeClr val="lt1"/>
            </a:solidFill>
          </a:ln>
          <a:effectLst/>
        </c:spPr>
      </c:pivotFmt>
      <c:pivotFmt>
        <c:idx val="27"/>
        <c:spPr>
          <a:solidFill>
            <a:schemeClr val="accent1"/>
          </a:solidFill>
          <a:ln w="19050">
            <a:solidFill>
              <a:schemeClr val="lt1"/>
            </a:solidFill>
          </a:ln>
          <a:effectLst/>
        </c:spPr>
      </c:pivotFmt>
      <c:pivotFmt>
        <c:idx val="2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9"/>
        <c:spPr>
          <a:solidFill>
            <a:schemeClr val="accent1"/>
          </a:solidFill>
          <a:ln w="19050">
            <a:solidFill>
              <a:schemeClr val="lt1"/>
            </a:solidFill>
          </a:ln>
          <a:effectLst/>
        </c:spPr>
      </c:pivotFmt>
      <c:pivotFmt>
        <c:idx val="30"/>
        <c:spPr>
          <a:solidFill>
            <a:schemeClr val="accent1"/>
          </a:solidFill>
          <a:ln w="19050">
            <a:solidFill>
              <a:schemeClr val="lt1"/>
            </a:solidFill>
          </a:ln>
          <a:effectLst/>
        </c:spPr>
      </c:pivotFmt>
      <c:pivotFmt>
        <c:idx val="31"/>
        <c:spPr>
          <a:solidFill>
            <a:schemeClr val="accent1"/>
          </a:solidFill>
          <a:ln w="19050">
            <a:solidFill>
              <a:schemeClr val="lt1"/>
            </a:solidFill>
          </a:ln>
          <a:effectLst/>
        </c:spPr>
      </c:pivotFmt>
      <c:pivotFmt>
        <c:idx val="32"/>
        <c:spPr>
          <a:solidFill>
            <a:schemeClr val="accent1"/>
          </a:solidFill>
          <a:ln w="19050">
            <a:solidFill>
              <a:schemeClr val="lt1"/>
            </a:solidFill>
          </a:ln>
          <a:effectLst/>
        </c:spPr>
      </c:pivotFmt>
      <c:pivotFmt>
        <c:idx val="33"/>
        <c:spPr>
          <a:solidFill>
            <a:schemeClr val="accent1"/>
          </a:solidFill>
          <a:ln w="19050">
            <a:solidFill>
              <a:schemeClr val="lt1"/>
            </a:solidFill>
          </a:ln>
          <a:effectLst/>
        </c:spPr>
      </c:pivotFmt>
    </c:pivotFmts>
    <c:plotArea>
      <c:layout/>
      <c:pieChart>
        <c:varyColors val="1"/>
        <c:ser>
          <c:idx val="0"/>
          <c:order val="0"/>
          <c:tx>
            <c:strRef>
              <c:f>'19-20 Statistics'!$C$114</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D9F-4593-B3BA-DBB5BB4C62E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D9F-4593-B3BA-DBB5BB4C62E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D9F-4593-B3BA-DBB5BB4C62E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D9F-4593-B3BA-DBB5BB4C62E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D9F-4593-B3BA-DBB5BB4C62E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D9F-4593-B3BA-DBB5BB4C62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'19-20 Statistics'!$B$115:$B$120</c:f>
              <c:strCache>
                <c:ptCount val="5"/>
                <c:pt idx="0">
                  <c:v>Australian Government</c:v>
                </c:pt>
                <c:pt idx="1">
                  <c:v>Basinwide</c:v>
                </c:pt>
                <c:pt idx="2">
                  <c:v>NSW</c:v>
                </c:pt>
                <c:pt idx="3">
                  <c:v>Vic</c:v>
                </c:pt>
                <c:pt idx="4">
                  <c:v>SA</c:v>
                </c:pt>
              </c:strCache>
            </c:strRef>
          </c:cat>
          <c:val>
            <c:numRef>
              <c:f>'19-20 Statistics'!$C$115:$C$120</c:f>
              <c:numCache>
                <c:formatCode>General</c:formatCode>
                <c:ptCount val="5"/>
                <c:pt idx="0">
                  <c:v>5</c:v>
                </c:pt>
                <c:pt idx="1">
                  <c:v>2</c:v>
                </c:pt>
                <c:pt idx="2">
                  <c:v>17</c:v>
                </c:pt>
                <c:pt idx="3">
                  <c:v>5</c:v>
                </c:pt>
                <c:pt idx="4">
                  <c:v>1</c:v>
                </c:pt>
              </c:numCache>
            </c:numRef>
          </c:val>
          <c:extLst xmlns:c16r2="http://schemas.microsoft.com/office/drawing/2015/06/chart">
            <c:ext xmlns:c16="http://schemas.microsoft.com/office/drawing/2014/chart" uri="{C3380CC4-5D6E-409C-BE32-E72D297353CC}">
              <c16:uniqueId val="{0000000C-2D9F-4593-B3BA-DBB5BB4C62E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D19 673405  2019-20 Master Register.XLSX]19-20 Statistics!PivotTable3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Referral outcomes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solidFill>
              <a:schemeClr val="lt1"/>
            </a:solidFill>
          </a:ln>
          <a:effectLst/>
        </c:spPr>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pivotFmt>
      <c:pivotFmt>
        <c:idx val="1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accent1"/>
          </a:solidFill>
          <a:ln w="19050">
            <a:solidFill>
              <a:schemeClr val="lt1"/>
            </a:solidFill>
          </a:ln>
          <a:effectLst/>
        </c:spPr>
      </c:pivotFmt>
      <c:pivotFmt>
        <c:idx val="12"/>
        <c:spPr>
          <a:solidFill>
            <a:schemeClr val="accent1"/>
          </a:solidFill>
          <a:ln w="19050">
            <a:solidFill>
              <a:schemeClr val="lt1"/>
            </a:solidFill>
          </a:ln>
          <a:effectLst/>
        </c:spPr>
      </c:pivotFmt>
      <c:pivotFmt>
        <c:idx val="13"/>
        <c:spPr>
          <a:solidFill>
            <a:schemeClr val="accent1"/>
          </a:solidFill>
          <a:ln w="19050">
            <a:solidFill>
              <a:schemeClr val="lt1"/>
            </a:solidFill>
          </a:ln>
          <a:effectLst/>
        </c:spPr>
      </c:pivotFmt>
      <c:pivotFmt>
        <c:idx val="14"/>
        <c:spPr>
          <a:solidFill>
            <a:schemeClr val="accent1"/>
          </a:solidFill>
          <a:ln w="19050">
            <a:solidFill>
              <a:schemeClr val="lt1"/>
            </a:solidFill>
          </a:ln>
          <a:effectLst/>
        </c:spPr>
      </c:pivotFmt>
      <c:pivotFmt>
        <c:idx val="15"/>
        <c:spPr>
          <a:solidFill>
            <a:schemeClr val="accent1"/>
          </a:solidFill>
          <a:ln w="19050">
            <a:solidFill>
              <a:schemeClr val="lt1"/>
            </a:solidFill>
          </a:ln>
          <a:effectLst/>
        </c:spPr>
      </c:pivotFmt>
      <c:pivotFmt>
        <c:idx val="16"/>
        <c:spPr>
          <a:solidFill>
            <a:schemeClr val="accent1"/>
          </a:solidFill>
          <a:ln w="19050">
            <a:solidFill>
              <a:schemeClr val="lt1"/>
            </a:solidFill>
          </a:ln>
          <a:effectLst/>
        </c:spPr>
      </c:pivotFmt>
      <c:pivotFmt>
        <c:idx val="17"/>
        <c:spPr>
          <a:solidFill>
            <a:schemeClr val="accent1"/>
          </a:solidFill>
          <a:ln w="19050">
            <a:solidFill>
              <a:schemeClr val="lt1"/>
            </a:solidFill>
          </a:ln>
          <a:effectLst/>
        </c:spPr>
      </c:pivotFmt>
      <c:pivotFmt>
        <c:idx val="18"/>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9"/>
        <c:spPr>
          <a:solidFill>
            <a:schemeClr val="accent1"/>
          </a:solidFill>
          <a:ln w="19050">
            <a:solidFill>
              <a:schemeClr val="lt1"/>
            </a:solidFill>
          </a:ln>
          <a:effectLst/>
        </c:spPr>
      </c:pivotFmt>
      <c:pivotFmt>
        <c:idx val="20"/>
        <c:spPr>
          <a:solidFill>
            <a:schemeClr val="accent1"/>
          </a:solidFill>
          <a:ln w="19050">
            <a:solidFill>
              <a:schemeClr val="lt1"/>
            </a:solidFill>
          </a:ln>
          <a:effectLst/>
        </c:spPr>
      </c:pivotFmt>
      <c:pivotFmt>
        <c:idx val="21"/>
        <c:spPr>
          <a:solidFill>
            <a:schemeClr val="accent1"/>
          </a:solidFill>
          <a:ln w="19050">
            <a:solidFill>
              <a:schemeClr val="lt1"/>
            </a:solidFill>
          </a:ln>
          <a:effectLst/>
        </c:spPr>
      </c:pivotFmt>
      <c:pivotFmt>
        <c:idx val="22"/>
        <c:spPr>
          <a:solidFill>
            <a:schemeClr val="accent1"/>
          </a:solidFill>
          <a:ln w="19050">
            <a:solidFill>
              <a:schemeClr val="lt1"/>
            </a:solidFill>
          </a:ln>
          <a:effectLst/>
        </c:spPr>
      </c:pivotFmt>
      <c:pivotFmt>
        <c:idx val="23"/>
        <c:spPr>
          <a:solidFill>
            <a:schemeClr val="accent1"/>
          </a:solidFill>
          <a:ln w="19050">
            <a:solidFill>
              <a:schemeClr val="lt1"/>
            </a:solidFill>
          </a:ln>
          <a:effectLst/>
        </c:spPr>
      </c:pivotFmt>
      <c:pivotFmt>
        <c:idx val="24"/>
        <c:spPr>
          <a:solidFill>
            <a:schemeClr val="accent1"/>
          </a:solidFill>
          <a:ln w="19050">
            <a:solidFill>
              <a:schemeClr val="lt1"/>
            </a:solidFill>
          </a:ln>
          <a:effectLst/>
        </c:spPr>
      </c:pivotFmt>
      <c:pivotFmt>
        <c:idx val="25"/>
        <c:spPr>
          <a:solidFill>
            <a:schemeClr val="accent1"/>
          </a:solidFill>
          <a:ln w="19050">
            <a:solidFill>
              <a:schemeClr val="lt1"/>
            </a:solidFill>
          </a:ln>
          <a:effectLst/>
        </c:spPr>
      </c:pivotFmt>
    </c:pivotFmts>
    <c:plotArea>
      <c:layout/>
      <c:pieChart>
        <c:varyColors val="1"/>
        <c:ser>
          <c:idx val="0"/>
          <c:order val="0"/>
          <c:tx>
            <c:strRef>
              <c:f>'19-20 Statistics'!$C$63</c:f>
              <c:strCache>
                <c:ptCount val="1"/>
                <c:pt idx="0">
                  <c:v>Total</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77-4C2A-920B-A21F1550FC2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77-4C2A-920B-A21F1550FC2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77-4C2A-920B-A21F1550FC2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177-4C2A-920B-A21F1550FC2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177-4C2A-920B-A21F1550FC2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177-4C2A-920B-A21F1550FC2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177-4C2A-920B-A21F1550FC2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177-4C2A-920B-A21F1550FC2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'19-20 Statistics'!$B$64:$B$71</c:f>
              <c:strCache>
                <c:ptCount val="7"/>
                <c:pt idx="0">
                  <c:v>Inquiry/investigation</c:v>
                </c:pt>
                <c:pt idx="1">
                  <c:v>Referral to appropriate agency</c:v>
                </c:pt>
                <c:pt idx="2">
                  <c:v>Input into inquiry/investigation</c:v>
                </c:pt>
                <c:pt idx="3">
                  <c:v>Input into own-motion</c:v>
                </c:pt>
                <c:pt idx="4">
                  <c:v>Office advised appropriate agency</c:v>
                </c:pt>
                <c:pt idx="5">
                  <c:v>No further action</c:v>
                </c:pt>
                <c:pt idx="6">
                  <c:v>Own-motion</c:v>
                </c:pt>
              </c:strCache>
            </c:strRef>
          </c:cat>
          <c:val>
            <c:numRef>
              <c:f>'19-20 Statistics'!$C$64:$C$71</c:f>
              <c:numCache>
                <c:formatCode>General</c:formatCode>
                <c:ptCount val="7"/>
                <c:pt idx="0">
                  <c:v>2</c:v>
                </c:pt>
                <c:pt idx="1">
                  <c:v>10</c:v>
                </c:pt>
                <c:pt idx="2">
                  <c:v>3</c:v>
                </c:pt>
                <c:pt idx="3">
                  <c:v>4</c:v>
                </c:pt>
                <c:pt idx="4">
                  <c:v>4</c:v>
                </c:pt>
                <c:pt idx="5">
                  <c:v>6</c:v>
                </c:pt>
                <c:pt idx="6">
                  <c:v>1</c:v>
                </c:pt>
              </c:numCache>
            </c:numRef>
          </c:val>
          <c:extLst xmlns:c16r2="http://schemas.microsoft.com/office/drawing/2015/06/chart">
            <c:ext xmlns:c16="http://schemas.microsoft.com/office/drawing/2014/chart" uri="{C3380CC4-5D6E-409C-BE32-E72D297353CC}">
              <c16:uniqueId val="{00000010-6177-4C2A-920B-A21F1550FC2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457C789A9C34A8CEEF1B54B663C86" ma:contentTypeVersion="9" ma:contentTypeDescription="Create a new document." ma:contentTypeScope="" ma:versionID="4d69d779b457402599ac241979a9b91f">
  <xsd:schema xmlns:xsd="http://www.w3.org/2001/XMLSchema" xmlns:xs="http://www.w3.org/2001/XMLSchema" xmlns:p="http://schemas.microsoft.com/office/2006/metadata/properties" xmlns:ns2="f5ece45c-181c-4c85-86ff-6d9e0709ae89" targetNamespace="http://schemas.microsoft.com/office/2006/metadata/properties" ma:root="true" ma:fieldsID="9bcc0197087cd4802f759778a28cc83d" ns2:_="">
    <xsd:import namespace="f5ece45c-181c-4c85-86ff-6d9e0709ae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ce45c-181c-4c85-86ff-6d9e0709ae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6D06E77-08CC-421E-9429-63DE06F4E3CB}"/>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9A8695AD-E64F-42D3-A5F8-1830E7240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3</TotalTime>
  <Pages>1</Pages>
  <Words>1895</Words>
  <Characters>10802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Annual report 2019–20</vt:lpstr>
    </vt:vector>
  </TitlesOfParts>
  <Company>Department of Agriculture Fisheries &amp; Forestry</Company>
  <LinksUpToDate>false</LinksUpToDate>
  <CharactersWithSpaces>12672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2019–20</dc:title>
  <dc:creator>Interim Inspector-General of Murray–Darling Basin Water Resources</dc:creator>
  <cp:lastModifiedBy>Dang, Van</cp:lastModifiedBy>
  <cp:revision>5</cp:revision>
  <cp:lastPrinted>2020-07-13T05:27:00Z</cp:lastPrinted>
  <dcterms:created xsi:type="dcterms:W3CDTF">2020-07-13T05:02:00Z</dcterms:created>
  <dcterms:modified xsi:type="dcterms:W3CDTF">2020-07-13T05:27:00Z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0x010100B22457C789A9C34A8CEEF1B54B663C86</vt:lpwstr>
  </property>
</Properties>
</file>