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6B90" w14:textId="29D4C1B6" w:rsidR="00515A14" w:rsidRDefault="00FA38D6" w:rsidP="00515A14">
      <w:pPr>
        <w:spacing w:after="1200"/>
      </w:pPr>
      <w:r w:rsidRPr="003A6733">
        <w:rPr>
          <w:noProof/>
        </w:rPr>
        <w:drawing>
          <wp:anchor distT="0" distB="0" distL="114300" distR="114300" simplePos="0" relativeHeight="251658239" behindDoc="1" locked="0" layoutInCell="1" allowOverlap="1" wp14:anchorId="62182B45" wp14:editId="79DCE3B8">
            <wp:simplePos x="0" y="0"/>
            <wp:positionH relativeFrom="column">
              <wp:posOffset>-1376680</wp:posOffset>
            </wp:positionH>
            <wp:positionV relativeFrom="paragraph">
              <wp:posOffset>-914399</wp:posOffset>
            </wp:positionV>
            <wp:extent cx="8274154" cy="1654830"/>
            <wp:effectExtent l="0" t="0" r="6350" b="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74154" cy="165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A14">
        <w:rPr>
          <w:noProof/>
        </w:rPr>
        <w:drawing>
          <wp:anchor distT="0" distB="0" distL="114300" distR="114300" simplePos="0" relativeHeight="251659264" behindDoc="1" locked="0" layoutInCell="1" allowOverlap="1" wp14:anchorId="56549F75" wp14:editId="6082B12A">
            <wp:simplePos x="0" y="0"/>
            <wp:positionH relativeFrom="page">
              <wp:posOffset>625965</wp:posOffset>
            </wp:positionH>
            <wp:positionV relativeFrom="page">
              <wp:posOffset>289560</wp:posOffset>
            </wp:positionV>
            <wp:extent cx="3600450" cy="1040130"/>
            <wp:effectExtent l="0" t="0" r="0" b="0"/>
            <wp:wrapNone/>
            <wp:docPr id="11" name="Picture 13" descr="Australian Government Crest and Inspector-General of Water Compliance Logo locku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3" descr="Australian Government Crest and Inspector-General of Water Compliance Logo lockup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79068" w14:textId="44AE920A" w:rsidR="00000000" w:rsidRDefault="00000000">
      <w:pPr>
        <w:pStyle w:val="Heading1"/>
      </w:pPr>
      <w:r>
        <w:t>Audit snapshot</w:t>
      </w:r>
    </w:p>
    <w:p w14:paraId="132ED6DB" w14:textId="40A8C166" w:rsidR="00476BE7" w:rsidRDefault="00476BE7" w:rsidP="00476BE7">
      <w:pPr>
        <w:pStyle w:val="Date"/>
      </w:pPr>
      <w:r>
        <w:t>July</w:t>
      </w:r>
      <w:r w:rsidRPr="00826D7D">
        <w:t xml:space="preserve"> 2022</w:t>
      </w:r>
    </w:p>
    <w:p w14:paraId="33ADE1EE" w14:textId="77777777" w:rsidR="00000000" w:rsidRPr="00476BE7" w:rsidRDefault="00000000" w:rsidP="00476BE7">
      <w:pPr>
        <w:rPr>
          <w:rStyle w:val="Strong"/>
        </w:rPr>
      </w:pPr>
      <w:r w:rsidRPr="00476BE7">
        <w:rPr>
          <w:rStyle w:val="Strong"/>
        </w:rPr>
        <w:t>Audit of Goulburn–Murray Water (GMW) disclosure obligations under the Basin Plan</w:t>
      </w:r>
    </w:p>
    <w:p w14:paraId="30C12760" w14:textId="77777777" w:rsidR="00000000" w:rsidRPr="00476BE7" w:rsidRDefault="00000000" w:rsidP="00476BE7">
      <w:r w:rsidRPr="00476BE7">
        <w:t>To assess Goulburn–Murray Water’s compliance with Chapter 12, Part 4 of the Basin Plan, sections: 12.37 – Approval authority must disclose interest before trade occurs and 12.38 – Approval authority must disclose if it has been a party to a trade.</w:t>
      </w:r>
    </w:p>
    <w:p w14:paraId="7D106563" w14:textId="77777777" w:rsidR="00000000" w:rsidRDefault="00000000">
      <w:pPr>
        <w:pStyle w:val="Heading2"/>
      </w:pPr>
      <w:r>
        <w:t>Why we did this audit</w:t>
      </w:r>
    </w:p>
    <w:p w14:paraId="790E8D29" w14:textId="77777777" w:rsidR="00000000" w:rsidRDefault="00000000">
      <w:pPr>
        <w:pStyle w:val="ListBullet"/>
      </w:pPr>
      <w:r>
        <w:t>To determine the adequacy of arrangements GMW have in place for identifying the legal, equitable or commercial interests that exist.</w:t>
      </w:r>
    </w:p>
    <w:p w14:paraId="3E4A4406" w14:textId="77777777" w:rsidR="00000000" w:rsidRDefault="00000000">
      <w:pPr>
        <w:pStyle w:val="ListBullet"/>
      </w:pPr>
      <w:r>
        <w:t>To determine the adequacy of arrangements in place for ensuring that the nature of any legal, equitable or commercial interest it or a related party has is disclosed to the other party before a trade is approved.</w:t>
      </w:r>
    </w:p>
    <w:p w14:paraId="422063D6" w14:textId="77777777" w:rsidR="00000000" w:rsidRDefault="00000000">
      <w:pPr>
        <w:pStyle w:val="ListBullet"/>
      </w:pPr>
      <w:r>
        <w:t>To determine the adequacy of arrangements for ensuring that GMW publish all the information required after a trade has been approved.</w:t>
      </w:r>
    </w:p>
    <w:p w14:paraId="6FA2D16C" w14:textId="77777777" w:rsidR="00000000" w:rsidRDefault="00000000">
      <w:pPr>
        <w:pStyle w:val="Heading2"/>
      </w:pPr>
      <w:r>
        <w:t>Key facts</w:t>
      </w:r>
    </w:p>
    <w:p w14:paraId="5448FD6A" w14:textId="77777777" w:rsidR="00000000" w:rsidRDefault="00000000">
      <w:pPr>
        <w:pStyle w:val="ListBullet"/>
      </w:pPr>
      <w:r>
        <w:t>GMW is the largest approval authority in Victoria and Australia’s largest irrigation infrastructure operator with over 20,000 customers across northern Victoria.</w:t>
      </w:r>
    </w:p>
    <w:p w14:paraId="0F2EBBFA" w14:textId="77777777" w:rsidR="00000000" w:rsidRDefault="00000000">
      <w:pPr>
        <w:pStyle w:val="ListBullet"/>
      </w:pPr>
      <w:r>
        <w:t>GMW is one of the major Approval Authorities in the Basin and holds water access rights that are traded.</w:t>
      </w:r>
    </w:p>
    <w:p w14:paraId="0EEE31F3" w14:textId="77777777" w:rsidR="00000000" w:rsidRDefault="00000000">
      <w:pPr>
        <w:pStyle w:val="ListBullet"/>
      </w:pPr>
      <w:r>
        <w:t>GMW select from a panel of 5 water brokers for its own water trading activities.</w:t>
      </w:r>
    </w:p>
    <w:p w14:paraId="62FEFFBB" w14:textId="77777777" w:rsidR="00000000" w:rsidRDefault="00000000">
      <w:pPr>
        <w:pStyle w:val="ListBullet"/>
      </w:pPr>
      <w:r>
        <w:t>A related party includes any entity in which an approval authority has a controlling interest, or any natural person acting on behalf of an approval authority for a commission or fee.</w:t>
      </w:r>
    </w:p>
    <w:p w14:paraId="6BA59B92" w14:textId="77777777" w:rsidR="00000000" w:rsidRDefault="00000000">
      <w:pPr>
        <w:pStyle w:val="Heading2"/>
      </w:pPr>
      <w:r>
        <w:t>What we found</w:t>
      </w:r>
    </w:p>
    <w:p w14:paraId="4B4E2CCB" w14:textId="77777777" w:rsidR="00000000" w:rsidRPr="00476BE7" w:rsidRDefault="00000000" w:rsidP="00476BE7">
      <w:pPr>
        <w:pStyle w:val="ListBullet"/>
      </w:pPr>
      <w:r w:rsidRPr="00476BE7">
        <w:t>The volume of water traded by GMW is not likely to have had any material impact on the water market.</w:t>
      </w:r>
    </w:p>
    <w:p w14:paraId="11195239" w14:textId="77777777" w:rsidR="00000000" w:rsidRPr="00476BE7" w:rsidRDefault="00000000" w:rsidP="00476BE7">
      <w:pPr>
        <w:pStyle w:val="ListBullet"/>
      </w:pPr>
      <w:r w:rsidRPr="00476BE7">
        <w:t>GMW does not have formal arrangements for identifying all the legal, equitable and commercial interests they or a related party may have in water access rights that are traded.</w:t>
      </w:r>
    </w:p>
    <w:p w14:paraId="13740C75" w14:textId="77777777" w:rsidR="00000000" w:rsidRPr="00476BE7" w:rsidRDefault="00000000" w:rsidP="00476BE7">
      <w:pPr>
        <w:pStyle w:val="ListBullet"/>
      </w:pPr>
      <w:r w:rsidRPr="00476BE7">
        <w:t>A lack of physical evidence to ensure that parties to a trade were notified when GMW or a related party had a legal or equitable interest in the water access right, or a commercial interest in the activities of the water market intermediary who submitted the trade for approval.</w:t>
      </w:r>
    </w:p>
    <w:p w14:paraId="660E9D5F" w14:textId="77777777" w:rsidR="00000000" w:rsidRPr="00476BE7" w:rsidRDefault="00000000" w:rsidP="00476BE7">
      <w:pPr>
        <w:pStyle w:val="ListBullet"/>
      </w:pPr>
      <w:r w:rsidRPr="00476BE7">
        <w:t>GMW do not have documents to evidence instructions for all trades provided to brokers.</w:t>
      </w:r>
    </w:p>
    <w:p w14:paraId="59B8408B" w14:textId="77777777" w:rsidR="00000000" w:rsidRDefault="00000000">
      <w:pPr>
        <w:pStyle w:val="Heading2"/>
      </w:pPr>
      <w:r>
        <w:t>What we recommended</w:t>
      </w:r>
    </w:p>
    <w:p w14:paraId="0C90F814" w14:textId="77777777" w:rsidR="00000000" w:rsidRDefault="00000000">
      <w:pPr>
        <w:pStyle w:val="ListBullet"/>
      </w:pPr>
      <w:r>
        <w:t xml:space="preserve">GMW should have arrangements that properly consider the extent to which it, or a related party, has </w:t>
      </w:r>
      <w:r>
        <w:lastRenderedPageBreak/>
        <w:t>legal or equitable interests in a water access right or a commercial interest in the activities of a water market intermediary.</w:t>
      </w:r>
    </w:p>
    <w:p w14:paraId="3089DA1A" w14:textId="77777777" w:rsidR="00000000" w:rsidRDefault="00000000">
      <w:pPr>
        <w:pStyle w:val="ListBullet"/>
      </w:pPr>
      <w:r>
        <w:t>Agreements with brokers need to confirm the process for notifying other parties where GMW or a related party have a legal or equitable interest in the water access right.</w:t>
      </w:r>
    </w:p>
    <w:p w14:paraId="3380F22F" w14:textId="77777777" w:rsidR="00000000" w:rsidRDefault="00000000">
      <w:pPr>
        <w:pStyle w:val="ListBullet"/>
      </w:pPr>
      <w:r>
        <w:t>GMW should maintain records that allow them to reconcile applications submitted for approval with trades published.</w:t>
      </w:r>
    </w:p>
    <w:p w14:paraId="351C7F1D" w14:textId="77777777" w:rsidR="00515A14" w:rsidRDefault="00515A14" w:rsidP="00515A14">
      <w:pPr>
        <w:pStyle w:val="Heading2"/>
      </w:pPr>
      <w:r>
        <w:t>Key figures</w:t>
      </w:r>
    </w:p>
    <w:p w14:paraId="15F8DAE2" w14:textId="452EF291" w:rsidR="00000000" w:rsidRPr="00515A14" w:rsidRDefault="00000000" w:rsidP="00515A14">
      <w:pPr>
        <w:pStyle w:val="ListBullet"/>
      </w:pPr>
      <w:r w:rsidRPr="00515A14">
        <w:t>16</w:t>
      </w:r>
      <w:r w:rsidR="00515A14" w:rsidRPr="00515A14">
        <w:t xml:space="preserve"> </w:t>
      </w:r>
      <w:r w:rsidRPr="00515A14">
        <w:t>GMW transfers and trades disclosed where GMW was the buyer or seller in 2018–2019 water year.</w:t>
      </w:r>
    </w:p>
    <w:p w14:paraId="02DAA299" w14:textId="19AB1DA9" w:rsidR="00000000" w:rsidRPr="00515A14" w:rsidRDefault="00000000" w:rsidP="00515A14">
      <w:pPr>
        <w:pStyle w:val="ListBullet"/>
      </w:pPr>
      <w:r w:rsidRPr="00515A14">
        <w:t>22,070 Total water transfers and trades processed in GMW network 2018–2019.</w:t>
      </w:r>
    </w:p>
    <w:p w14:paraId="46A83A6F" w14:textId="33311D22" w:rsidR="00000000" w:rsidRPr="00515A14" w:rsidRDefault="00000000" w:rsidP="00515A14">
      <w:pPr>
        <w:pStyle w:val="ListBullet"/>
      </w:pPr>
      <w:r w:rsidRPr="00515A14">
        <w:t>2,589ML Volume of GMW water transferred or traded where GMW was the buyer or seller in 2018–2019.</w:t>
      </w:r>
    </w:p>
    <w:p w14:paraId="474C9C1D" w14:textId="7E377E7C" w:rsidR="00E055EE" w:rsidRPr="00515A14" w:rsidRDefault="00000000" w:rsidP="00515A14">
      <w:pPr>
        <w:pStyle w:val="ListBullet"/>
      </w:pPr>
      <w:r w:rsidRPr="00515A14">
        <w:t>2,980GL Volume of water transfers and allocations traded within GMW network 2018–2019.</w:t>
      </w:r>
    </w:p>
    <w:sectPr w:rsidR="00E055EE" w:rsidRPr="00515A14" w:rsidSect="00515A14">
      <w:footerReference w:type="default" r:id="rId9"/>
      <w:footerReference w:type="first" r:id="rId10"/>
      <w:type w:val="continuous"/>
      <w:pgSz w:w="11906" w:h="16838"/>
      <w:pgMar w:top="1440" w:right="1080" w:bottom="1440" w:left="108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4643" w14:textId="77777777" w:rsidR="00E055EE" w:rsidRDefault="00E055EE" w:rsidP="00515A14">
      <w:pPr>
        <w:spacing w:before="0" w:after="0" w:line="240" w:lineRule="auto"/>
      </w:pPr>
      <w:r>
        <w:separator/>
      </w:r>
    </w:p>
  </w:endnote>
  <w:endnote w:type="continuationSeparator" w:id="0">
    <w:p w14:paraId="0BF44B91" w14:textId="77777777" w:rsidR="00E055EE" w:rsidRDefault="00E055EE" w:rsidP="00515A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 Grotesk Medium">
    <w:panose1 w:val="000006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RocGrotesk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F698" w14:textId="77777777" w:rsidR="00515A14" w:rsidRDefault="00515A14" w:rsidP="00515A14">
    <w:pPr>
      <w:pStyle w:val="Footer"/>
    </w:pPr>
    <w:r>
      <w:t>Inspector-General of Water Compliance</w:t>
    </w:r>
  </w:p>
  <w:p w14:paraId="778650C5" w14:textId="5A6615B4" w:rsidR="00515A14" w:rsidRDefault="00515A1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4668" w14:textId="77777777" w:rsidR="00515A14" w:rsidRDefault="00515A14" w:rsidP="00515A14">
    <w:pPr>
      <w:pStyle w:val="Footer"/>
    </w:pPr>
    <w:r>
      <w:t>Inspector-General of Water Compliance</w:t>
    </w:r>
  </w:p>
  <w:p w14:paraId="66E1BBBA" w14:textId="38989954" w:rsidR="00515A14" w:rsidRDefault="00515A1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884A" w14:textId="77777777" w:rsidR="00E055EE" w:rsidRDefault="00E055EE" w:rsidP="00515A14">
      <w:pPr>
        <w:spacing w:before="0" w:after="0" w:line="240" w:lineRule="auto"/>
      </w:pPr>
      <w:r>
        <w:separator/>
      </w:r>
    </w:p>
  </w:footnote>
  <w:footnote w:type="continuationSeparator" w:id="0">
    <w:p w14:paraId="6A4681BD" w14:textId="77777777" w:rsidR="00E055EE" w:rsidRDefault="00E055EE" w:rsidP="00515A1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BEE71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51D1D0C"/>
    <w:multiLevelType w:val="hybridMultilevel"/>
    <w:tmpl w:val="F38CCAFC"/>
    <w:lvl w:ilvl="0" w:tplc="15FA72C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939539">
    <w:abstractNumId w:val="0"/>
  </w:num>
  <w:num w:numId="2" w16cid:durableId="1453285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B9"/>
    <w:rsid w:val="00476BE7"/>
    <w:rsid w:val="00515A14"/>
    <w:rsid w:val="007505D1"/>
    <w:rsid w:val="009911B9"/>
    <w:rsid w:val="00E055EE"/>
    <w:rsid w:val="00FA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E29406"/>
  <w14:defaultImageDpi w14:val="0"/>
  <w15:docId w15:val="{9069E88A-E04A-7349-BD40-1B00CE14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BE7"/>
    <w:pPr>
      <w:suppressAutoHyphens/>
      <w:spacing w:before="120" w:after="120" w:line="280" w:lineRule="atLeast"/>
    </w:pPr>
    <w:rPr>
      <w:rFonts w:ascii="Arial" w:hAnsi="Arial"/>
      <w:color w:val="000000" w:themeColor="text1"/>
      <w:sz w:val="20"/>
    </w:rPr>
  </w:style>
  <w:style w:type="paragraph" w:styleId="Heading1">
    <w:name w:val="heading 1"/>
    <w:basedOn w:val="NoParagraphStyle"/>
    <w:link w:val="Heading1Char"/>
    <w:uiPriority w:val="99"/>
    <w:qFormat/>
    <w:rsid w:val="00476BE7"/>
    <w:pPr>
      <w:suppressAutoHyphens/>
      <w:spacing w:after="240" w:line="680" w:lineRule="atLeast"/>
      <w:outlineLvl w:val="0"/>
    </w:pPr>
    <w:rPr>
      <w:rFonts w:ascii="Arial" w:hAnsi="Arial" w:cs="Roc Grotesk Medium"/>
      <w:b/>
      <w:color w:val="4C6967"/>
      <w:sz w:val="60"/>
      <w:szCs w:val="60"/>
      <w:lang w:val="en-GB"/>
    </w:rPr>
  </w:style>
  <w:style w:type="paragraph" w:styleId="Heading2">
    <w:name w:val="heading 2"/>
    <w:basedOn w:val="NoParagraphStyle"/>
    <w:next w:val="Normal"/>
    <w:link w:val="Heading2Char"/>
    <w:uiPriority w:val="99"/>
    <w:qFormat/>
    <w:rsid w:val="00515A14"/>
    <w:pPr>
      <w:keepNext/>
      <w:keepLines/>
      <w:suppressAutoHyphens/>
      <w:spacing w:before="120" w:after="120"/>
      <w:outlineLvl w:val="1"/>
    </w:pPr>
    <w:rPr>
      <w:rFonts w:ascii="Arial" w:hAnsi="Arial" w:cs="Roc Grotesk Medium"/>
      <w:b/>
      <w:color w:val="47555E"/>
      <w:sz w:val="3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476BE7"/>
    <w:rPr>
      <w:rFonts w:ascii="Arial" w:hAnsi="Arial" w:cs="Roc Grotesk Medium"/>
      <w:b/>
      <w:color w:val="4C6967"/>
      <w:sz w:val="60"/>
      <w:szCs w:val="60"/>
      <w:lang w:val="en-GB"/>
    </w:rPr>
  </w:style>
  <w:style w:type="paragraph" w:styleId="Date">
    <w:name w:val="Date"/>
    <w:basedOn w:val="Heading1"/>
    <w:link w:val="DateChar"/>
    <w:uiPriority w:val="99"/>
    <w:pPr>
      <w:spacing w:after="227" w:line="400" w:lineRule="atLeast"/>
      <w:outlineLvl w:val="9"/>
    </w:pPr>
    <w:rPr>
      <w:sz w:val="30"/>
      <w:szCs w:val="30"/>
    </w:rPr>
  </w:style>
  <w:style w:type="character" w:customStyle="1" w:styleId="DateChar">
    <w:name w:val="Date Char"/>
    <w:basedOn w:val="DefaultParagraphFont"/>
    <w:link w:val="Date"/>
    <w:uiPriority w:val="99"/>
  </w:style>
  <w:style w:type="paragraph" w:styleId="Header">
    <w:name w:val="header"/>
    <w:basedOn w:val="Normal"/>
    <w:link w:val="HeaderChar"/>
    <w:uiPriority w:val="99"/>
    <w:unhideWhenUsed/>
    <w:rsid w:val="00515A1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9"/>
    <w:rsid w:val="00515A14"/>
    <w:rPr>
      <w:rFonts w:ascii="Arial" w:hAnsi="Arial" w:cs="Roc Grotesk Medium"/>
      <w:b/>
      <w:color w:val="47555E"/>
      <w:sz w:val="30"/>
      <w:szCs w:val="26"/>
      <w:lang w:val="en-US"/>
    </w:rPr>
  </w:style>
  <w:style w:type="paragraph" w:styleId="ListBullet">
    <w:name w:val="List Bullet"/>
    <w:basedOn w:val="Normal"/>
    <w:uiPriority w:val="99"/>
    <w:rsid w:val="00515A14"/>
    <w:pPr>
      <w:widowControl w:val="0"/>
      <w:numPr>
        <w:numId w:val="2"/>
      </w:numPr>
      <w:autoSpaceDE w:val="0"/>
      <w:autoSpaceDN w:val="0"/>
      <w:adjustRightInd w:val="0"/>
      <w:spacing w:before="0" w:after="60"/>
      <w:textAlignment w:val="center"/>
    </w:pPr>
    <w:rPr>
      <w:rFonts w:cs="RocGrotesk-Regular"/>
      <w:spacing w:val="-2"/>
      <w:szCs w:val="18"/>
      <w:lang w:val="en-GB"/>
    </w:rPr>
  </w:style>
  <w:style w:type="character" w:customStyle="1" w:styleId="Bold">
    <w:name w:val="Bold"/>
    <w:uiPriority w:val="99"/>
    <w:rPr>
      <w:rFonts w:ascii="Roc Grotesk Medium" w:hAnsi="Roc Grotesk Medium" w:cs="Roc Grotesk Medium"/>
    </w:rPr>
  </w:style>
  <w:style w:type="character" w:styleId="Strong">
    <w:name w:val="Strong"/>
    <w:basedOn w:val="DefaultParagraphFont"/>
    <w:uiPriority w:val="22"/>
    <w:qFormat/>
    <w:rsid w:val="00476BE7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515A14"/>
    <w:rPr>
      <w:rFonts w:ascii="Arial" w:hAnsi="Arial"/>
      <w:color w:val="000000" w:themeColor="text1"/>
      <w:sz w:val="20"/>
    </w:rPr>
  </w:style>
  <w:style w:type="paragraph" w:styleId="Footer">
    <w:name w:val="footer"/>
    <w:basedOn w:val="Normal"/>
    <w:link w:val="FooterChar"/>
    <w:uiPriority w:val="27"/>
    <w:unhideWhenUsed/>
    <w:rsid w:val="00515A14"/>
    <w:pPr>
      <w:tabs>
        <w:tab w:val="center" w:pos="4513"/>
        <w:tab w:val="right" w:pos="9026"/>
      </w:tabs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27"/>
    <w:rsid w:val="00515A14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0C0D4B-ADBB-40AE-B404-A9D620728B68}"/>
</file>

<file path=customXml/itemProps2.xml><?xml version="1.0" encoding="utf-8"?>
<ds:datastoreItem xmlns:ds="http://schemas.openxmlformats.org/officeDocument/2006/customXml" ds:itemID="{B1F0AF61-5245-4CFD-BE8D-9111A37501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488</Words>
  <Characters>2476</Characters>
  <Application>Microsoft Office Word</Application>
  <DocSecurity>0</DocSecurity>
  <Lines>44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snapshot</vt:lpstr>
    </vt:vector>
  </TitlesOfParts>
  <Manager/>
  <Company/>
  <LinksUpToDate>false</LinksUpToDate>
  <CharactersWithSpaces>2933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snapshot</dc:title>
  <dc:subject>Inspector-General of Water Compliance</dc:subject>
  <dc:creator/>
  <cp:keywords/>
  <dc:description/>
  <cp:lastModifiedBy>Hiba Attar</cp:lastModifiedBy>
  <cp:revision>3</cp:revision>
  <dcterms:created xsi:type="dcterms:W3CDTF">2022-07-08T00:41:00Z</dcterms:created>
  <dcterms:modified xsi:type="dcterms:W3CDTF">2022-07-08T01:06:00Z</dcterms:modified>
  <cp:category/>
</cp:coreProperties>
</file>