
<file path=[Content_Types].xml><?xml version="1.0" encoding="utf-8"?>
<Types xmlns="http://schemas.openxmlformats.org/package/2006/content-types">
  <Default Extension="emf" ContentType="image/x-emf"/>
  <Default Extension="jfif"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2C73F" w14:textId="06DA088B" w:rsidR="00473F5B" w:rsidRPr="00633635" w:rsidRDefault="006669EB" w:rsidP="00473F5B">
      <w:pPr>
        <w:pStyle w:val="Title"/>
        <w:rPr>
          <w:rFonts w:ascii="Arial" w:hAnsi="Arial" w:cs="Arial"/>
        </w:rPr>
      </w:pPr>
      <w:bookmarkStart w:id="0" w:name="_Hlk108082136"/>
      <w:r w:rsidRPr="00633635">
        <w:rPr>
          <w:rFonts w:ascii="Arial" w:hAnsi="Arial" w:cs="Arial"/>
        </w:rPr>
        <w:t>Compliance and enforcement across the Murray</w:t>
      </w:r>
      <w:r w:rsidR="00556AEA" w:rsidRPr="00633635">
        <w:rPr>
          <w:rFonts w:ascii="Arial" w:hAnsi="Arial" w:cs="Arial"/>
        </w:rPr>
        <w:t>–</w:t>
      </w:r>
      <w:r w:rsidRPr="00633635">
        <w:rPr>
          <w:rFonts w:ascii="Arial" w:hAnsi="Arial" w:cs="Arial"/>
        </w:rPr>
        <w:t>Darling Basin</w:t>
      </w:r>
    </w:p>
    <w:p w14:paraId="35053899" w14:textId="62162E2F" w:rsidR="00BE6035" w:rsidRPr="00633635" w:rsidRDefault="00BE6035" w:rsidP="00BE6035">
      <w:pPr>
        <w:pStyle w:val="Subtitle"/>
        <w:rPr>
          <w:rFonts w:ascii="Arial" w:hAnsi="Arial" w:cs="Arial"/>
        </w:rPr>
      </w:pPr>
      <w:r w:rsidRPr="00633635">
        <w:rPr>
          <w:rFonts w:ascii="Arial" w:hAnsi="Arial" w:cs="Arial"/>
        </w:rPr>
        <w:t>Inspector-General of Water Compliance</w:t>
      </w:r>
    </w:p>
    <w:p w14:paraId="564AEF85" w14:textId="11FCEFD1" w:rsidR="00A4541C" w:rsidRPr="00633635" w:rsidRDefault="000C4E61" w:rsidP="00BE6035">
      <w:pPr>
        <w:pStyle w:val="Subtitle"/>
        <w:rPr>
          <w:rFonts w:ascii="Arial" w:hAnsi="Arial" w:cs="Arial"/>
        </w:rPr>
        <w:sectPr w:rsidR="00A4541C" w:rsidRPr="00633635" w:rsidSect="00D82FCB">
          <w:headerReference w:type="default" r:id="rId11"/>
          <w:footerReference w:type="default" r:id="rId12"/>
          <w:headerReference w:type="first" r:id="rId13"/>
          <w:footerReference w:type="first" r:id="rId14"/>
          <w:pgSz w:w="11906" w:h="16838"/>
          <w:pgMar w:top="1281" w:right="1134" w:bottom="1134" w:left="1134" w:header="425" w:footer="999" w:gutter="0"/>
          <w:cols w:space="708"/>
          <w:titlePg/>
          <w:docGrid w:linePitch="360"/>
        </w:sectPr>
      </w:pPr>
      <w:r w:rsidRPr="00633635">
        <w:rPr>
          <w:rFonts w:ascii="Arial" w:hAnsi="Arial" w:cs="Arial"/>
        </w:rPr>
        <w:t>August</w:t>
      </w:r>
      <w:r w:rsidR="00BE6035" w:rsidRPr="00633635">
        <w:rPr>
          <w:rFonts w:ascii="Arial" w:hAnsi="Arial" w:cs="Arial"/>
        </w:rPr>
        <w:t xml:space="preserve"> 2022</w:t>
      </w:r>
    </w:p>
    <w:bookmarkEnd w:id="0"/>
    <w:p w14:paraId="0AB0F080" w14:textId="77777777" w:rsidR="00125622" w:rsidRPr="000C0C06" w:rsidRDefault="00125622" w:rsidP="00125622">
      <w:pPr>
        <w:rPr>
          <w:rFonts w:ascii="Arial" w:hAnsi="Arial" w:cs="Arial"/>
          <w:szCs w:val="20"/>
        </w:rPr>
      </w:pPr>
      <w:r w:rsidRPr="000C0C06">
        <w:rPr>
          <w:rFonts w:ascii="Arial" w:hAnsi="Arial" w:cs="Arial"/>
          <w:szCs w:val="20"/>
        </w:rPr>
        <w:lastRenderedPageBreak/>
        <w:t>© Commonwealth of Australia 2022</w:t>
      </w:r>
    </w:p>
    <w:p w14:paraId="41071C51" w14:textId="77777777" w:rsidR="00125622" w:rsidRPr="000C0C06" w:rsidRDefault="00125622" w:rsidP="00125622">
      <w:pPr>
        <w:rPr>
          <w:rStyle w:val="Strong"/>
          <w:rFonts w:ascii="Arial" w:hAnsi="Arial" w:cs="Arial"/>
          <w:szCs w:val="20"/>
        </w:rPr>
      </w:pPr>
      <w:r w:rsidRPr="000C0C06">
        <w:rPr>
          <w:rStyle w:val="Strong"/>
          <w:rFonts w:ascii="Arial" w:hAnsi="Arial" w:cs="Arial"/>
          <w:szCs w:val="20"/>
        </w:rPr>
        <w:t>Ownership of intellectual property rights</w:t>
      </w:r>
    </w:p>
    <w:p w14:paraId="48D623A5" w14:textId="77777777" w:rsidR="00125622" w:rsidRPr="000C0C06" w:rsidRDefault="00125622" w:rsidP="00125622">
      <w:pPr>
        <w:rPr>
          <w:rFonts w:ascii="Arial" w:hAnsi="Arial" w:cs="Arial"/>
          <w:szCs w:val="20"/>
        </w:rPr>
      </w:pPr>
      <w:r w:rsidRPr="000C0C06">
        <w:rPr>
          <w:rFonts w:ascii="Arial" w:hAnsi="Arial" w:cs="Arial"/>
          <w:szCs w:val="20"/>
        </w:rPr>
        <w:t>Unless otherwise noted, copyright (and any other intellectual property rights) in this publication is owned by the Commonwealth of Australia (referred to as the Commonwealth).</w:t>
      </w:r>
    </w:p>
    <w:p w14:paraId="5A225113" w14:textId="77777777" w:rsidR="00125622" w:rsidRPr="000C0C06" w:rsidRDefault="00125622" w:rsidP="00125622">
      <w:pPr>
        <w:rPr>
          <w:rStyle w:val="Strong"/>
          <w:rFonts w:ascii="Arial" w:hAnsi="Arial" w:cs="Arial"/>
          <w:szCs w:val="20"/>
        </w:rPr>
      </w:pPr>
      <w:r w:rsidRPr="000C0C06">
        <w:rPr>
          <w:rStyle w:val="Strong"/>
          <w:rFonts w:ascii="Arial" w:hAnsi="Arial" w:cs="Arial"/>
          <w:szCs w:val="20"/>
        </w:rPr>
        <w:t xml:space="preserve">Creative Commons licence </w:t>
      </w:r>
    </w:p>
    <w:p w14:paraId="718D2176" w14:textId="77777777" w:rsidR="00125622" w:rsidRPr="000C0C06" w:rsidRDefault="00125622" w:rsidP="00125622">
      <w:pPr>
        <w:rPr>
          <w:rFonts w:ascii="Arial" w:hAnsi="Arial" w:cs="Arial"/>
          <w:szCs w:val="20"/>
        </w:rPr>
      </w:pPr>
      <w:r w:rsidRPr="000C0C06">
        <w:rPr>
          <w:rFonts w:ascii="Arial" w:hAnsi="Arial" w:cs="Arial"/>
          <w:szCs w:val="20"/>
        </w:rPr>
        <w:t xml:space="preserve">All material in this publication is licensed under a Creative Commons Attribution 4.0 International Licence, except for content supplied by third parties, </w:t>
      </w:r>
      <w:proofErr w:type="gramStart"/>
      <w:r w:rsidRPr="000C0C06">
        <w:rPr>
          <w:rFonts w:ascii="Arial" w:hAnsi="Arial" w:cs="Arial"/>
          <w:szCs w:val="20"/>
        </w:rPr>
        <w:t>logos</w:t>
      </w:r>
      <w:proofErr w:type="gramEnd"/>
      <w:r w:rsidRPr="000C0C06">
        <w:rPr>
          <w:rFonts w:ascii="Arial" w:hAnsi="Arial" w:cs="Arial"/>
          <w:szCs w:val="20"/>
        </w:rPr>
        <w:t xml:space="preserve"> and the Commonwealth Coat of Arms. </w:t>
      </w:r>
    </w:p>
    <w:p w14:paraId="4E49AAB8" w14:textId="77777777" w:rsidR="00125622" w:rsidRPr="000C0C06" w:rsidRDefault="00125622" w:rsidP="00125622">
      <w:pPr>
        <w:rPr>
          <w:rFonts w:ascii="Arial" w:hAnsi="Arial" w:cs="Arial"/>
          <w:szCs w:val="20"/>
        </w:rPr>
      </w:pPr>
      <w:r w:rsidRPr="000C0C06">
        <w:rPr>
          <w:rFonts w:ascii="Arial" w:hAnsi="Arial" w:cs="Arial"/>
          <w:szCs w:val="20"/>
        </w:rPr>
        <w:t xml:space="preserve">Inquiries about the licence and any use of this document should be emailed to </w:t>
      </w:r>
      <w:hyperlink r:id="rId15" w:history="1">
        <w:r w:rsidRPr="000C0C06">
          <w:rPr>
            <w:rStyle w:val="Hyperlink"/>
            <w:rFonts w:ascii="Arial" w:hAnsi="Arial" w:cs="Arial"/>
            <w:szCs w:val="20"/>
          </w:rPr>
          <w:t>copyright@dcceew.gov.au</w:t>
        </w:r>
      </w:hyperlink>
      <w:r w:rsidRPr="000C0C06">
        <w:rPr>
          <w:rFonts w:ascii="Arial" w:hAnsi="Arial" w:cs="Arial"/>
          <w:szCs w:val="20"/>
        </w:rPr>
        <w:t>.</w:t>
      </w:r>
    </w:p>
    <w:p w14:paraId="7B27429C" w14:textId="77777777" w:rsidR="00125622" w:rsidRPr="000C0C06" w:rsidRDefault="00125622" w:rsidP="00125622">
      <w:pPr>
        <w:rPr>
          <w:rFonts w:ascii="Arial" w:hAnsi="Arial" w:cs="Arial"/>
          <w:szCs w:val="20"/>
        </w:rPr>
      </w:pPr>
      <w:r w:rsidRPr="000C0C06">
        <w:rPr>
          <w:rFonts w:ascii="Arial" w:hAnsi="Arial" w:cs="Arial"/>
          <w:noProof/>
          <w:szCs w:val="20"/>
          <w:lang w:eastAsia="en-AU"/>
        </w:rPr>
        <w:drawing>
          <wp:inline distT="0" distB="0" distL="0" distR="0" wp14:anchorId="159C9ED5" wp14:editId="3485FD83">
            <wp:extent cx="724535" cy="25527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6"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2C335ED9" w14:textId="77777777" w:rsidR="00125622" w:rsidRPr="000C0C06" w:rsidRDefault="00125622" w:rsidP="00125622">
      <w:pPr>
        <w:rPr>
          <w:rStyle w:val="Strong"/>
          <w:rFonts w:ascii="Arial" w:hAnsi="Arial" w:cs="Arial"/>
          <w:szCs w:val="20"/>
        </w:rPr>
      </w:pPr>
      <w:r w:rsidRPr="000C0C06">
        <w:rPr>
          <w:rStyle w:val="Strong"/>
          <w:rFonts w:ascii="Arial" w:hAnsi="Arial" w:cs="Arial"/>
          <w:szCs w:val="20"/>
        </w:rPr>
        <w:t>Cataloguing data</w:t>
      </w:r>
    </w:p>
    <w:p w14:paraId="49CA6E31" w14:textId="726863E5" w:rsidR="00125622" w:rsidRPr="000C0C06" w:rsidRDefault="00125622" w:rsidP="00125622">
      <w:pPr>
        <w:rPr>
          <w:rFonts w:ascii="Arial" w:hAnsi="Arial" w:cs="Arial"/>
          <w:szCs w:val="20"/>
        </w:rPr>
      </w:pPr>
      <w:r w:rsidRPr="000C0C06">
        <w:rPr>
          <w:rFonts w:ascii="Arial" w:hAnsi="Arial" w:cs="Arial"/>
          <w:szCs w:val="20"/>
        </w:rPr>
        <w:t xml:space="preserve">This publication (and any material sourced from it) should be attributed as: Inspector-General of Water Compliance 2022, </w:t>
      </w:r>
      <w:r w:rsidR="00A47A5F" w:rsidRPr="005E1CD1">
        <w:rPr>
          <w:rFonts w:ascii="Arial" w:hAnsi="Arial" w:cs="Arial"/>
          <w:i/>
          <w:iCs/>
          <w:szCs w:val="20"/>
        </w:rPr>
        <w:t>Compliance and enforcement across the Murray-Darling Basin</w:t>
      </w:r>
      <w:r w:rsidRPr="000C0C06">
        <w:rPr>
          <w:rFonts w:ascii="Arial" w:hAnsi="Arial" w:cs="Arial"/>
          <w:szCs w:val="20"/>
        </w:rPr>
        <w:t>, the Australian Government, Canberra, August 2022. CC BY 4.0.</w:t>
      </w:r>
    </w:p>
    <w:p w14:paraId="75F232F3" w14:textId="77777777" w:rsidR="00125622" w:rsidRPr="000C0C06" w:rsidRDefault="00125622" w:rsidP="00125622">
      <w:pPr>
        <w:rPr>
          <w:rStyle w:val="Hyperlink"/>
          <w:rFonts w:ascii="Arial" w:hAnsi="Arial" w:cs="Arial"/>
          <w:szCs w:val="20"/>
        </w:rPr>
      </w:pPr>
      <w:r w:rsidRPr="000C0C06">
        <w:rPr>
          <w:rFonts w:ascii="Arial" w:hAnsi="Arial" w:cs="Arial"/>
          <w:szCs w:val="20"/>
        </w:rPr>
        <w:t xml:space="preserve">This publication is available at </w:t>
      </w:r>
      <w:hyperlink r:id="rId17" w:history="1">
        <w:r w:rsidRPr="000C0C06">
          <w:rPr>
            <w:rStyle w:val="Hyperlink"/>
            <w:rFonts w:ascii="Arial" w:hAnsi="Arial" w:cs="Arial"/>
            <w:szCs w:val="20"/>
          </w:rPr>
          <w:t>https://www.igwc.gov.au/reviews-reports</w:t>
        </w:r>
      </w:hyperlink>
    </w:p>
    <w:p w14:paraId="67999CB8" w14:textId="77777777" w:rsidR="00125622" w:rsidRPr="000C0C06" w:rsidRDefault="00125622" w:rsidP="00125622">
      <w:pPr>
        <w:rPr>
          <w:rFonts w:ascii="Arial" w:hAnsi="Arial" w:cs="Arial"/>
          <w:szCs w:val="20"/>
        </w:rPr>
      </w:pPr>
      <w:r w:rsidRPr="000C0C06">
        <w:rPr>
          <w:rFonts w:ascii="Arial" w:hAnsi="Arial" w:cs="Arial"/>
          <w:szCs w:val="20"/>
        </w:rPr>
        <w:t>Inspector-General of Water Compliance</w:t>
      </w:r>
      <w:r w:rsidRPr="000C0C06">
        <w:rPr>
          <w:rFonts w:ascii="Arial" w:hAnsi="Arial" w:cs="Arial"/>
          <w:szCs w:val="20"/>
        </w:rPr>
        <w:br/>
        <w:t>GPO Box 3090 Canberra ACT 2601</w:t>
      </w:r>
    </w:p>
    <w:p w14:paraId="0B1E3635" w14:textId="77777777" w:rsidR="00125622" w:rsidRPr="000C0C06" w:rsidRDefault="00125622" w:rsidP="00125622">
      <w:pPr>
        <w:rPr>
          <w:rStyle w:val="Strong"/>
          <w:rFonts w:ascii="Arial" w:hAnsi="Arial" w:cs="Arial"/>
          <w:szCs w:val="20"/>
        </w:rPr>
      </w:pPr>
      <w:r w:rsidRPr="000C0C06">
        <w:rPr>
          <w:rStyle w:val="Strong"/>
          <w:rFonts w:ascii="Arial" w:hAnsi="Arial" w:cs="Arial"/>
          <w:szCs w:val="20"/>
        </w:rPr>
        <w:t>Disclaimer</w:t>
      </w:r>
    </w:p>
    <w:p w14:paraId="2112504B" w14:textId="77777777" w:rsidR="00125622" w:rsidRPr="000C0C06" w:rsidRDefault="00125622" w:rsidP="00125622">
      <w:pPr>
        <w:rPr>
          <w:rFonts w:ascii="Arial" w:hAnsi="Arial" w:cs="Arial"/>
          <w:szCs w:val="20"/>
        </w:rPr>
      </w:pPr>
      <w:r w:rsidRPr="000C0C06">
        <w:rPr>
          <w:rFonts w:ascii="Arial" w:hAnsi="Arial" w:cs="Arial"/>
          <w:szCs w:val="20"/>
        </w:rPr>
        <w:t xml:space="preserve">The Australian Government represented by the Inspector-General of Water Compliance, has exercised due care and skill in preparing and compiling the information and data in this publication. Notwithstanding, the Inspector-General of Water Compliance, the Australian Government’s employees disclaim all liability, including liability for negligence and for any loss, damage, injury, </w:t>
      </w:r>
      <w:proofErr w:type="gramStart"/>
      <w:r w:rsidRPr="000C0C06">
        <w:rPr>
          <w:rFonts w:ascii="Arial" w:hAnsi="Arial" w:cs="Arial"/>
          <w:szCs w:val="20"/>
        </w:rPr>
        <w:t>expense</w:t>
      </w:r>
      <w:proofErr w:type="gramEnd"/>
      <w:r w:rsidRPr="000C0C06">
        <w:rPr>
          <w:rFonts w:ascii="Arial" w:hAnsi="Arial" w:cs="Arial"/>
          <w:szCs w:val="20"/>
        </w:rPr>
        <w:t xml:space="preserve"> or cost incurred by any person as a result of accessing, using or relying on any of the information or data in this publication to the maximum extent permitted by law.</w:t>
      </w:r>
    </w:p>
    <w:p w14:paraId="569F1A32" w14:textId="77777777" w:rsidR="00125622" w:rsidRPr="000C0C06" w:rsidRDefault="00125622" w:rsidP="00125622">
      <w:pPr>
        <w:rPr>
          <w:rStyle w:val="Strong"/>
          <w:rFonts w:ascii="Arial" w:hAnsi="Arial" w:cs="Arial"/>
          <w:szCs w:val="20"/>
        </w:rPr>
      </w:pPr>
      <w:r w:rsidRPr="000C0C06">
        <w:rPr>
          <w:rStyle w:val="Strong"/>
          <w:rFonts w:ascii="Arial" w:hAnsi="Arial" w:cs="Arial"/>
          <w:szCs w:val="20"/>
        </w:rPr>
        <w:t>Acknowledgement of the Traditional Owners of the Murray–Darling Basin</w:t>
      </w:r>
    </w:p>
    <w:p w14:paraId="30BCDEE9" w14:textId="77777777" w:rsidR="00125622" w:rsidRPr="000C0C06" w:rsidRDefault="00125622" w:rsidP="00125622">
      <w:pPr>
        <w:rPr>
          <w:rFonts w:ascii="Arial" w:hAnsi="Arial" w:cs="Arial"/>
          <w:szCs w:val="20"/>
        </w:rPr>
      </w:pPr>
      <w:r w:rsidRPr="000C0C06">
        <w:rPr>
          <w:rFonts w:ascii="Arial" w:hAnsi="Arial" w:cs="Arial"/>
          <w:szCs w:val="20"/>
        </w:rPr>
        <w:t xml:space="preserve">The Author pays respect to the Traditional Owners and their Nations of the Murray−Darling Basin. We acknowledge their deep cultural, social, environmental, </w:t>
      </w:r>
      <w:proofErr w:type="gramStart"/>
      <w:r w:rsidRPr="000C0C06">
        <w:rPr>
          <w:rFonts w:ascii="Arial" w:hAnsi="Arial" w:cs="Arial"/>
          <w:szCs w:val="20"/>
        </w:rPr>
        <w:t>spiritual</w:t>
      </w:r>
      <w:proofErr w:type="gramEnd"/>
      <w:r w:rsidRPr="000C0C06">
        <w:rPr>
          <w:rFonts w:ascii="Arial" w:hAnsi="Arial" w:cs="Arial"/>
          <w:szCs w:val="20"/>
        </w:rPr>
        <w:t xml:space="preserve"> and economic connection to their lands and waters.</w:t>
      </w:r>
    </w:p>
    <w:p w14:paraId="6AAC5E30" w14:textId="77777777" w:rsidR="00125622" w:rsidRPr="000C0C06" w:rsidRDefault="00125622" w:rsidP="00125622">
      <w:pPr>
        <w:rPr>
          <w:rStyle w:val="Strong"/>
          <w:rFonts w:ascii="Arial" w:hAnsi="Arial" w:cs="Arial"/>
          <w:szCs w:val="20"/>
        </w:rPr>
      </w:pPr>
      <w:r w:rsidRPr="000C0C06">
        <w:rPr>
          <w:rStyle w:val="Strong"/>
          <w:rFonts w:ascii="Arial" w:hAnsi="Arial" w:cs="Arial"/>
          <w:szCs w:val="20"/>
        </w:rPr>
        <w:t>Accessibility</w:t>
      </w:r>
    </w:p>
    <w:p w14:paraId="71A65876" w14:textId="77777777" w:rsidR="00125622" w:rsidRPr="000C0C06" w:rsidRDefault="00125622" w:rsidP="00125622">
      <w:pPr>
        <w:rPr>
          <w:rFonts w:ascii="Arial" w:hAnsi="Arial" w:cs="Arial"/>
          <w:szCs w:val="20"/>
        </w:rPr>
      </w:pPr>
      <w:r w:rsidRPr="000C0C06">
        <w:rPr>
          <w:rFonts w:ascii="Arial" w:hAnsi="Arial" w:cs="Arial"/>
          <w:szCs w:val="20"/>
        </w:rPr>
        <w:t xml:space="preserve">The document and information </w:t>
      </w:r>
      <w:proofErr w:type="gramStart"/>
      <w:r w:rsidRPr="000C0C06">
        <w:rPr>
          <w:rFonts w:ascii="Arial" w:hAnsi="Arial" w:cs="Arial"/>
          <w:szCs w:val="20"/>
        </w:rPr>
        <w:t>is</w:t>
      </w:r>
      <w:proofErr w:type="gramEnd"/>
      <w:r w:rsidRPr="000C0C06">
        <w:rPr>
          <w:rFonts w:ascii="Arial" w:hAnsi="Arial" w:cs="Arial"/>
          <w:szCs w:val="20"/>
        </w:rPr>
        <w:t xml:space="preserve"> available in accessible formats. On some occasions the highly technical nature of the document means that we cannot make some sections fully accessible. If you encounter accessibility problems or the document is in a format that you cannot access, please contact us.</w:t>
      </w:r>
    </w:p>
    <w:p w14:paraId="1D35FE44" w14:textId="238C9474" w:rsidR="005E1CD1" w:rsidRDefault="005E1CD1" w:rsidP="005E1CD1">
      <w:pPr>
        <w:pStyle w:val="paragraph"/>
        <w:spacing w:before="0" w:beforeAutospacing="0" w:after="0" w:afterAutospacing="0"/>
        <w:textAlignment w:val="baseline"/>
        <w:rPr>
          <w:rStyle w:val="eop"/>
          <w:rFonts w:ascii="Arial" w:hAnsi="Arial" w:cs="Arial"/>
          <w:sz w:val="20"/>
          <w:szCs w:val="20"/>
        </w:rPr>
      </w:pPr>
      <w:r w:rsidRPr="005E1CD1">
        <w:rPr>
          <w:rStyle w:val="normaltextrun"/>
          <w:rFonts w:ascii="Arial" w:hAnsi="Arial" w:cs="Arial"/>
          <w:b/>
          <w:bCs/>
          <w:sz w:val="20"/>
          <w:szCs w:val="20"/>
        </w:rPr>
        <w:t>Acknowledgements</w:t>
      </w:r>
      <w:r w:rsidRPr="005E1CD1">
        <w:rPr>
          <w:rStyle w:val="eop"/>
          <w:rFonts w:ascii="Arial" w:hAnsi="Arial" w:cs="Arial"/>
          <w:sz w:val="20"/>
          <w:szCs w:val="20"/>
        </w:rPr>
        <w:t> </w:t>
      </w:r>
    </w:p>
    <w:p w14:paraId="6327FD0E" w14:textId="77777777" w:rsidR="00D933FC" w:rsidRPr="005E1CD1" w:rsidRDefault="00D933FC" w:rsidP="005E1CD1">
      <w:pPr>
        <w:pStyle w:val="paragraph"/>
        <w:spacing w:before="0" w:beforeAutospacing="0" w:after="0" w:afterAutospacing="0"/>
        <w:textAlignment w:val="baseline"/>
        <w:rPr>
          <w:rFonts w:ascii="Arial" w:hAnsi="Arial" w:cs="Arial"/>
          <w:sz w:val="18"/>
          <w:szCs w:val="18"/>
        </w:rPr>
      </w:pPr>
    </w:p>
    <w:p w14:paraId="3B683126" w14:textId="77777777" w:rsidR="005E1CD1" w:rsidRPr="005E1CD1" w:rsidRDefault="005E1CD1" w:rsidP="005E1CD1">
      <w:pPr>
        <w:pStyle w:val="paragraph"/>
        <w:spacing w:before="0" w:beforeAutospacing="0" w:after="0" w:afterAutospacing="0"/>
        <w:textAlignment w:val="baseline"/>
        <w:rPr>
          <w:rFonts w:ascii="Arial" w:eastAsia="Calibri" w:hAnsi="Arial" w:cs="Arial"/>
          <w:sz w:val="20"/>
          <w:szCs w:val="20"/>
          <w:lang w:eastAsia="en-US"/>
        </w:rPr>
      </w:pPr>
      <w:r w:rsidRPr="005E1CD1">
        <w:rPr>
          <w:rFonts w:ascii="Arial" w:eastAsia="Calibri" w:hAnsi="Arial" w:cs="Arial"/>
          <w:sz w:val="20"/>
          <w:szCs w:val="20"/>
          <w:lang w:eastAsia="en-US"/>
        </w:rPr>
        <w:t>Mr Des Pearson (AO) assisted the Inspector-General in this review. He received support from IGWC staff. </w:t>
      </w:r>
    </w:p>
    <w:p w14:paraId="27324C5B" w14:textId="6CD53920" w:rsidR="005E1CD1" w:rsidRPr="005E1CD1" w:rsidRDefault="005E1CD1" w:rsidP="005E1CD1">
      <w:pPr>
        <w:pStyle w:val="paragraph"/>
        <w:spacing w:before="0" w:beforeAutospacing="0" w:after="0" w:afterAutospacing="0"/>
        <w:textAlignment w:val="baseline"/>
        <w:rPr>
          <w:rFonts w:ascii="Arial" w:eastAsia="Calibri" w:hAnsi="Arial" w:cs="Arial"/>
          <w:sz w:val="20"/>
          <w:szCs w:val="20"/>
          <w:lang w:eastAsia="en-US"/>
        </w:rPr>
      </w:pPr>
      <w:r w:rsidRPr="005E1CD1">
        <w:rPr>
          <w:rFonts w:ascii="Arial" w:eastAsia="Calibri" w:hAnsi="Arial" w:cs="Arial"/>
          <w:sz w:val="20"/>
          <w:szCs w:val="20"/>
          <w:lang w:eastAsia="en-US"/>
        </w:rPr>
        <w:t>The Inspector General of Water Compliance would like to thank staff of Basin state water agencies for their cooperation during this review. </w:t>
      </w:r>
    </w:p>
    <w:p w14:paraId="37158040" w14:textId="05EFBB76" w:rsidR="005E1CD1" w:rsidRPr="00633635" w:rsidRDefault="005E1CD1" w:rsidP="003341D4">
      <w:pPr>
        <w:rPr>
          <w:rFonts w:ascii="Arial" w:hAnsi="Arial" w:cs="Arial"/>
        </w:rPr>
        <w:sectPr w:rsidR="005E1CD1" w:rsidRPr="00633635" w:rsidSect="00CE1D94">
          <w:headerReference w:type="first" r:id="rId18"/>
          <w:footerReference w:type="first" r:id="rId19"/>
          <w:pgSz w:w="11906" w:h="16838"/>
          <w:pgMar w:top="1281" w:right="1134" w:bottom="1134" w:left="1134" w:header="425" w:footer="567" w:gutter="0"/>
          <w:cols w:space="708"/>
          <w:titlePg/>
          <w:docGrid w:linePitch="360"/>
        </w:sectPr>
      </w:pPr>
    </w:p>
    <w:p w14:paraId="456BF396" w14:textId="0C6FF44F" w:rsidR="00CA62BF" w:rsidRDefault="00473F5B" w:rsidP="00473F5B">
      <w:pPr>
        <w:pStyle w:val="Heading1"/>
        <w:rPr>
          <w:rFonts w:ascii="Arial" w:hAnsi="Arial" w:cs="Arial"/>
        </w:rPr>
      </w:pPr>
      <w:bookmarkStart w:id="1" w:name="_Toc112142171"/>
      <w:r w:rsidRPr="006B3503">
        <w:rPr>
          <w:rFonts w:ascii="Arial" w:hAnsi="Arial" w:cs="Arial"/>
        </w:rPr>
        <w:lastRenderedPageBreak/>
        <w:t>Foreword</w:t>
      </w:r>
      <w:bookmarkEnd w:id="1"/>
    </w:p>
    <w:p w14:paraId="58D32BF5" w14:textId="77777777" w:rsidR="006B3503" w:rsidRDefault="006B3503" w:rsidP="006B3503">
      <w:pPr>
        <w:rPr>
          <w:rFonts w:ascii="Arial" w:hAnsi="Arial" w:cs="Arial"/>
        </w:rPr>
      </w:pPr>
      <w:r>
        <w:rPr>
          <w:rFonts w:ascii="Arial" w:hAnsi="Arial" w:cs="Arial"/>
        </w:rPr>
        <w:t>The office of the Inspector-General of Water Compliance (Inspector-General) was created to serve as a strong and independent regulator of Australia’s largest water resource – the Murray–Darling Basin. The Inspector-General's role was established to strengthen compliance, increase transparency, and improve trust.  This focus has driven everything my office has done since we were formally established on 5 August 2021.</w:t>
      </w:r>
    </w:p>
    <w:p w14:paraId="15AF0E61" w14:textId="77777777" w:rsidR="006B3503" w:rsidRDefault="006B3503" w:rsidP="006B3503">
      <w:pPr>
        <w:rPr>
          <w:rFonts w:ascii="Arial" w:hAnsi="Arial" w:cs="Arial"/>
          <w:sz w:val="22"/>
        </w:rPr>
      </w:pPr>
      <w:r>
        <w:rPr>
          <w:rFonts w:ascii="Arial" w:hAnsi="Arial" w:cs="Arial"/>
        </w:rPr>
        <w:t xml:space="preserve">Living on one of the driest continents on earth has seen the evolution, through necessity, of social licence under which water being such a finite and precious resource, is taken. After all, our nation’s water belongs to all of us. The Basin is a connected, complex, and fragile system.  We should never ever lose sight of the fact that what happens to it in one state inevitably affects another. An effective compliance system is vitally important to maintaining a healthy and sustainable Murray–Darling Basin.  </w:t>
      </w:r>
    </w:p>
    <w:p w14:paraId="35A8BD8C" w14:textId="77777777" w:rsidR="006B3503" w:rsidRDefault="006B3503" w:rsidP="006B3503">
      <w:pPr>
        <w:rPr>
          <w:rFonts w:ascii="Arial" w:hAnsi="Arial" w:cs="Arial"/>
        </w:rPr>
      </w:pPr>
      <w:r>
        <w:rPr>
          <w:rFonts w:ascii="Arial" w:hAnsi="Arial" w:cs="Arial"/>
        </w:rPr>
        <w:t xml:space="preserve">In 1901 the spirit and intent of Federation was to bring the colonies (now states) together and end the complexities and conundrums of each having its own government and laws.  Each state had its own defence force, its own stamps, even its own tariffs (taxes) on goods that crossed its borders. Australia’s early railways were built using different gauges, which complicated the transport of people and goods across the continent. In a relatively short period of time in our federated history, the states came together.  They worked collectively with the federal government to come to a workable, functional, and bipartisan solution on all these matters and more. </w:t>
      </w:r>
    </w:p>
    <w:p w14:paraId="34F781CD" w14:textId="39FE0AC7" w:rsidR="006B3503" w:rsidRDefault="006B3503" w:rsidP="006B3503">
      <w:pPr>
        <w:rPr>
          <w:rFonts w:ascii="Arial" w:hAnsi="Arial" w:cs="Arial"/>
        </w:rPr>
      </w:pPr>
      <w:r>
        <w:rPr>
          <w:rFonts w:ascii="Arial" w:hAnsi="Arial" w:cs="Arial"/>
        </w:rPr>
        <w:t>Yet 121 years after federation, the management of this finite water resource, that runs through the Basin states, faces ongoing significant challenges. To use the analogy of a railway gauge before Federation to describe water, our water ‘gauges’ – state to state – remain unaligned and disconnected.</w:t>
      </w:r>
    </w:p>
    <w:p w14:paraId="01C55AC1" w14:textId="71603178" w:rsidR="006B3503" w:rsidRDefault="006B3503" w:rsidP="006B3503">
      <w:pPr>
        <w:rPr>
          <w:rFonts w:ascii="Arial" w:hAnsi="Arial" w:cs="Arial"/>
        </w:rPr>
      </w:pPr>
      <w:r>
        <w:rPr>
          <w:rFonts w:ascii="Arial" w:hAnsi="Arial" w:cs="Arial"/>
        </w:rPr>
        <w:t>We must begin to view water in the Basin as an asset of the Australian people. We must move beyond water being seen through the lens of state ownership. Each Basin state ‘lens’ sees a clear picture of how it runs, manages and abides by its regulatory and compliance obligations. Put together, those varied lenses give a somewhat fuzzy or blurry picture of what the federated view of water should be</w:t>
      </w:r>
      <w:r w:rsidR="00F6628D">
        <w:rPr>
          <w:rFonts w:ascii="Arial" w:hAnsi="Arial" w:cs="Arial"/>
        </w:rPr>
        <w:t xml:space="preserve"> </w:t>
      </w:r>
      <w:r>
        <w:rPr>
          <w:rFonts w:ascii="Arial" w:hAnsi="Arial" w:cs="Arial"/>
        </w:rPr>
        <w:t xml:space="preserve">– a holistic resource consistently managed. </w:t>
      </w:r>
    </w:p>
    <w:p w14:paraId="6555D31D" w14:textId="77777777" w:rsidR="006B3503" w:rsidRDefault="006B3503" w:rsidP="006B3503">
      <w:pPr>
        <w:rPr>
          <w:rFonts w:ascii="Arial" w:hAnsi="Arial" w:cs="Arial"/>
        </w:rPr>
      </w:pPr>
      <w:r>
        <w:rPr>
          <w:rFonts w:ascii="Arial" w:hAnsi="Arial" w:cs="Arial"/>
        </w:rPr>
        <w:t xml:space="preserve">There is a need for adjusting this stereoscopic view (the single perception of a slightly different image from each eye) currently held by the states. The key is to not over or under-adjust the states’ vision, rather fine-tune the individual lens through which water is viewed, so the bigger picture for Australia’s water is crystal clear.  </w:t>
      </w:r>
    </w:p>
    <w:p w14:paraId="5984FB4C" w14:textId="70497319" w:rsidR="006B3503" w:rsidRDefault="006B3503" w:rsidP="006B3503">
      <w:pPr>
        <w:rPr>
          <w:rFonts w:ascii="Arial" w:hAnsi="Arial" w:cs="Arial"/>
        </w:rPr>
      </w:pPr>
      <w:r>
        <w:rPr>
          <w:rFonts w:ascii="Arial" w:hAnsi="Arial" w:cs="Arial"/>
        </w:rPr>
        <w:t xml:space="preserve">One of my first acts as Inspector-General was to commission a review of Basin state compliance, their enforcement </w:t>
      </w:r>
      <w:proofErr w:type="gramStart"/>
      <w:r>
        <w:rPr>
          <w:rFonts w:ascii="Arial" w:hAnsi="Arial" w:cs="Arial"/>
        </w:rPr>
        <w:t>frameworks</w:t>
      </w:r>
      <w:proofErr w:type="gramEnd"/>
      <w:r>
        <w:rPr>
          <w:rFonts w:ascii="Arial" w:hAnsi="Arial" w:cs="Arial"/>
        </w:rPr>
        <w:t xml:space="preserve"> and practices. This was to establish and understand the state baseline and benchmark for compliance. I engaged the services of Mr Des Pearson (AO) to undertake this review. An esteemed public administrator, Mr Pearson served as Victoria's Auditor-General from 2006 to 2012, and prior to this he served as Western Australia's Auditor-General for 15 years. </w:t>
      </w:r>
    </w:p>
    <w:p w14:paraId="4C38B555" w14:textId="77777777" w:rsidR="006B3503" w:rsidRDefault="006B3503" w:rsidP="006B3503">
      <w:pPr>
        <w:rPr>
          <w:rFonts w:ascii="Arial" w:hAnsi="Arial" w:cs="Arial"/>
        </w:rPr>
      </w:pPr>
      <w:r>
        <w:rPr>
          <w:rFonts w:ascii="Arial" w:hAnsi="Arial" w:cs="Arial"/>
        </w:rPr>
        <w:t xml:space="preserve">He is Australia’s longest serving sitting Auditor-General. In 2014, Mr Pearson was awarded the Ofﬁcer of the Order of Australia for distinguished service to public sector governance in the areas of public accountability and management.  In 2020 Mr Pearson was commissioned by the Victorian Government to conduct an independent review of their water compliance and enforcement frameworks. </w:t>
      </w:r>
    </w:p>
    <w:p w14:paraId="7F21738F" w14:textId="77777777" w:rsidR="006B3503" w:rsidRDefault="006B3503" w:rsidP="006B3503">
      <w:pPr>
        <w:pStyle w:val="NormalWhite"/>
        <w:rPr>
          <w:rFonts w:ascii="Arial" w:hAnsi="Arial" w:cs="Arial"/>
          <w:color w:val="auto"/>
        </w:rPr>
      </w:pPr>
      <w:r>
        <w:rPr>
          <w:rFonts w:ascii="Arial" w:hAnsi="Arial" w:cs="Arial"/>
          <w:color w:val="auto"/>
        </w:rPr>
        <w:t>The objective of the review I commissioned through Mr Pearson was to report on:</w:t>
      </w:r>
    </w:p>
    <w:p w14:paraId="415B274A" w14:textId="77777777" w:rsidR="006B3503" w:rsidRDefault="006B3503" w:rsidP="006B3503">
      <w:pPr>
        <w:pStyle w:val="NormalWhite"/>
        <w:numPr>
          <w:ilvl w:val="0"/>
          <w:numId w:val="39"/>
        </w:numPr>
        <w:rPr>
          <w:rFonts w:ascii="Arial" w:eastAsia="Times New Roman" w:hAnsi="Arial" w:cs="Arial"/>
          <w:color w:val="auto"/>
        </w:rPr>
      </w:pPr>
      <w:r>
        <w:rPr>
          <w:rFonts w:ascii="Arial" w:eastAsia="Times New Roman" w:hAnsi="Arial" w:cs="Arial"/>
          <w:color w:val="auto"/>
        </w:rPr>
        <w:t>the adequacy of compliance, enforcement frameworks and governance arrangements</w:t>
      </w:r>
    </w:p>
    <w:p w14:paraId="60FF22EA" w14:textId="77777777" w:rsidR="006B3503" w:rsidRDefault="006B3503" w:rsidP="006B3503">
      <w:pPr>
        <w:pStyle w:val="NormalWhite"/>
        <w:numPr>
          <w:ilvl w:val="0"/>
          <w:numId w:val="39"/>
        </w:numPr>
        <w:rPr>
          <w:rFonts w:ascii="Arial" w:eastAsia="Times New Roman" w:hAnsi="Arial" w:cs="Arial"/>
          <w:color w:val="auto"/>
        </w:rPr>
      </w:pPr>
      <w:r>
        <w:rPr>
          <w:rFonts w:ascii="Arial" w:eastAsia="Times New Roman" w:hAnsi="Arial" w:cs="Arial"/>
          <w:color w:val="auto"/>
        </w:rPr>
        <w:t>the robustness of their implementation</w:t>
      </w:r>
    </w:p>
    <w:p w14:paraId="36EB4D77" w14:textId="77777777" w:rsidR="006B3503" w:rsidRDefault="006B3503" w:rsidP="006B3503">
      <w:pPr>
        <w:pStyle w:val="NormalWhite"/>
        <w:numPr>
          <w:ilvl w:val="0"/>
          <w:numId w:val="39"/>
        </w:numPr>
        <w:rPr>
          <w:rFonts w:ascii="Arial" w:eastAsia="Times New Roman" w:hAnsi="Arial" w:cs="Arial"/>
          <w:color w:val="auto"/>
        </w:rPr>
      </w:pPr>
      <w:r>
        <w:rPr>
          <w:rFonts w:ascii="Arial" w:eastAsia="Times New Roman" w:hAnsi="Arial" w:cs="Arial"/>
          <w:color w:val="auto"/>
        </w:rPr>
        <w:t>any issues that might inhibit compliance and enforcement management.</w:t>
      </w:r>
    </w:p>
    <w:p w14:paraId="7C079BA1" w14:textId="77777777" w:rsidR="006B3503" w:rsidRDefault="006B3503" w:rsidP="006B3503">
      <w:pPr>
        <w:rPr>
          <w:rFonts w:ascii="Arial" w:eastAsiaTheme="minorHAnsi" w:hAnsi="Arial" w:cs="Arial"/>
        </w:rPr>
      </w:pPr>
      <w:r>
        <w:rPr>
          <w:rFonts w:ascii="Arial" w:hAnsi="Arial" w:cs="Arial"/>
        </w:rPr>
        <w:t>Mr Pearson completed his review for the office of Inspector-General Water Compliance in June 2022.  I have been provided with a copy of his report, which I have distributed among all Basin states.</w:t>
      </w:r>
    </w:p>
    <w:p w14:paraId="4AEA61AE" w14:textId="77777777" w:rsidR="006B3503" w:rsidRDefault="006B3503" w:rsidP="006B3503">
      <w:pPr>
        <w:rPr>
          <w:rFonts w:ascii="Arial" w:hAnsi="Arial" w:cs="Arial"/>
        </w:rPr>
      </w:pPr>
    </w:p>
    <w:p w14:paraId="1CB22329" w14:textId="77777777" w:rsidR="006B3503" w:rsidRDefault="006B3503" w:rsidP="006B3503">
      <w:pPr>
        <w:rPr>
          <w:rFonts w:ascii="Arial" w:hAnsi="Arial" w:cs="Arial"/>
        </w:rPr>
      </w:pPr>
      <w:r>
        <w:rPr>
          <w:rFonts w:ascii="Arial" w:hAnsi="Arial" w:cs="Arial"/>
        </w:rPr>
        <w:lastRenderedPageBreak/>
        <w:t>The purpose of this overview is to give the community a sense of Mr Pearson’s independent conclusions. Included in this overview are my observations and a number of pursuits I intend to undertake to address the key issues coming out of Mr Pearson’s review. Mr Pearson’s full report will be published, in full, together with my annual report later this year.</w:t>
      </w:r>
    </w:p>
    <w:p w14:paraId="66281C23" w14:textId="77777777" w:rsidR="006B3503" w:rsidRDefault="006B3503" w:rsidP="006B3503">
      <w:pPr>
        <w:rPr>
          <w:rFonts w:ascii="Arial" w:hAnsi="Arial" w:cs="Arial"/>
        </w:rPr>
      </w:pPr>
      <w:r>
        <w:rPr>
          <w:rFonts w:ascii="Arial" w:hAnsi="Arial" w:cs="Arial"/>
        </w:rPr>
        <w:t>My key focus and takeaway from Mr Pearson’s review was that compliance at the individual water user level is well managed across the Basin. However, there remains a significant amount of water that is unmeasured, and relies on estimation (for example, modelling) to account for water taken across the Basin. Whilst the ability to measure all water used for consumptive purposes in the Basin is still limited and inconsistent, unmeasured water extraction does present an ongoing area of concern.  This presents the potential to undermine community confidence in the effective management of Basin water resources.</w:t>
      </w:r>
    </w:p>
    <w:p w14:paraId="2BCC6347" w14:textId="3C12D83A" w:rsidR="006B3503" w:rsidRDefault="006B3503" w:rsidP="006B3503">
      <w:pPr>
        <w:rPr>
          <w:rFonts w:ascii="Arial" w:hAnsi="Arial" w:cs="Arial"/>
        </w:rPr>
      </w:pPr>
      <w:r>
        <w:rPr>
          <w:rFonts w:ascii="Arial" w:hAnsi="Arial" w:cs="Arial"/>
        </w:rPr>
        <w:t>It is</w:t>
      </w:r>
      <w:r w:rsidR="00D20660">
        <w:rPr>
          <w:rFonts w:ascii="Arial" w:hAnsi="Arial" w:cs="Arial"/>
        </w:rPr>
        <w:t xml:space="preserve"> clear to me that</w:t>
      </w:r>
      <w:r>
        <w:rPr>
          <w:rFonts w:ascii="Arial" w:hAnsi="Arial" w:cs="Arial"/>
        </w:rPr>
        <w:t xml:space="preserve"> the significance of this unmeasured take</w:t>
      </w:r>
      <w:r w:rsidR="00D20660">
        <w:rPr>
          <w:rFonts w:ascii="Arial" w:hAnsi="Arial" w:cs="Arial"/>
        </w:rPr>
        <w:t xml:space="preserve"> potentially</w:t>
      </w:r>
      <w:r>
        <w:rPr>
          <w:rFonts w:ascii="Arial" w:hAnsi="Arial" w:cs="Arial"/>
        </w:rPr>
        <w:t xml:space="preserve"> </w:t>
      </w:r>
      <w:r w:rsidR="00D20660">
        <w:rPr>
          <w:rFonts w:ascii="Arial" w:hAnsi="Arial" w:cs="Arial"/>
        </w:rPr>
        <w:t>impacts</w:t>
      </w:r>
      <w:r>
        <w:rPr>
          <w:rFonts w:ascii="Arial" w:hAnsi="Arial" w:cs="Arial"/>
        </w:rPr>
        <w:t xml:space="preserve"> </w:t>
      </w:r>
      <w:r w:rsidR="00D20660">
        <w:rPr>
          <w:rFonts w:ascii="Arial" w:hAnsi="Arial" w:cs="Arial"/>
        </w:rPr>
        <w:t xml:space="preserve">data used to determine compliance with the </w:t>
      </w:r>
      <w:r>
        <w:rPr>
          <w:rFonts w:ascii="Arial" w:hAnsi="Arial" w:cs="Arial"/>
        </w:rPr>
        <w:t xml:space="preserve">Sustainable Diversion Limits (SDLs), which limit the amount of water that can be taken from the Basin for use by towns, </w:t>
      </w:r>
      <w:proofErr w:type="gramStart"/>
      <w:r>
        <w:rPr>
          <w:rFonts w:ascii="Arial" w:hAnsi="Arial" w:cs="Arial"/>
        </w:rPr>
        <w:t>industries</w:t>
      </w:r>
      <w:proofErr w:type="gramEnd"/>
      <w:r>
        <w:rPr>
          <w:rFonts w:ascii="Arial" w:hAnsi="Arial" w:cs="Arial"/>
        </w:rPr>
        <w:t xml:space="preserve"> and farmers.</w:t>
      </w:r>
    </w:p>
    <w:p w14:paraId="108ACD8B" w14:textId="77777777" w:rsidR="006B3503" w:rsidRDefault="006B3503" w:rsidP="006B3503">
      <w:pPr>
        <w:rPr>
          <w:rFonts w:ascii="Arial" w:hAnsi="Arial" w:cs="Arial"/>
        </w:rPr>
      </w:pPr>
      <w:r>
        <w:rPr>
          <w:rFonts w:ascii="Arial" w:hAnsi="Arial" w:cs="Arial"/>
        </w:rPr>
        <w:t>Whilst I recognise that responsibility for compliance and enforcement of limits on water use resides at the State level, I see an opportunity for greater collaboration among the Basin states leading to improved outcomes for the Basin. I also see a clear and present opportunity for Basin states to change their view of the federated water plan, and for us all to see our water as an asset of the Australian people.</w:t>
      </w:r>
    </w:p>
    <w:p w14:paraId="3DFC3345" w14:textId="77777777" w:rsidR="006B3503" w:rsidRPr="006B3503" w:rsidRDefault="006B3503" w:rsidP="006B3503"/>
    <w:p w14:paraId="463DBE53" w14:textId="2396E296" w:rsidR="00EC187C" w:rsidRPr="00633635" w:rsidRDefault="00DC453A" w:rsidP="00473F5B">
      <w:pPr>
        <w:rPr>
          <w:rFonts w:ascii="Arial" w:hAnsi="Arial" w:cs="Arial"/>
          <w:szCs w:val="20"/>
        </w:rPr>
      </w:pPr>
      <w:r w:rsidRPr="00633635">
        <w:rPr>
          <w:rFonts w:ascii="Arial" w:hAnsi="Arial" w:cs="Arial"/>
          <w:noProof/>
          <w:lang w:val="en-GB"/>
        </w:rPr>
        <w:drawing>
          <wp:inline distT="0" distB="0" distL="0" distR="0" wp14:anchorId="6E7F4DCF" wp14:editId="24D8FCAE">
            <wp:extent cx="1188777" cy="590232"/>
            <wp:effectExtent l="0" t="0" r="0" b="635"/>
            <wp:docPr id="3" name="Picture 3" descr="A picture containing archery, harvestman, sport, fish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archery, harvestman, sport, fishing&#10;&#10;Description automatically generated"/>
                    <pic:cNvPicPr/>
                  </pic:nvPicPr>
                  <pic:blipFill>
                    <a:blip r:embed="rId20"/>
                    <a:stretch>
                      <a:fillRect/>
                    </a:stretch>
                  </pic:blipFill>
                  <pic:spPr>
                    <a:xfrm>
                      <a:off x="0" y="0"/>
                      <a:ext cx="1188777" cy="590232"/>
                    </a:xfrm>
                    <a:prstGeom prst="rect">
                      <a:avLst/>
                    </a:prstGeom>
                  </pic:spPr>
                </pic:pic>
              </a:graphicData>
            </a:graphic>
          </wp:inline>
        </w:drawing>
      </w:r>
    </w:p>
    <w:p w14:paraId="46FBAAB8" w14:textId="28A2D66B" w:rsidR="00320097" w:rsidRPr="00633635" w:rsidRDefault="00320097" w:rsidP="00320097">
      <w:pPr>
        <w:rPr>
          <w:rFonts w:ascii="Arial" w:hAnsi="Arial" w:cs="Arial"/>
        </w:rPr>
      </w:pPr>
      <w:r w:rsidRPr="00633635">
        <w:rPr>
          <w:rFonts w:ascii="Arial" w:hAnsi="Arial" w:cs="Arial"/>
        </w:rPr>
        <w:t>Hon. Troy Grant</w:t>
      </w:r>
    </w:p>
    <w:p w14:paraId="3BABC3E6" w14:textId="08EEA9FB" w:rsidR="00320097" w:rsidRPr="00633635" w:rsidRDefault="00320097" w:rsidP="00320097">
      <w:pPr>
        <w:rPr>
          <w:rFonts w:ascii="Arial" w:hAnsi="Arial" w:cs="Arial"/>
          <w:i/>
          <w:iCs/>
          <w:szCs w:val="20"/>
        </w:rPr>
      </w:pPr>
      <w:r w:rsidRPr="00633635">
        <w:rPr>
          <w:rFonts w:ascii="Arial" w:hAnsi="Arial" w:cs="Arial"/>
          <w:i/>
          <w:iCs/>
          <w:szCs w:val="20"/>
        </w:rPr>
        <w:t>Inspector-General of Water Compliance</w:t>
      </w:r>
    </w:p>
    <w:p w14:paraId="666B2273" w14:textId="77777777" w:rsidR="0099623F" w:rsidRPr="00633635" w:rsidRDefault="0099623F" w:rsidP="00473F5B">
      <w:pPr>
        <w:rPr>
          <w:rFonts w:ascii="Arial" w:hAnsi="Arial" w:cs="Arial"/>
          <w:szCs w:val="20"/>
        </w:rPr>
        <w:sectPr w:rsidR="0099623F" w:rsidRPr="00633635" w:rsidSect="00CE1D94">
          <w:headerReference w:type="first" r:id="rId21"/>
          <w:pgSz w:w="11906" w:h="16838"/>
          <w:pgMar w:top="1281" w:right="1134" w:bottom="1134" w:left="1134" w:header="425" w:footer="567" w:gutter="0"/>
          <w:cols w:space="708"/>
          <w:titlePg/>
          <w:docGrid w:linePitch="360"/>
        </w:sectPr>
      </w:pPr>
    </w:p>
    <w:p w14:paraId="75AAC00F" w14:textId="405A1A5D" w:rsidR="00473F5B" w:rsidRPr="00633635" w:rsidRDefault="00473F5B" w:rsidP="00473F5B">
      <w:pPr>
        <w:pStyle w:val="Heading1"/>
        <w:rPr>
          <w:rFonts w:ascii="Arial" w:hAnsi="Arial" w:cs="Arial"/>
        </w:rPr>
      </w:pPr>
      <w:bookmarkStart w:id="2" w:name="_Toc105590117"/>
      <w:bookmarkStart w:id="3" w:name="_Toc105590325"/>
      <w:bookmarkStart w:id="4" w:name="_Toc112142172"/>
      <w:r w:rsidRPr="00633635">
        <w:rPr>
          <w:rFonts w:ascii="Arial" w:hAnsi="Arial" w:cs="Arial"/>
        </w:rPr>
        <w:lastRenderedPageBreak/>
        <w:t>Contents</w:t>
      </w:r>
      <w:bookmarkEnd w:id="2"/>
      <w:bookmarkEnd w:id="3"/>
      <w:bookmarkEnd w:id="4"/>
    </w:p>
    <w:p w14:paraId="7EA05D19" w14:textId="19C0F38D" w:rsidR="00D14D90" w:rsidRDefault="00BE6035" w:rsidP="00D14D90">
      <w:pPr>
        <w:pStyle w:val="TOC1"/>
        <w:tabs>
          <w:tab w:val="right" w:pos="9628"/>
        </w:tabs>
        <w:rPr>
          <w:rFonts w:asciiTheme="minorHAnsi" w:eastAsiaTheme="minorEastAsia" w:hAnsiTheme="minorHAnsi" w:cstheme="minorBidi"/>
          <w:color w:val="auto"/>
          <w:sz w:val="22"/>
          <w:lang w:eastAsia="en-AU"/>
        </w:rPr>
      </w:pPr>
      <w:r w:rsidRPr="00633635">
        <w:rPr>
          <w:rFonts w:ascii="Arial" w:hAnsi="Arial" w:cs="Arial"/>
        </w:rPr>
        <w:fldChar w:fldCharType="begin"/>
      </w:r>
      <w:r w:rsidRPr="00633635">
        <w:rPr>
          <w:rFonts w:ascii="Arial" w:hAnsi="Arial" w:cs="Arial"/>
        </w:rPr>
        <w:instrText xml:space="preserve"> TOC \o "1-2" \h \z \u </w:instrText>
      </w:r>
      <w:r w:rsidRPr="00633635">
        <w:rPr>
          <w:rFonts w:ascii="Arial" w:hAnsi="Arial" w:cs="Arial"/>
        </w:rPr>
        <w:fldChar w:fldCharType="separate"/>
      </w:r>
      <w:hyperlink w:anchor="_Toc112142171" w:history="1">
        <w:r w:rsidR="00D14D90" w:rsidRPr="001D1567">
          <w:rPr>
            <w:rStyle w:val="Hyperlink"/>
            <w:rFonts w:ascii="Arial" w:hAnsi="Arial" w:cs="Arial"/>
          </w:rPr>
          <w:t>Foreword</w:t>
        </w:r>
        <w:r w:rsidR="00D14D90">
          <w:rPr>
            <w:webHidden/>
          </w:rPr>
          <w:tab/>
        </w:r>
        <w:r w:rsidR="00D14D90">
          <w:rPr>
            <w:webHidden/>
          </w:rPr>
          <w:fldChar w:fldCharType="begin"/>
        </w:r>
        <w:r w:rsidR="00D14D90">
          <w:rPr>
            <w:webHidden/>
          </w:rPr>
          <w:instrText xml:space="preserve"> PAGEREF _Toc112142171 \h </w:instrText>
        </w:r>
        <w:r w:rsidR="00D14D90">
          <w:rPr>
            <w:webHidden/>
          </w:rPr>
        </w:r>
        <w:r w:rsidR="00D14D90">
          <w:rPr>
            <w:webHidden/>
          </w:rPr>
          <w:fldChar w:fldCharType="separate"/>
        </w:r>
        <w:r w:rsidR="003B384B">
          <w:rPr>
            <w:webHidden/>
          </w:rPr>
          <w:t>3</w:t>
        </w:r>
        <w:r w:rsidR="00D14D90">
          <w:rPr>
            <w:webHidden/>
          </w:rPr>
          <w:fldChar w:fldCharType="end"/>
        </w:r>
      </w:hyperlink>
    </w:p>
    <w:p w14:paraId="692072A1" w14:textId="3A05D671" w:rsidR="00D14D90" w:rsidRDefault="00A4573B" w:rsidP="00D14D90">
      <w:pPr>
        <w:pStyle w:val="TOC1"/>
        <w:tabs>
          <w:tab w:val="right" w:pos="9628"/>
        </w:tabs>
        <w:rPr>
          <w:rFonts w:asciiTheme="minorHAnsi" w:eastAsiaTheme="minorEastAsia" w:hAnsiTheme="minorHAnsi" w:cstheme="minorBidi"/>
          <w:color w:val="auto"/>
          <w:sz w:val="22"/>
          <w:lang w:eastAsia="en-AU"/>
        </w:rPr>
      </w:pPr>
      <w:hyperlink w:anchor="_Toc112142172" w:history="1">
        <w:r w:rsidR="00D14D90" w:rsidRPr="001D1567">
          <w:rPr>
            <w:rStyle w:val="Hyperlink"/>
            <w:rFonts w:ascii="Arial" w:hAnsi="Arial" w:cs="Arial"/>
          </w:rPr>
          <w:t>Contents</w:t>
        </w:r>
        <w:r w:rsidR="00D14D90">
          <w:rPr>
            <w:webHidden/>
          </w:rPr>
          <w:tab/>
        </w:r>
        <w:r w:rsidR="00D14D90">
          <w:rPr>
            <w:webHidden/>
          </w:rPr>
          <w:fldChar w:fldCharType="begin"/>
        </w:r>
        <w:r w:rsidR="00D14D90">
          <w:rPr>
            <w:webHidden/>
          </w:rPr>
          <w:instrText xml:space="preserve"> PAGEREF _Toc112142172 \h </w:instrText>
        </w:r>
        <w:r w:rsidR="00D14D90">
          <w:rPr>
            <w:webHidden/>
          </w:rPr>
        </w:r>
        <w:r w:rsidR="00D14D90">
          <w:rPr>
            <w:webHidden/>
          </w:rPr>
          <w:fldChar w:fldCharType="separate"/>
        </w:r>
        <w:r w:rsidR="003B384B">
          <w:rPr>
            <w:webHidden/>
          </w:rPr>
          <w:t>5</w:t>
        </w:r>
        <w:r w:rsidR="00D14D90">
          <w:rPr>
            <w:webHidden/>
          </w:rPr>
          <w:fldChar w:fldCharType="end"/>
        </w:r>
      </w:hyperlink>
    </w:p>
    <w:p w14:paraId="1CDA86A6" w14:textId="6469B6DB" w:rsidR="00D14D90" w:rsidRDefault="00A4573B" w:rsidP="00D14D90">
      <w:pPr>
        <w:pStyle w:val="TOC1"/>
        <w:tabs>
          <w:tab w:val="right" w:pos="9628"/>
        </w:tabs>
        <w:rPr>
          <w:rFonts w:asciiTheme="minorHAnsi" w:eastAsiaTheme="minorEastAsia" w:hAnsiTheme="minorHAnsi" w:cstheme="minorBidi"/>
          <w:color w:val="auto"/>
          <w:sz w:val="22"/>
          <w:lang w:eastAsia="en-AU"/>
        </w:rPr>
      </w:pPr>
      <w:hyperlink w:anchor="_Toc112142173" w:history="1">
        <w:r w:rsidR="00D14D90" w:rsidRPr="001D1567">
          <w:rPr>
            <w:rStyle w:val="Hyperlink"/>
            <w:rFonts w:ascii="Arial" w:hAnsi="Arial" w:cs="Arial"/>
          </w:rPr>
          <w:t>Background</w:t>
        </w:r>
        <w:r w:rsidR="00D14D90">
          <w:rPr>
            <w:webHidden/>
          </w:rPr>
          <w:tab/>
        </w:r>
        <w:r w:rsidR="00D14D90">
          <w:rPr>
            <w:webHidden/>
          </w:rPr>
          <w:fldChar w:fldCharType="begin"/>
        </w:r>
        <w:r w:rsidR="00D14D90">
          <w:rPr>
            <w:webHidden/>
          </w:rPr>
          <w:instrText xml:space="preserve"> PAGEREF _Toc112142173 \h </w:instrText>
        </w:r>
        <w:r w:rsidR="00D14D90">
          <w:rPr>
            <w:webHidden/>
          </w:rPr>
        </w:r>
        <w:r w:rsidR="00D14D90">
          <w:rPr>
            <w:webHidden/>
          </w:rPr>
          <w:fldChar w:fldCharType="separate"/>
        </w:r>
        <w:r w:rsidR="003B384B">
          <w:rPr>
            <w:webHidden/>
          </w:rPr>
          <w:t>6</w:t>
        </w:r>
        <w:r w:rsidR="00D14D90">
          <w:rPr>
            <w:webHidden/>
          </w:rPr>
          <w:fldChar w:fldCharType="end"/>
        </w:r>
      </w:hyperlink>
    </w:p>
    <w:p w14:paraId="066C40F6" w14:textId="733E8880" w:rsidR="00D14D90" w:rsidRDefault="00A4573B" w:rsidP="00D14D90">
      <w:pPr>
        <w:pStyle w:val="TOC1"/>
        <w:tabs>
          <w:tab w:val="right" w:pos="9628"/>
        </w:tabs>
        <w:rPr>
          <w:rFonts w:asciiTheme="minorHAnsi" w:eastAsiaTheme="minorEastAsia" w:hAnsiTheme="minorHAnsi" w:cstheme="minorBidi"/>
          <w:color w:val="auto"/>
          <w:sz w:val="22"/>
          <w:lang w:eastAsia="en-AU"/>
        </w:rPr>
      </w:pPr>
      <w:hyperlink w:anchor="_Toc112142174" w:history="1">
        <w:r w:rsidR="00D14D90" w:rsidRPr="001D1567">
          <w:rPr>
            <w:rStyle w:val="Hyperlink"/>
            <w:rFonts w:ascii="Arial" w:hAnsi="Arial" w:cs="Arial"/>
          </w:rPr>
          <w:t>Part 1: Basin state summaries</w:t>
        </w:r>
        <w:r w:rsidR="00D14D90">
          <w:rPr>
            <w:webHidden/>
          </w:rPr>
          <w:tab/>
        </w:r>
        <w:r w:rsidR="00D14D90">
          <w:rPr>
            <w:webHidden/>
          </w:rPr>
          <w:fldChar w:fldCharType="begin"/>
        </w:r>
        <w:r w:rsidR="00D14D90">
          <w:rPr>
            <w:webHidden/>
          </w:rPr>
          <w:instrText xml:space="preserve"> PAGEREF _Toc112142174 \h </w:instrText>
        </w:r>
        <w:r w:rsidR="00D14D90">
          <w:rPr>
            <w:webHidden/>
          </w:rPr>
        </w:r>
        <w:r w:rsidR="00D14D90">
          <w:rPr>
            <w:webHidden/>
          </w:rPr>
          <w:fldChar w:fldCharType="separate"/>
        </w:r>
        <w:r w:rsidR="003B384B">
          <w:rPr>
            <w:webHidden/>
          </w:rPr>
          <w:t>7</w:t>
        </w:r>
        <w:r w:rsidR="00D14D90">
          <w:rPr>
            <w:webHidden/>
          </w:rPr>
          <w:fldChar w:fldCharType="end"/>
        </w:r>
      </w:hyperlink>
    </w:p>
    <w:p w14:paraId="0204C8C1" w14:textId="5BDCA12C" w:rsidR="00D14D90" w:rsidRDefault="00A4573B" w:rsidP="00D14D90">
      <w:pPr>
        <w:pStyle w:val="TOC2"/>
        <w:tabs>
          <w:tab w:val="right" w:pos="9628"/>
        </w:tabs>
        <w:rPr>
          <w:rFonts w:asciiTheme="minorHAnsi" w:eastAsiaTheme="minorEastAsia" w:hAnsiTheme="minorHAnsi" w:cstheme="minorBidi"/>
          <w:sz w:val="22"/>
          <w:lang w:eastAsia="en-AU"/>
        </w:rPr>
      </w:pPr>
      <w:hyperlink w:anchor="_Toc112142175" w:history="1">
        <w:r w:rsidR="00D14D90" w:rsidRPr="001D1567">
          <w:rPr>
            <w:rStyle w:val="Hyperlink"/>
            <w:rFonts w:ascii="Arial" w:hAnsi="Arial" w:cs="Arial"/>
          </w:rPr>
          <w:t>New South Wales</w:t>
        </w:r>
        <w:r w:rsidR="00D14D90">
          <w:rPr>
            <w:webHidden/>
          </w:rPr>
          <w:tab/>
        </w:r>
        <w:r w:rsidR="00D14D90">
          <w:rPr>
            <w:webHidden/>
          </w:rPr>
          <w:fldChar w:fldCharType="begin"/>
        </w:r>
        <w:r w:rsidR="00D14D90">
          <w:rPr>
            <w:webHidden/>
          </w:rPr>
          <w:instrText xml:space="preserve"> PAGEREF _Toc112142175 \h </w:instrText>
        </w:r>
        <w:r w:rsidR="00D14D90">
          <w:rPr>
            <w:webHidden/>
          </w:rPr>
        </w:r>
        <w:r w:rsidR="00D14D90">
          <w:rPr>
            <w:webHidden/>
          </w:rPr>
          <w:fldChar w:fldCharType="separate"/>
        </w:r>
        <w:r w:rsidR="003B384B">
          <w:rPr>
            <w:webHidden/>
          </w:rPr>
          <w:t>7</w:t>
        </w:r>
        <w:r w:rsidR="00D14D90">
          <w:rPr>
            <w:webHidden/>
          </w:rPr>
          <w:fldChar w:fldCharType="end"/>
        </w:r>
      </w:hyperlink>
    </w:p>
    <w:p w14:paraId="0C964E1C" w14:textId="789AE97B" w:rsidR="00D14D90" w:rsidRDefault="00A4573B" w:rsidP="00D14D90">
      <w:pPr>
        <w:pStyle w:val="TOC2"/>
        <w:tabs>
          <w:tab w:val="right" w:pos="9628"/>
        </w:tabs>
        <w:rPr>
          <w:rFonts w:asciiTheme="minorHAnsi" w:eastAsiaTheme="minorEastAsia" w:hAnsiTheme="minorHAnsi" w:cstheme="minorBidi"/>
          <w:sz w:val="22"/>
          <w:lang w:eastAsia="en-AU"/>
        </w:rPr>
      </w:pPr>
      <w:hyperlink w:anchor="_Toc112142176" w:history="1">
        <w:r w:rsidR="00D14D90" w:rsidRPr="001D1567">
          <w:rPr>
            <w:rStyle w:val="Hyperlink"/>
            <w:rFonts w:ascii="Arial" w:hAnsi="Arial" w:cs="Arial"/>
          </w:rPr>
          <w:t>Victoria</w:t>
        </w:r>
        <w:r w:rsidR="00D14D90">
          <w:rPr>
            <w:webHidden/>
          </w:rPr>
          <w:tab/>
        </w:r>
        <w:r w:rsidR="00D14D90">
          <w:rPr>
            <w:webHidden/>
          </w:rPr>
          <w:fldChar w:fldCharType="begin"/>
        </w:r>
        <w:r w:rsidR="00D14D90">
          <w:rPr>
            <w:webHidden/>
          </w:rPr>
          <w:instrText xml:space="preserve"> PAGEREF _Toc112142176 \h </w:instrText>
        </w:r>
        <w:r w:rsidR="00D14D90">
          <w:rPr>
            <w:webHidden/>
          </w:rPr>
        </w:r>
        <w:r w:rsidR="00D14D90">
          <w:rPr>
            <w:webHidden/>
          </w:rPr>
          <w:fldChar w:fldCharType="separate"/>
        </w:r>
        <w:r w:rsidR="003B384B">
          <w:rPr>
            <w:webHidden/>
          </w:rPr>
          <w:t>10</w:t>
        </w:r>
        <w:r w:rsidR="00D14D90">
          <w:rPr>
            <w:webHidden/>
          </w:rPr>
          <w:fldChar w:fldCharType="end"/>
        </w:r>
      </w:hyperlink>
    </w:p>
    <w:p w14:paraId="7D3F5246" w14:textId="06C49AF1" w:rsidR="00D14D90" w:rsidRDefault="00A4573B" w:rsidP="00D14D90">
      <w:pPr>
        <w:pStyle w:val="TOC2"/>
        <w:tabs>
          <w:tab w:val="right" w:pos="9628"/>
        </w:tabs>
        <w:rPr>
          <w:rFonts w:asciiTheme="minorHAnsi" w:eastAsiaTheme="minorEastAsia" w:hAnsiTheme="minorHAnsi" w:cstheme="minorBidi"/>
          <w:sz w:val="22"/>
          <w:lang w:eastAsia="en-AU"/>
        </w:rPr>
      </w:pPr>
      <w:hyperlink w:anchor="_Toc112142177" w:history="1">
        <w:r w:rsidR="00D14D90" w:rsidRPr="001D1567">
          <w:rPr>
            <w:rStyle w:val="Hyperlink"/>
            <w:rFonts w:ascii="Arial" w:hAnsi="Arial" w:cs="Arial"/>
          </w:rPr>
          <w:t>Queensland</w:t>
        </w:r>
        <w:r w:rsidR="00D14D90">
          <w:rPr>
            <w:webHidden/>
          </w:rPr>
          <w:tab/>
        </w:r>
        <w:r w:rsidR="00D14D90">
          <w:rPr>
            <w:webHidden/>
          </w:rPr>
          <w:fldChar w:fldCharType="begin"/>
        </w:r>
        <w:r w:rsidR="00D14D90">
          <w:rPr>
            <w:webHidden/>
          </w:rPr>
          <w:instrText xml:space="preserve"> PAGEREF _Toc112142177 \h </w:instrText>
        </w:r>
        <w:r w:rsidR="00D14D90">
          <w:rPr>
            <w:webHidden/>
          </w:rPr>
        </w:r>
        <w:r w:rsidR="00D14D90">
          <w:rPr>
            <w:webHidden/>
          </w:rPr>
          <w:fldChar w:fldCharType="separate"/>
        </w:r>
        <w:r w:rsidR="003B384B">
          <w:rPr>
            <w:webHidden/>
          </w:rPr>
          <w:t>12</w:t>
        </w:r>
        <w:r w:rsidR="00D14D90">
          <w:rPr>
            <w:webHidden/>
          </w:rPr>
          <w:fldChar w:fldCharType="end"/>
        </w:r>
      </w:hyperlink>
    </w:p>
    <w:p w14:paraId="014450EB" w14:textId="17CD4A7C" w:rsidR="00D14D90" w:rsidRDefault="00A4573B" w:rsidP="00D14D90">
      <w:pPr>
        <w:pStyle w:val="TOC2"/>
        <w:tabs>
          <w:tab w:val="right" w:pos="9628"/>
        </w:tabs>
        <w:rPr>
          <w:rFonts w:asciiTheme="minorHAnsi" w:eastAsiaTheme="minorEastAsia" w:hAnsiTheme="minorHAnsi" w:cstheme="minorBidi"/>
          <w:sz w:val="22"/>
          <w:lang w:eastAsia="en-AU"/>
        </w:rPr>
      </w:pPr>
      <w:hyperlink w:anchor="_Toc112142178" w:history="1">
        <w:r w:rsidR="00D14D90" w:rsidRPr="001D1567">
          <w:rPr>
            <w:rStyle w:val="Hyperlink"/>
            <w:rFonts w:ascii="Arial" w:hAnsi="Arial" w:cs="Arial"/>
          </w:rPr>
          <w:t>South Australia</w:t>
        </w:r>
        <w:r w:rsidR="00D14D90">
          <w:rPr>
            <w:webHidden/>
          </w:rPr>
          <w:tab/>
        </w:r>
        <w:r w:rsidR="00D14D90">
          <w:rPr>
            <w:webHidden/>
          </w:rPr>
          <w:fldChar w:fldCharType="begin"/>
        </w:r>
        <w:r w:rsidR="00D14D90">
          <w:rPr>
            <w:webHidden/>
          </w:rPr>
          <w:instrText xml:space="preserve"> PAGEREF _Toc112142178 \h </w:instrText>
        </w:r>
        <w:r w:rsidR="00D14D90">
          <w:rPr>
            <w:webHidden/>
          </w:rPr>
        </w:r>
        <w:r w:rsidR="00D14D90">
          <w:rPr>
            <w:webHidden/>
          </w:rPr>
          <w:fldChar w:fldCharType="separate"/>
        </w:r>
        <w:r w:rsidR="003B384B">
          <w:rPr>
            <w:webHidden/>
          </w:rPr>
          <w:t>14</w:t>
        </w:r>
        <w:r w:rsidR="00D14D90">
          <w:rPr>
            <w:webHidden/>
          </w:rPr>
          <w:fldChar w:fldCharType="end"/>
        </w:r>
      </w:hyperlink>
    </w:p>
    <w:p w14:paraId="34E0F78D" w14:textId="10698392" w:rsidR="00D14D90" w:rsidRDefault="00A4573B" w:rsidP="00D14D90">
      <w:pPr>
        <w:pStyle w:val="TOC2"/>
        <w:tabs>
          <w:tab w:val="right" w:pos="9628"/>
        </w:tabs>
        <w:rPr>
          <w:rFonts w:asciiTheme="minorHAnsi" w:eastAsiaTheme="minorEastAsia" w:hAnsiTheme="minorHAnsi" w:cstheme="minorBidi"/>
          <w:sz w:val="22"/>
          <w:lang w:eastAsia="en-AU"/>
        </w:rPr>
      </w:pPr>
      <w:hyperlink w:anchor="_Toc112142179" w:history="1">
        <w:r w:rsidR="00D14D90" w:rsidRPr="001D1567">
          <w:rPr>
            <w:rStyle w:val="Hyperlink"/>
            <w:rFonts w:ascii="Arial" w:hAnsi="Arial" w:cs="Arial"/>
          </w:rPr>
          <w:t>Australian Capital Territory</w:t>
        </w:r>
        <w:r w:rsidR="00D14D90">
          <w:rPr>
            <w:webHidden/>
          </w:rPr>
          <w:tab/>
        </w:r>
        <w:r w:rsidR="00D14D90">
          <w:rPr>
            <w:webHidden/>
          </w:rPr>
          <w:fldChar w:fldCharType="begin"/>
        </w:r>
        <w:r w:rsidR="00D14D90">
          <w:rPr>
            <w:webHidden/>
          </w:rPr>
          <w:instrText xml:space="preserve"> PAGEREF _Toc112142179 \h </w:instrText>
        </w:r>
        <w:r w:rsidR="00D14D90">
          <w:rPr>
            <w:webHidden/>
          </w:rPr>
        </w:r>
        <w:r w:rsidR="00D14D90">
          <w:rPr>
            <w:webHidden/>
          </w:rPr>
          <w:fldChar w:fldCharType="separate"/>
        </w:r>
        <w:r w:rsidR="003B384B">
          <w:rPr>
            <w:webHidden/>
          </w:rPr>
          <w:t>16</w:t>
        </w:r>
        <w:r w:rsidR="00D14D90">
          <w:rPr>
            <w:webHidden/>
          </w:rPr>
          <w:fldChar w:fldCharType="end"/>
        </w:r>
      </w:hyperlink>
    </w:p>
    <w:p w14:paraId="3585AE32" w14:textId="1E4B57B9" w:rsidR="00D14D90" w:rsidRDefault="00A4573B" w:rsidP="00D14D90">
      <w:pPr>
        <w:pStyle w:val="TOC1"/>
        <w:tabs>
          <w:tab w:val="right" w:pos="9628"/>
        </w:tabs>
        <w:rPr>
          <w:rFonts w:asciiTheme="minorHAnsi" w:eastAsiaTheme="minorEastAsia" w:hAnsiTheme="minorHAnsi" w:cstheme="minorBidi"/>
          <w:color w:val="auto"/>
          <w:sz w:val="22"/>
          <w:lang w:eastAsia="en-AU"/>
        </w:rPr>
      </w:pPr>
      <w:hyperlink w:anchor="_Toc112142180" w:history="1">
        <w:r w:rsidR="00D14D90" w:rsidRPr="001D1567">
          <w:rPr>
            <w:rStyle w:val="Hyperlink"/>
            <w:rFonts w:ascii="Arial" w:hAnsi="Arial" w:cs="Arial"/>
          </w:rPr>
          <w:t>Part 2: Key conclusions from the Pearson review</w:t>
        </w:r>
        <w:r w:rsidR="00D14D90">
          <w:rPr>
            <w:webHidden/>
          </w:rPr>
          <w:tab/>
        </w:r>
        <w:r w:rsidR="00D14D90">
          <w:rPr>
            <w:webHidden/>
          </w:rPr>
          <w:fldChar w:fldCharType="begin"/>
        </w:r>
        <w:r w:rsidR="00D14D90">
          <w:rPr>
            <w:webHidden/>
          </w:rPr>
          <w:instrText xml:space="preserve"> PAGEREF _Toc112142180 \h </w:instrText>
        </w:r>
        <w:r w:rsidR="00D14D90">
          <w:rPr>
            <w:webHidden/>
          </w:rPr>
        </w:r>
        <w:r w:rsidR="00D14D90">
          <w:rPr>
            <w:webHidden/>
          </w:rPr>
          <w:fldChar w:fldCharType="separate"/>
        </w:r>
        <w:r w:rsidR="003B384B">
          <w:rPr>
            <w:webHidden/>
          </w:rPr>
          <w:t>18</w:t>
        </w:r>
        <w:r w:rsidR="00D14D90">
          <w:rPr>
            <w:webHidden/>
          </w:rPr>
          <w:fldChar w:fldCharType="end"/>
        </w:r>
      </w:hyperlink>
    </w:p>
    <w:p w14:paraId="64788E90" w14:textId="4B9C6699" w:rsidR="00D14D90" w:rsidRDefault="00A4573B" w:rsidP="00D14D90">
      <w:pPr>
        <w:pStyle w:val="TOC2"/>
        <w:tabs>
          <w:tab w:val="right" w:pos="9628"/>
        </w:tabs>
        <w:rPr>
          <w:rFonts w:asciiTheme="minorHAnsi" w:eastAsiaTheme="minorEastAsia" w:hAnsiTheme="minorHAnsi" w:cstheme="minorBidi"/>
          <w:sz w:val="22"/>
          <w:lang w:eastAsia="en-AU"/>
        </w:rPr>
      </w:pPr>
      <w:hyperlink w:anchor="_Toc112142181" w:history="1">
        <w:r w:rsidR="00D14D90" w:rsidRPr="001D1567">
          <w:rPr>
            <w:rStyle w:val="Hyperlink"/>
            <w:rFonts w:ascii="Arial" w:hAnsi="Arial" w:cs="Arial"/>
          </w:rPr>
          <w:t>Developing more outcome-focused indicators</w:t>
        </w:r>
        <w:r w:rsidR="00D14D90">
          <w:rPr>
            <w:webHidden/>
          </w:rPr>
          <w:tab/>
        </w:r>
        <w:r w:rsidR="00D14D90">
          <w:rPr>
            <w:webHidden/>
          </w:rPr>
          <w:fldChar w:fldCharType="begin"/>
        </w:r>
        <w:r w:rsidR="00D14D90">
          <w:rPr>
            <w:webHidden/>
          </w:rPr>
          <w:instrText xml:space="preserve"> PAGEREF _Toc112142181 \h </w:instrText>
        </w:r>
        <w:r w:rsidR="00D14D90">
          <w:rPr>
            <w:webHidden/>
          </w:rPr>
        </w:r>
        <w:r w:rsidR="00D14D90">
          <w:rPr>
            <w:webHidden/>
          </w:rPr>
          <w:fldChar w:fldCharType="separate"/>
        </w:r>
        <w:r w:rsidR="003B384B">
          <w:rPr>
            <w:webHidden/>
          </w:rPr>
          <w:t>18</w:t>
        </w:r>
        <w:r w:rsidR="00D14D90">
          <w:rPr>
            <w:webHidden/>
          </w:rPr>
          <w:fldChar w:fldCharType="end"/>
        </w:r>
      </w:hyperlink>
    </w:p>
    <w:p w14:paraId="00021D1B" w14:textId="35B2028E" w:rsidR="00D14D90" w:rsidRDefault="00A4573B" w:rsidP="00D14D90">
      <w:pPr>
        <w:pStyle w:val="TOC2"/>
        <w:tabs>
          <w:tab w:val="right" w:pos="9628"/>
        </w:tabs>
        <w:rPr>
          <w:rFonts w:asciiTheme="minorHAnsi" w:eastAsiaTheme="minorEastAsia" w:hAnsiTheme="minorHAnsi" w:cstheme="minorBidi"/>
          <w:sz w:val="22"/>
          <w:lang w:eastAsia="en-AU"/>
        </w:rPr>
      </w:pPr>
      <w:hyperlink w:anchor="_Toc112142182" w:history="1">
        <w:r w:rsidR="00D14D90" w:rsidRPr="001D1567">
          <w:rPr>
            <w:rStyle w:val="Hyperlink"/>
            <w:rFonts w:ascii="Arial" w:hAnsi="Arial" w:cs="Arial"/>
          </w:rPr>
          <w:t>Consistency of enforcement approach</w:t>
        </w:r>
        <w:r w:rsidR="00D14D90">
          <w:rPr>
            <w:webHidden/>
          </w:rPr>
          <w:tab/>
        </w:r>
        <w:r w:rsidR="00D14D90">
          <w:rPr>
            <w:webHidden/>
          </w:rPr>
          <w:fldChar w:fldCharType="begin"/>
        </w:r>
        <w:r w:rsidR="00D14D90">
          <w:rPr>
            <w:webHidden/>
          </w:rPr>
          <w:instrText xml:space="preserve"> PAGEREF _Toc112142182 \h </w:instrText>
        </w:r>
        <w:r w:rsidR="00D14D90">
          <w:rPr>
            <w:webHidden/>
          </w:rPr>
        </w:r>
        <w:r w:rsidR="00D14D90">
          <w:rPr>
            <w:webHidden/>
          </w:rPr>
          <w:fldChar w:fldCharType="separate"/>
        </w:r>
        <w:r w:rsidR="003B384B">
          <w:rPr>
            <w:webHidden/>
          </w:rPr>
          <w:t>18</w:t>
        </w:r>
        <w:r w:rsidR="00D14D90">
          <w:rPr>
            <w:webHidden/>
          </w:rPr>
          <w:fldChar w:fldCharType="end"/>
        </w:r>
      </w:hyperlink>
    </w:p>
    <w:p w14:paraId="6C2352C6" w14:textId="16EC35B3" w:rsidR="00D14D90" w:rsidRDefault="00A4573B" w:rsidP="00D14D90">
      <w:pPr>
        <w:pStyle w:val="TOC2"/>
        <w:tabs>
          <w:tab w:val="right" w:pos="9628"/>
        </w:tabs>
        <w:rPr>
          <w:rFonts w:asciiTheme="minorHAnsi" w:eastAsiaTheme="minorEastAsia" w:hAnsiTheme="minorHAnsi" w:cstheme="minorBidi"/>
          <w:sz w:val="22"/>
          <w:lang w:eastAsia="en-AU"/>
        </w:rPr>
      </w:pPr>
      <w:hyperlink w:anchor="_Toc112142183" w:history="1">
        <w:r w:rsidR="00D14D90" w:rsidRPr="001D1567">
          <w:rPr>
            <w:rStyle w:val="Hyperlink"/>
            <w:rFonts w:ascii="Arial" w:hAnsi="Arial" w:cs="Arial"/>
          </w:rPr>
          <w:t>Improving transparency</w:t>
        </w:r>
        <w:r w:rsidR="00D14D90">
          <w:rPr>
            <w:webHidden/>
          </w:rPr>
          <w:tab/>
        </w:r>
        <w:r w:rsidR="00D14D90">
          <w:rPr>
            <w:webHidden/>
          </w:rPr>
          <w:fldChar w:fldCharType="begin"/>
        </w:r>
        <w:r w:rsidR="00D14D90">
          <w:rPr>
            <w:webHidden/>
          </w:rPr>
          <w:instrText xml:space="preserve"> PAGEREF _Toc112142183 \h </w:instrText>
        </w:r>
        <w:r w:rsidR="00D14D90">
          <w:rPr>
            <w:webHidden/>
          </w:rPr>
        </w:r>
        <w:r w:rsidR="00D14D90">
          <w:rPr>
            <w:webHidden/>
          </w:rPr>
          <w:fldChar w:fldCharType="separate"/>
        </w:r>
        <w:r w:rsidR="003B384B">
          <w:rPr>
            <w:webHidden/>
          </w:rPr>
          <w:t>19</w:t>
        </w:r>
        <w:r w:rsidR="00D14D90">
          <w:rPr>
            <w:webHidden/>
          </w:rPr>
          <w:fldChar w:fldCharType="end"/>
        </w:r>
      </w:hyperlink>
    </w:p>
    <w:p w14:paraId="222B5817" w14:textId="447D8B75" w:rsidR="00D14D90" w:rsidRDefault="00A4573B" w:rsidP="00D14D90">
      <w:pPr>
        <w:pStyle w:val="TOC2"/>
        <w:tabs>
          <w:tab w:val="right" w:pos="9628"/>
        </w:tabs>
        <w:rPr>
          <w:rFonts w:asciiTheme="minorHAnsi" w:eastAsiaTheme="minorEastAsia" w:hAnsiTheme="minorHAnsi" w:cstheme="minorBidi"/>
          <w:sz w:val="22"/>
          <w:lang w:eastAsia="en-AU"/>
        </w:rPr>
      </w:pPr>
      <w:hyperlink w:anchor="_Toc112142184" w:history="1">
        <w:r w:rsidR="00D14D90" w:rsidRPr="001D1567">
          <w:rPr>
            <w:rStyle w:val="Hyperlink"/>
            <w:rFonts w:ascii="Arial" w:hAnsi="Arial" w:cs="Arial"/>
          </w:rPr>
          <w:t>Advancing collaboration</w:t>
        </w:r>
        <w:r w:rsidR="00D14D90">
          <w:rPr>
            <w:webHidden/>
          </w:rPr>
          <w:tab/>
        </w:r>
        <w:r w:rsidR="00D14D90">
          <w:rPr>
            <w:webHidden/>
          </w:rPr>
          <w:fldChar w:fldCharType="begin"/>
        </w:r>
        <w:r w:rsidR="00D14D90">
          <w:rPr>
            <w:webHidden/>
          </w:rPr>
          <w:instrText xml:space="preserve"> PAGEREF _Toc112142184 \h </w:instrText>
        </w:r>
        <w:r w:rsidR="00D14D90">
          <w:rPr>
            <w:webHidden/>
          </w:rPr>
        </w:r>
        <w:r w:rsidR="00D14D90">
          <w:rPr>
            <w:webHidden/>
          </w:rPr>
          <w:fldChar w:fldCharType="separate"/>
        </w:r>
        <w:r w:rsidR="003B384B">
          <w:rPr>
            <w:webHidden/>
          </w:rPr>
          <w:t>19</w:t>
        </w:r>
        <w:r w:rsidR="00D14D90">
          <w:rPr>
            <w:webHidden/>
          </w:rPr>
          <w:fldChar w:fldCharType="end"/>
        </w:r>
      </w:hyperlink>
    </w:p>
    <w:p w14:paraId="73DF29D1" w14:textId="228A8286" w:rsidR="00D14D90" w:rsidRDefault="00A4573B" w:rsidP="00D14D90">
      <w:pPr>
        <w:pStyle w:val="TOC1"/>
        <w:tabs>
          <w:tab w:val="right" w:pos="9628"/>
        </w:tabs>
        <w:rPr>
          <w:rFonts w:asciiTheme="minorHAnsi" w:eastAsiaTheme="minorEastAsia" w:hAnsiTheme="minorHAnsi" w:cstheme="minorBidi"/>
          <w:color w:val="auto"/>
          <w:sz w:val="22"/>
          <w:lang w:eastAsia="en-AU"/>
        </w:rPr>
      </w:pPr>
      <w:hyperlink w:anchor="_Toc112142185" w:history="1">
        <w:r w:rsidR="00D14D90" w:rsidRPr="001D1567">
          <w:rPr>
            <w:rStyle w:val="Hyperlink"/>
            <w:rFonts w:ascii="Arial" w:hAnsi="Arial" w:cs="Arial"/>
          </w:rPr>
          <w:t>Part 3: Inspector-General commitments</w:t>
        </w:r>
        <w:r w:rsidR="00D14D90">
          <w:rPr>
            <w:webHidden/>
          </w:rPr>
          <w:tab/>
        </w:r>
        <w:r w:rsidR="00D14D90">
          <w:rPr>
            <w:webHidden/>
          </w:rPr>
          <w:fldChar w:fldCharType="begin"/>
        </w:r>
        <w:r w:rsidR="00D14D90">
          <w:rPr>
            <w:webHidden/>
          </w:rPr>
          <w:instrText xml:space="preserve"> PAGEREF _Toc112142185 \h </w:instrText>
        </w:r>
        <w:r w:rsidR="00D14D90">
          <w:rPr>
            <w:webHidden/>
          </w:rPr>
        </w:r>
        <w:r w:rsidR="00D14D90">
          <w:rPr>
            <w:webHidden/>
          </w:rPr>
          <w:fldChar w:fldCharType="separate"/>
        </w:r>
        <w:r w:rsidR="003B384B">
          <w:rPr>
            <w:webHidden/>
          </w:rPr>
          <w:t>20</w:t>
        </w:r>
        <w:r w:rsidR="00D14D90">
          <w:rPr>
            <w:webHidden/>
          </w:rPr>
          <w:fldChar w:fldCharType="end"/>
        </w:r>
      </w:hyperlink>
    </w:p>
    <w:p w14:paraId="5354315C" w14:textId="339BFC3D" w:rsidR="00D14D90" w:rsidRDefault="00A4573B" w:rsidP="00D14D90">
      <w:pPr>
        <w:pStyle w:val="TOC2"/>
        <w:tabs>
          <w:tab w:val="right" w:pos="9628"/>
        </w:tabs>
        <w:rPr>
          <w:rFonts w:asciiTheme="minorHAnsi" w:eastAsiaTheme="minorEastAsia" w:hAnsiTheme="minorHAnsi" w:cstheme="minorBidi"/>
          <w:sz w:val="22"/>
          <w:lang w:eastAsia="en-AU"/>
        </w:rPr>
      </w:pPr>
      <w:hyperlink w:anchor="_Toc112142186" w:history="1">
        <w:r w:rsidR="00D14D90" w:rsidRPr="001D1567">
          <w:rPr>
            <w:rStyle w:val="Hyperlink"/>
            <w:rFonts w:ascii="Arial" w:hAnsi="Arial" w:cs="Arial"/>
          </w:rPr>
          <w:t>Action Item 1 – Regulatory Leaders Forum</w:t>
        </w:r>
        <w:r w:rsidR="00D14D90">
          <w:rPr>
            <w:webHidden/>
          </w:rPr>
          <w:tab/>
        </w:r>
        <w:r w:rsidR="00D14D90">
          <w:rPr>
            <w:webHidden/>
          </w:rPr>
          <w:fldChar w:fldCharType="begin"/>
        </w:r>
        <w:r w:rsidR="00D14D90">
          <w:rPr>
            <w:webHidden/>
          </w:rPr>
          <w:instrText xml:space="preserve"> PAGEREF _Toc112142186 \h </w:instrText>
        </w:r>
        <w:r w:rsidR="00D14D90">
          <w:rPr>
            <w:webHidden/>
          </w:rPr>
        </w:r>
        <w:r w:rsidR="00D14D90">
          <w:rPr>
            <w:webHidden/>
          </w:rPr>
          <w:fldChar w:fldCharType="separate"/>
        </w:r>
        <w:r w:rsidR="003B384B">
          <w:rPr>
            <w:webHidden/>
          </w:rPr>
          <w:t>20</w:t>
        </w:r>
        <w:r w:rsidR="00D14D90">
          <w:rPr>
            <w:webHidden/>
          </w:rPr>
          <w:fldChar w:fldCharType="end"/>
        </w:r>
      </w:hyperlink>
    </w:p>
    <w:p w14:paraId="5FF668C4" w14:textId="64BC5C47" w:rsidR="00D14D90" w:rsidRDefault="00A4573B" w:rsidP="00D14D90">
      <w:pPr>
        <w:pStyle w:val="TOC2"/>
        <w:tabs>
          <w:tab w:val="right" w:pos="9628"/>
        </w:tabs>
        <w:rPr>
          <w:rFonts w:asciiTheme="minorHAnsi" w:eastAsiaTheme="minorEastAsia" w:hAnsiTheme="minorHAnsi" w:cstheme="minorBidi"/>
          <w:sz w:val="22"/>
          <w:lang w:eastAsia="en-AU"/>
        </w:rPr>
      </w:pPr>
      <w:hyperlink w:anchor="_Toc112142187" w:history="1">
        <w:r w:rsidR="00D14D90" w:rsidRPr="001D1567">
          <w:rPr>
            <w:rStyle w:val="Hyperlink"/>
            <w:rFonts w:ascii="Arial" w:hAnsi="Arial" w:cs="Arial"/>
          </w:rPr>
          <w:t>Action Item 2 - Water compliance performance reporting</w:t>
        </w:r>
        <w:r w:rsidR="00D14D90">
          <w:rPr>
            <w:webHidden/>
          </w:rPr>
          <w:tab/>
        </w:r>
        <w:r w:rsidR="00D14D90">
          <w:rPr>
            <w:webHidden/>
          </w:rPr>
          <w:fldChar w:fldCharType="begin"/>
        </w:r>
        <w:r w:rsidR="00D14D90">
          <w:rPr>
            <w:webHidden/>
          </w:rPr>
          <w:instrText xml:space="preserve"> PAGEREF _Toc112142187 \h </w:instrText>
        </w:r>
        <w:r w:rsidR="00D14D90">
          <w:rPr>
            <w:webHidden/>
          </w:rPr>
        </w:r>
        <w:r w:rsidR="00D14D90">
          <w:rPr>
            <w:webHidden/>
          </w:rPr>
          <w:fldChar w:fldCharType="separate"/>
        </w:r>
        <w:r w:rsidR="003B384B">
          <w:rPr>
            <w:webHidden/>
          </w:rPr>
          <w:t>20</w:t>
        </w:r>
        <w:r w:rsidR="00D14D90">
          <w:rPr>
            <w:webHidden/>
          </w:rPr>
          <w:fldChar w:fldCharType="end"/>
        </w:r>
      </w:hyperlink>
    </w:p>
    <w:p w14:paraId="0B1E18F3" w14:textId="3F2DA4EF" w:rsidR="00D14D90" w:rsidRDefault="00A4573B" w:rsidP="00D14D90">
      <w:pPr>
        <w:pStyle w:val="TOC2"/>
        <w:tabs>
          <w:tab w:val="right" w:pos="9628"/>
        </w:tabs>
        <w:rPr>
          <w:rFonts w:asciiTheme="minorHAnsi" w:eastAsiaTheme="minorEastAsia" w:hAnsiTheme="minorHAnsi" w:cstheme="minorBidi"/>
          <w:sz w:val="22"/>
          <w:lang w:eastAsia="en-AU"/>
        </w:rPr>
      </w:pPr>
      <w:hyperlink w:anchor="_Toc112142188" w:history="1">
        <w:r w:rsidR="00D14D90" w:rsidRPr="001D1567">
          <w:rPr>
            <w:rStyle w:val="Hyperlink"/>
            <w:rFonts w:ascii="Arial" w:hAnsi="Arial" w:cs="Arial"/>
          </w:rPr>
          <w:t>Action Item 3 – IGWC Metering Standard</w:t>
        </w:r>
        <w:r w:rsidR="00D14D90">
          <w:rPr>
            <w:webHidden/>
          </w:rPr>
          <w:tab/>
        </w:r>
        <w:r w:rsidR="00D14D90">
          <w:rPr>
            <w:webHidden/>
          </w:rPr>
          <w:fldChar w:fldCharType="begin"/>
        </w:r>
        <w:r w:rsidR="00D14D90">
          <w:rPr>
            <w:webHidden/>
          </w:rPr>
          <w:instrText xml:space="preserve"> PAGEREF _Toc112142188 \h </w:instrText>
        </w:r>
        <w:r w:rsidR="00D14D90">
          <w:rPr>
            <w:webHidden/>
          </w:rPr>
        </w:r>
        <w:r w:rsidR="00D14D90">
          <w:rPr>
            <w:webHidden/>
          </w:rPr>
          <w:fldChar w:fldCharType="separate"/>
        </w:r>
        <w:r w:rsidR="003B384B">
          <w:rPr>
            <w:webHidden/>
          </w:rPr>
          <w:t>21</w:t>
        </w:r>
        <w:r w:rsidR="00D14D90">
          <w:rPr>
            <w:webHidden/>
          </w:rPr>
          <w:fldChar w:fldCharType="end"/>
        </w:r>
      </w:hyperlink>
    </w:p>
    <w:p w14:paraId="1CAFCB6A" w14:textId="5F3EA2D0" w:rsidR="00D14D90" w:rsidRDefault="00A4573B" w:rsidP="00D14D90">
      <w:pPr>
        <w:pStyle w:val="TOC2"/>
        <w:tabs>
          <w:tab w:val="right" w:pos="9628"/>
        </w:tabs>
        <w:rPr>
          <w:rFonts w:asciiTheme="minorHAnsi" w:eastAsiaTheme="minorEastAsia" w:hAnsiTheme="minorHAnsi" w:cstheme="minorBidi"/>
          <w:sz w:val="22"/>
          <w:lang w:eastAsia="en-AU"/>
        </w:rPr>
      </w:pPr>
      <w:hyperlink w:anchor="_Toc112142189" w:history="1">
        <w:r w:rsidR="00D14D90" w:rsidRPr="001D1567">
          <w:rPr>
            <w:rStyle w:val="Hyperlink"/>
            <w:rFonts w:ascii="Arial" w:hAnsi="Arial" w:cs="Arial"/>
          </w:rPr>
          <w:t>Action Item 4 – Review into unmeasured take</w:t>
        </w:r>
        <w:r w:rsidR="00D14D90">
          <w:rPr>
            <w:webHidden/>
          </w:rPr>
          <w:tab/>
        </w:r>
        <w:r w:rsidR="00D14D90">
          <w:rPr>
            <w:webHidden/>
          </w:rPr>
          <w:fldChar w:fldCharType="begin"/>
        </w:r>
        <w:r w:rsidR="00D14D90">
          <w:rPr>
            <w:webHidden/>
          </w:rPr>
          <w:instrText xml:space="preserve"> PAGEREF _Toc112142189 \h </w:instrText>
        </w:r>
        <w:r w:rsidR="00D14D90">
          <w:rPr>
            <w:webHidden/>
          </w:rPr>
        </w:r>
        <w:r w:rsidR="00D14D90">
          <w:rPr>
            <w:webHidden/>
          </w:rPr>
          <w:fldChar w:fldCharType="separate"/>
        </w:r>
        <w:r w:rsidR="003B384B">
          <w:rPr>
            <w:webHidden/>
          </w:rPr>
          <w:t>21</w:t>
        </w:r>
        <w:r w:rsidR="00D14D90">
          <w:rPr>
            <w:webHidden/>
          </w:rPr>
          <w:fldChar w:fldCharType="end"/>
        </w:r>
      </w:hyperlink>
    </w:p>
    <w:p w14:paraId="1F1B70A2" w14:textId="6B81ABD5" w:rsidR="00D14D90" w:rsidRDefault="00A4573B" w:rsidP="00D14D90">
      <w:pPr>
        <w:pStyle w:val="TOC2"/>
        <w:tabs>
          <w:tab w:val="right" w:pos="9628"/>
        </w:tabs>
        <w:rPr>
          <w:rFonts w:asciiTheme="minorHAnsi" w:eastAsiaTheme="minorEastAsia" w:hAnsiTheme="minorHAnsi" w:cstheme="minorBidi"/>
          <w:sz w:val="22"/>
          <w:lang w:eastAsia="en-AU"/>
        </w:rPr>
      </w:pPr>
      <w:hyperlink w:anchor="_Toc112142190" w:history="1">
        <w:r w:rsidR="00D14D90" w:rsidRPr="001D1567">
          <w:rPr>
            <w:rStyle w:val="Hyperlink"/>
            <w:rFonts w:ascii="Arial" w:hAnsi="Arial" w:cs="Arial"/>
          </w:rPr>
          <w:t>Action Item 5 – Determining harm from unauthorised take</w:t>
        </w:r>
        <w:r w:rsidR="00D14D90">
          <w:rPr>
            <w:webHidden/>
          </w:rPr>
          <w:tab/>
        </w:r>
        <w:r w:rsidR="00D14D90">
          <w:rPr>
            <w:webHidden/>
          </w:rPr>
          <w:fldChar w:fldCharType="begin"/>
        </w:r>
        <w:r w:rsidR="00D14D90">
          <w:rPr>
            <w:webHidden/>
          </w:rPr>
          <w:instrText xml:space="preserve"> PAGEREF _Toc112142190 \h </w:instrText>
        </w:r>
        <w:r w:rsidR="00D14D90">
          <w:rPr>
            <w:webHidden/>
          </w:rPr>
        </w:r>
        <w:r w:rsidR="00D14D90">
          <w:rPr>
            <w:webHidden/>
          </w:rPr>
          <w:fldChar w:fldCharType="separate"/>
        </w:r>
        <w:r w:rsidR="003B384B">
          <w:rPr>
            <w:webHidden/>
          </w:rPr>
          <w:t>21</w:t>
        </w:r>
        <w:r w:rsidR="00D14D90">
          <w:rPr>
            <w:webHidden/>
          </w:rPr>
          <w:fldChar w:fldCharType="end"/>
        </w:r>
      </w:hyperlink>
    </w:p>
    <w:p w14:paraId="7ABCC97F" w14:textId="5A23645A" w:rsidR="00D14D90" w:rsidRDefault="00A4573B" w:rsidP="00D14D90">
      <w:pPr>
        <w:pStyle w:val="TOC1"/>
        <w:tabs>
          <w:tab w:val="right" w:pos="9628"/>
        </w:tabs>
        <w:rPr>
          <w:rFonts w:asciiTheme="minorHAnsi" w:eastAsiaTheme="minorEastAsia" w:hAnsiTheme="minorHAnsi" w:cstheme="minorBidi"/>
          <w:color w:val="auto"/>
          <w:sz w:val="22"/>
          <w:lang w:eastAsia="en-AU"/>
        </w:rPr>
      </w:pPr>
      <w:hyperlink w:anchor="_Toc112142191" w:history="1">
        <w:r w:rsidR="00D14D90" w:rsidRPr="001D1567">
          <w:rPr>
            <w:rStyle w:val="Hyperlink"/>
            <w:rFonts w:ascii="Arial" w:hAnsi="Arial" w:cs="Arial"/>
          </w:rPr>
          <w:t>Glossary</w:t>
        </w:r>
        <w:r w:rsidR="00D14D90">
          <w:rPr>
            <w:webHidden/>
          </w:rPr>
          <w:tab/>
        </w:r>
        <w:r w:rsidR="00D14D90">
          <w:rPr>
            <w:webHidden/>
          </w:rPr>
          <w:fldChar w:fldCharType="begin"/>
        </w:r>
        <w:r w:rsidR="00D14D90">
          <w:rPr>
            <w:webHidden/>
          </w:rPr>
          <w:instrText xml:space="preserve"> PAGEREF _Toc112142191 \h </w:instrText>
        </w:r>
        <w:r w:rsidR="00D14D90">
          <w:rPr>
            <w:webHidden/>
          </w:rPr>
        </w:r>
        <w:r w:rsidR="00D14D90">
          <w:rPr>
            <w:webHidden/>
          </w:rPr>
          <w:fldChar w:fldCharType="separate"/>
        </w:r>
        <w:r w:rsidR="003B384B">
          <w:rPr>
            <w:webHidden/>
          </w:rPr>
          <w:t>24</w:t>
        </w:r>
        <w:r w:rsidR="00D14D90">
          <w:rPr>
            <w:webHidden/>
          </w:rPr>
          <w:fldChar w:fldCharType="end"/>
        </w:r>
      </w:hyperlink>
    </w:p>
    <w:p w14:paraId="378AF464" w14:textId="62F3CED2" w:rsidR="00D14D90" w:rsidRDefault="00A4573B" w:rsidP="00D14D90">
      <w:pPr>
        <w:pStyle w:val="TOC1"/>
        <w:tabs>
          <w:tab w:val="right" w:pos="9628"/>
        </w:tabs>
        <w:rPr>
          <w:rFonts w:asciiTheme="minorHAnsi" w:eastAsiaTheme="minorEastAsia" w:hAnsiTheme="minorHAnsi" w:cstheme="minorBidi"/>
          <w:color w:val="auto"/>
          <w:sz w:val="22"/>
          <w:lang w:eastAsia="en-AU"/>
        </w:rPr>
      </w:pPr>
      <w:hyperlink w:anchor="_Toc112142192" w:history="1">
        <w:r w:rsidR="00D14D90" w:rsidRPr="001D1567">
          <w:rPr>
            <w:rStyle w:val="Hyperlink"/>
            <w:rFonts w:ascii="Arial" w:hAnsi="Arial" w:cs="Arial"/>
          </w:rPr>
          <w:t>References</w:t>
        </w:r>
        <w:r w:rsidR="00D14D90">
          <w:rPr>
            <w:webHidden/>
          </w:rPr>
          <w:tab/>
        </w:r>
        <w:r w:rsidR="00D14D90">
          <w:rPr>
            <w:webHidden/>
          </w:rPr>
          <w:fldChar w:fldCharType="begin"/>
        </w:r>
        <w:r w:rsidR="00D14D90">
          <w:rPr>
            <w:webHidden/>
          </w:rPr>
          <w:instrText xml:space="preserve"> PAGEREF _Toc112142192 \h </w:instrText>
        </w:r>
        <w:r w:rsidR="00D14D90">
          <w:rPr>
            <w:webHidden/>
          </w:rPr>
        </w:r>
        <w:r w:rsidR="00D14D90">
          <w:rPr>
            <w:webHidden/>
          </w:rPr>
          <w:fldChar w:fldCharType="separate"/>
        </w:r>
        <w:r w:rsidR="003B384B">
          <w:rPr>
            <w:webHidden/>
          </w:rPr>
          <w:t>25</w:t>
        </w:r>
        <w:r w:rsidR="00D14D90">
          <w:rPr>
            <w:webHidden/>
          </w:rPr>
          <w:fldChar w:fldCharType="end"/>
        </w:r>
      </w:hyperlink>
    </w:p>
    <w:p w14:paraId="3E591AF5" w14:textId="68CE5F7E" w:rsidR="001C0F11" w:rsidRPr="00633635" w:rsidRDefault="00BE6035" w:rsidP="002C07A5">
      <w:pPr>
        <w:rPr>
          <w:rFonts w:ascii="Arial" w:hAnsi="Arial" w:cs="Arial"/>
        </w:rPr>
      </w:pPr>
      <w:r w:rsidRPr="00633635">
        <w:rPr>
          <w:rFonts w:ascii="Arial" w:hAnsi="Arial" w:cs="Arial"/>
          <w:b/>
          <w:noProof/>
          <w:color w:val="48555E" w:themeColor="text2"/>
          <w:sz w:val="24"/>
        </w:rPr>
        <w:fldChar w:fldCharType="end"/>
      </w:r>
    </w:p>
    <w:p w14:paraId="772687A0" w14:textId="77777777" w:rsidR="001C0F11" w:rsidRPr="00633635" w:rsidRDefault="001C0F11" w:rsidP="002C07A5">
      <w:pPr>
        <w:rPr>
          <w:rFonts w:ascii="Arial" w:hAnsi="Arial" w:cs="Arial"/>
        </w:rPr>
      </w:pPr>
    </w:p>
    <w:p w14:paraId="25BC3F3D" w14:textId="5C61DABF" w:rsidR="001C0F11" w:rsidRPr="00633635" w:rsidRDefault="001C0F11" w:rsidP="002C07A5">
      <w:pPr>
        <w:rPr>
          <w:rFonts w:ascii="Arial" w:hAnsi="Arial" w:cs="Arial"/>
        </w:rPr>
        <w:sectPr w:rsidR="001C0F11" w:rsidRPr="00633635" w:rsidSect="00CE1D94">
          <w:headerReference w:type="first" r:id="rId22"/>
          <w:footerReference w:type="first" r:id="rId23"/>
          <w:pgSz w:w="11906" w:h="16838"/>
          <w:pgMar w:top="1281" w:right="1134" w:bottom="1134" w:left="1134" w:header="425" w:footer="567" w:gutter="0"/>
          <w:cols w:space="708"/>
          <w:titlePg/>
          <w:docGrid w:linePitch="360"/>
        </w:sectPr>
      </w:pPr>
    </w:p>
    <w:p w14:paraId="44DAB5FE" w14:textId="2366CD1C" w:rsidR="00473F5B" w:rsidRPr="00633635" w:rsidRDefault="008E6C6E" w:rsidP="00473F5B">
      <w:pPr>
        <w:pStyle w:val="Heading1"/>
        <w:rPr>
          <w:rFonts w:ascii="Arial" w:hAnsi="Arial" w:cs="Arial"/>
        </w:rPr>
      </w:pPr>
      <w:bookmarkStart w:id="5" w:name="_Toc112142173"/>
      <w:r w:rsidRPr="00633635">
        <w:rPr>
          <w:rFonts w:ascii="Arial" w:hAnsi="Arial" w:cs="Arial"/>
        </w:rPr>
        <w:lastRenderedPageBreak/>
        <w:t>Background</w:t>
      </w:r>
      <w:bookmarkEnd w:id="5"/>
      <w:r w:rsidRPr="00633635">
        <w:rPr>
          <w:rFonts w:ascii="Arial" w:hAnsi="Arial" w:cs="Arial"/>
        </w:rPr>
        <w:t xml:space="preserve"> </w:t>
      </w:r>
    </w:p>
    <w:p w14:paraId="54BAFC36" w14:textId="1F027F1A" w:rsidR="008F6E29" w:rsidRPr="00633635" w:rsidRDefault="00E60830" w:rsidP="00EA293D">
      <w:pPr>
        <w:rPr>
          <w:rFonts w:ascii="Arial" w:hAnsi="Arial" w:cs="Arial"/>
          <w:u w:color="FF40FF"/>
        </w:rPr>
      </w:pPr>
      <w:r w:rsidRPr="00633635">
        <w:rPr>
          <w:rFonts w:ascii="Arial" w:hAnsi="Arial" w:cs="Arial"/>
        </w:rPr>
        <w:t>In</w:t>
      </w:r>
      <w:r w:rsidR="00EA293D" w:rsidRPr="00633635">
        <w:rPr>
          <w:rFonts w:ascii="Arial" w:hAnsi="Arial" w:cs="Arial"/>
          <w:u w:color="FF40FF"/>
        </w:rPr>
        <w:t xml:space="preserve"> 2012</w:t>
      </w:r>
      <w:r w:rsidR="00A233AE" w:rsidRPr="00633635">
        <w:rPr>
          <w:rFonts w:ascii="Arial" w:hAnsi="Arial" w:cs="Arial"/>
          <w:u w:color="FF40FF"/>
        </w:rPr>
        <w:t xml:space="preserve">, the Australian Government in collaboration with the </w:t>
      </w:r>
      <w:r w:rsidR="000210F5" w:rsidRPr="00633635">
        <w:rPr>
          <w:rFonts w:ascii="Arial" w:hAnsi="Arial" w:cs="Arial"/>
          <w:u w:color="FF40FF"/>
        </w:rPr>
        <w:t xml:space="preserve">Basin </w:t>
      </w:r>
      <w:r w:rsidR="00721771" w:rsidRPr="00633635">
        <w:rPr>
          <w:rFonts w:ascii="Arial" w:hAnsi="Arial" w:cs="Arial"/>
          <w:u w:color="FF40FF"/>
        </w:rPr>
        <w:t>s</w:t>
      </w:r>
      <w:r w:rsidR="000210F5" w:rsidRPr="00633635">
        <w:rPr>
          <w:rFonts w:ascii="Arial" w:hAnsi="Arial" w:cs="Arial"/>
          <w:u w:color="FF40FF"/>
        </w:rPr>
        <w:t>tates</w:t>
      </w:r>
      <w:r w:rsidR="00A233AE" w:rsidRPr="00633635">
        <w:rPr>
          <w:rFonts w:ascii="Arial" w:hAnsi="Arial" w:cs="Arial"/>
          <w:u w:color="FF40FF"/>
        </w:rPr>
        <w:t xml:space="preserve"> developed</w:t>
      </w:r>
      <w:r w:rsidR="00EA293D" w:rsidRPr="00633635">
        <w:rPr>
          <w:rFonts w:ascii="Arial" w:hAnsi="Arial" w:cs="Arial"/>
          <w:u w:color="FF40FF"/>
        </w:rPr>
        <w:t xml:space="preserve"> </w:t>
      </w:r>
      <w:r w:rsidRPr="00633635">
        <w:rPr>
          <w:rFonts w:ascii="Arial" w:hAnsi="Arial" w:cs="Arial"/>
          <w:u w:color="FF40FF"/>
        </w:rPr>
        <w:t xml:space="preserve">the </w:t>
      </w:r>
      <w:r w:rsidR="00EA293D" w:rsidRPr="00633635">
        <w:rPr>
          <w:rFonts w:ascii="Arial" w:hAnsi="Arial" w:cs="Arial"/>
          <w:i/>
          <w:iCs/>
          <w:u w:color="FF40FF"/>
        </w:rPr>
        <w:t>Basin Plan</w:t>
      </w:r>
      <w:r w:rsidR="00A233AE" w:rsidRPr="00633635">
        <w:rPr>
          <w:rFonts w:ascii="Arial" w:hAnsi="Arial" w:cs="Arial"/>
          <w:i/>
          <w:iCs/>
          <w:u w:color="FF40FF"/>
        </w:rPr>
        <w:t xml:space="preserve"> 2012 </w:t>
      </w:r>
      <w:r w:rsidR="00A233AE" w:rsidRPr="00633635">
        <w:rPr>
          <w:rFonts w:ascii="Arial" w:hAnsi="Arial" w:cs="Arial"/>
          <w:u w:color="FF40FF"/>
        </w:rPr>
        <w:t>(</w:t>
      </w:r>
      <w:proofErr w:type="spellStart"/>
      <w:r w:rsidR="00A233AE" w:rsidRPr="00633635">
        <w:rPr>
          <w:rFonts w:ascii="Arial" w:hAnsi="Arial" w:cs="Arial"/>
          <w:u w:color="FF40FF"/>
        </w:rPr>
        <w:t>Cth</w:t>
      </w:r>
      <w:proofErr w:type="spellEnd"/>
      <w:r w:rsidR="00A233AE" w:rsidRPr="00633635">
        <w:rPr>
          <w:rFonts w:ascii="Arial" w:hAnsi="Arial" w:cs="Arial"/>
          <w:u w:color="FF40FF"/>
        </w:rPr>
        <w:t>) (</w:t>
      </w:r>
      <w:r w:rsidR="00721771" w:rsidRPr="00633635">
        <w:rPr>
          <w:rFonts w:ascii="Arial" w:hAnsi="Arial" w:cs="Arial"/>
          <w:u w:color="FF40FF"/>
        </w:rPr>
        <w:t xml:space="preserve">the </w:t>
      </w:r>
      <w:r w:rsidR="00A233AE" w:rsidRPr="00633635">
        <w:rPr>
          <w:rFonts w:ascii="Arial" w:hAnsi="Arial" w:cs="Arial"/>
          <w:u w:color="FF40FF"/>
        </w:rPr>
        <w:t>Basin Plan)</w:t>
      </w:r>
      <w:r w:rsidRPr="00633635">
        <w:rPr>
          <w:rFonts w:ascii="Arial" w:hAnsi="Arial" w:cs="Arial"/>
          <w:u w:color="FF40FF"/>
        </w:rPr>
        <w:t xml:space="preserve"> </w:t>
      </w:r>
      <w:r w:rsidR="00EA293D" w:rsidRPr="00633635">
        <w:rPr>
          <w:rFonts w:ascii="Arial" w:hAnsi="Arial" w:cs="Arial"/>
          <w:u w:color="FF40FF"/>
        </w:rPr>
        <w:t xml:space="preserve">to return extractions of water in the Murray–Darling Basin to sustainable levels over the long term to support the health and viability of communities, </w:t>
      </w:r>
      <w:r w:rsidR="00C22AE6" w:rsidRPr="00633635">
        <w:rPr>
          <w:rFonts w:ascii="Arial" w:hAnsi="Arial" w:cs="Arial"/>
          <w:u w:color="FF40FF"/>
        </w:rPr>
        <w:t>businesses,</w:t>
      </w:r>
      <w:r w:rsidR="00EA293D" w:rsidRPr="00633635">
        <w:rPr>
          <w:rFonts w:ascii="Arial" w:hAnsi="Arial" w:cs="Arial"/>
          <w:u w:color="FF40FF"/>
        </w:rPr>
        <w:t xml:space="preserve"> and the environment. </w:t>
      </w:r>
    </w:p>
    <w:p w14:paraId="244175D2" w14:textId="189B87DD" w:rsidR="00662532" w:rsidRPr="00633635" w:rsidRDefault="00EA293D" w:rsidP="00EA293D">
      <w:pPr>
        <w:rPr>
          <w:rFonts w:ascii="Arial" w:hAnsi="Arial" w:cs="Arial"/>
          <w:u w:color="FF40FF"/>
        </w:rPr>
      </w:pPr>
      <w:r w:rsidRPr="00633635">
        <w:rPr>
          <w:rFonts w:ascii="Arial" w:hAnsi="Arial" w:cs="Arial"/>
          <w:u w:color="FF40FF"/>
        </w:rPr>
        <w:t xml:space="preserve">Under the Basin Plan, </w:t>
      </w:r>
      <w:r w:rsidR="00662532" w:rsidRPr="00633635">
        <w:rPr>
          <w:rFonts w:ascii="Arial" w:hAnsi="Arial" w:cs="Arial"/>
          <w:u w:color="FF40FF"/>
        </w:rPr>
        <w:t xml:space="preserve">the </w:t>
      </w:r>
      <w:r w:rsidR="000210F5" w:rsidRPr="00633635">
        <w:rPr>
          <w:rFonts w:ascii="Arial" w:hAnsi="Arial" w:cs="Arial"/>
          <w:u w:color="FF40FF"/>
        </w:rPr>
        <w:t xml:space="preserve">Basin </w:t>
      </w:r>
      <w:r w:rsidR="0018698D" w:rsidRPr="00633635">
        <w:rPr>
          <w:rFonts w:ascii="Arial" w:hAnsi="Arial" w:cs="Arial"/>
          <w:u w:color="FF40FF"/>
        </w:rPr>
        <w:t xml:space="preserve">states </w:t>
      </w:r>
      <w:r w:rsidR="00662532" w:rsidRPr="00633635">
        <w:rPr>
          <w:rFonts w:ascii="Arial" w:hAnsi="Arial" w:cs="Arial"/>
          <w:u w:color="FF40FF"/>
        </w:rPr>
        <w:t xml:space="preserve">develop </w:t>
      </w:r>
      <w:r w:rsidRPr="00633635">
        <w:rPr>
          <w:rFonts w:ascii="Arial" w:hAnsi="Arial" w:cs="Arial"/>
          <w:u w:color="FF40FF"/>
        </w:rPr>
        <w:t>water resource plans</w:t>
      </w:r>
      <w:r w:rsidR="00E648D4" w:rsidRPr="00633635">
        <w:rPr>
          <w:rFonts w:ascii="Arial" w:hAnsi="Arial" w:cs="Arial"/>
          <w:u w:color="FF40FF"/>
        </w:rPr>
        <w:t xml:space="preserve"> (WRPs)</w:t>
      </w:r>
      <w:r w:rsidR="00662532" w:rsidRPr="00633635">
        <w:rPr>
          <w:rFonts w:ascii="Arial" w:hAnsi="Arial" w:cs="Arial"/>
          <w:u w:color="FF40FF"/>
        </w:rPr>
        <w:t xml:space="preserve"> for each </w:t>
      </w:r>
      <w:r w:rsidR="00CE63BC" w:rsidRPr="00633635">
        <w:rPr>
          <w:rFonts w:ascii="Arial" w:hAnsi="Arial" w:cs="Arial"/>
          <w:u w:color="FF40FF"/>
        </w:rPr>
        <w:t>water resource plan area in the Basin</w:t>
      </w:r>
      <w:r w:rsidR="00662532" w:rsidRPr="00633635">
        <w:rPr>
          <w:rFonts w:ascii="Arial" w:hAnsi="Arial" w:cs="Arial"/>
          <w:u w:color="FF40FF"/>
        </w:rPr>
        <w:t>. WRPs</w:t>
      </w:r>
      <w:r w:rsidR="008E06FC" w:rsidRPr="00633635">
        <w:rPr>
          <w:rFonts w:ascii="Arial" w:hAnsi="Arial" w:cs="Arial"/>
          <w:u w:color="FF40FF"/>
        </w:rPr>
        <w:t xml:space="preserve"> </w:t>
      </w:r>
      <w:r w:rsidRPr="00633635">
        <w:rPr>
          <w:rFonts w:ascii="Arial" w:hAnsi="Arial" w:cs="Arial"/>
          <w:u w:color="FF40FF"/>
        </w:rPr>
        <w:t xml:space="preserve">outline how </w:t>
      </w:r>
      <w:r w:rsidR="00A233AE" w:rsidRPr="00633635">
        <w:rPr>
          <w:rFonts w:ascii="Arial" w:hAnsi="Arial" w:cs="Arial"/>
          <w:u w:color="FF40FF"/>
        </w:rPr>
        <w:t>the Basin</w:t>
      </w:r>
      <w:r w:rsidR="0018698D" w:rsidRPr="00633635">
        <w:rPr>
          <w:rFonts w:ascii="Arial" w:hAnsi="Arial" w:cs="Arial"/>
          <w:u w:color="FF40FF"/>
        </w:rPr>
        <w:t>’s</w:t>
      </w:r>
      <w:r w:rsidR="00A233AE" w:rsidRPr="00633635">
        <w:rPr>
          <w:rFonts w:ascii="Arial" w:hAnsi="Arial" w:cs="Arial"/>
          <w:u w:color="FF40FF"/>
        </w:rPr>
        <w:t xml:space="preserve"> water resources should be managed, including </w:t>
      </w:r>
      <w:r w:rsidR="0018698D" w:rsidRPr="00633635">
        <w:rPr>
          <w:rFonts w:ascii="Arial" w:hAnsi="Arial" w:cs="Arial"/>
          <w:u w:color="FF40FF"/>
        </w:rPr>
        <w:t xml:space="preserve">how </w:t>
      </w:r>
      <w:r w:rsidR="00E648D4" w:rsidRPr="00633635">
        <w:rPr>
          <w:rFonts w:ascii="Arial" w:hAnsi="Arial" w:cs="Arial"/>
          <w:u w:color="FF40FF"/>
        </w:rPr>
        <w:t xml:space="preserve">much </w:t>
      </w:r>
      <w:r w:rsidRPr="00633635">
        <w:rPr>
          <w:rFonts w:ascii="Arial" w:hAnsi="Arial" w:cs="Arial"/>
          <w:u w:color="FF40FF"/>
        </w:rPr>
        <w:t>water</w:t>
      </w:r>
      <w:r w:rsidR="00E648D4" w:rsidRPr="00633635">
        <w:rPr>
          <w:rFonts w:ascii="Arial" w:hAnsi="Arial" w:cs="Arial"/>
          <w:u w:color="FF40FF"/>
        </w:rPr>
        <w:t xml:space="preserve"> can be taken from the system</w:t>
      </w:r>
      <w:r w:rsidR="00662532" w:rsidRPr="00633635">
        <w:rPr>
          <w:rFonts w:ascii="Arial" w:hAnsi="Arial" w:cs="Arial"/>
          <w:u w:color="FF40FF"/>
        </w:rPr>
        <w:t>. They</w:t>
      </w:r>
      <w:r w:rsidR="00E648D4" w:rsidRPr="00633635">
        <w:rPr>
          <w:rFonts w:ascii="Arial" w:hAnsi="Arial" w:cs="Arial"/>
          <w:u w:color="FF40FF"/>
        </w:rPr>
        <w:t xml:space="preserve"> also </w:t>
      </w:r>
      <w:r w:rsidR="00662532" w:rsidRPr="00633635">
        <w:rPr>
          <w:rFonts w:ascii="Arial" w:hAnsi="Arial" w:cs="Arial"/>
          <w:u w:color="FF40FF"/>
        </w:rPr>
        <w:t xml:space="preserve">contain </w:t>
      </w:r>
      <w:r w:rsidR="00E648D4" w:rsidRPr="00633635">
        <w:rPr>
          <w:rFonts w:ascii="Arial" w:hAnsi="Arial" w:cs="Arial"/>
          <w:u w:color="FF40FF"/>
        </w:rPr>
        <w:t>rules to protect</w:t>
      </w:r>
      <w:r w:rsidR="00662532" w:rsidRPr="00633635">
        <w:rPr>
          <w:rFonts w:ascii="Arial" w:hAnsi="Arial" w:cs="Arial"/>
          <w:u w:color="FF40FF"/>
        </w:rPr>
        <w:t xml:space="preserve"> water quality,</w:t>
      </w:r>
      <w:r w:rsidR="00E648D4" w:rsidRPr="00633635">
        <w:rPr>
          <w:rFonts w:ascii="Arial" w:hAnsi="Arial" w:cs="Arial"/>
          <w:u w:color="FF40FF"/>
        </w:rPr>
        <w:t xml:space="preserve"> water for the environment and cultural values.</w:t>
      </w:r>
      <w:r w:rsidR="008E06FC" w:rsidRPr="00633635">
        <w:rPr>
          <w:rFonts w:ascii="Arial" w:hAnsi="Arial" w:cs="Arial"/>
          <w:u w:color="FF40FF"/>
        </w:rPr>
        <w:t xml:space="preserve"> </w:t>
      </w:r>
    </w:p>
    <w:p w14:paraId="073E4689" w14:textId="2A42CDA1" w:rsidR="00EA293D" w:rsidRPr="00633635" w:rsidRDefault="00E648D4" w:rsidP="00EA293D">
      <w:pPr>
        <w:rPr>
          <w:rFonts w:ascii="Arial" w:hAnsi="Arial" w:cs="Arial"/>
          <w:u w:color="FF40FF"/>
        </w:rPr>
      </w:pPr>
      <w:r w:rsidRPr="00633635">
        <w:rPr>
          <w:rFonts w:ascii="Arial" w:hAnsi="Arial" w:cs="Arial"/>
          <w:u w:color="FF40FF"/>
        </w:rPr>
        <w:t>There are 33 WRP areas</w:t>
      </w:r>
      <w:r w:rsidR="00662532" w:rsidRPr="00633635">
        <w:rPr>
          <w:rFonts w:ascii="Arial" w:hAnsi="Arial" w:cs="Arial"/>
          <w:u w:color="FF40FF"/>
        </w:rPr>
        <w:t xml:space="preserve"> in the Basin </w:t>
      </w:r>
      <w:r w:rsidRPr="00633635">
        <w:rPr>
          <w:rFonts w:ascii="Arial" w:hAnsi="Arial" w:cs="Arial"/>
          <w:u w:color="FF40FF"/>
        </w:rPr>
        <w:t xml:space="preserve">– 14 for surface water, 14 for groundwater, and 5 that cover both. </w:t>
      </w:r>
      <w:r w:rsidR="00662532" w:rsidRPr="00633635">
        <w:rPr>
          <w:rFonts w:ascii="Arial" w:hAnsi="Arial" w:cs="Arial"/>
          <w:u w:color="FF40FF"/>
        </w:rPr>
        <w:t>At July 2022,</w:t>
      </w:r>
      <w:r w:rsidRPr="00633635">
        <w:rPr>
          <w:rFonts w:ascii="Arial" w:hAnsi="Arial" w:cs="Arial"/>
          <w:u w:color="FF40FF"/>
        </w:rPr>
        <w:t xml:space="preserve"> 13 of the 33 WRPs have been accredited</w:t>
      </w:r>
      <w:r w:rsidR="00662532" w:rsidRPr="00633635">
        <w:rPr>
          <w:rFonts w:ascii="Arial" w:hAnsi="Arial" w:cs="Arial"/>
          <w:u w:color="FF40FF"/>
        </w:rPr>
        <w:t xml:space="preserve"> by the responsible Australian Government minister</w:t>
      </w:r>
      <w:r w:rsidRPr="00633635">
        <w:rPr>
          <w:rFonts w:ascii="Arial" w:hAnsi="Arial" w:cs="Arial"/>
          <w:u w:color="FF40FF"/>
        </w:rPr>
        <w:t xml:space="preserve"> and are operational</w:t>
      </w:r>
      <w:r w:rsidR="00662532" w:rsidRPr="00633635">
        <w:rPr>
          <w:rFonts w:ascii="Arial" w:hAnsi="Arial" w:cs="Arial"/>
          <w:u w:color="FF40FF"/>
        </w:rPr>
        <w:t>. T</w:t>
      </w:r>
      <w:r w:rsidR="006A3A2F" w:rsidRPr="00633635">
        <w:rPr>
          <w:rFonts w:ascii="Arial" w:hAnsi="Arial" w:cs="Arial"/>
          <w:u w:color="FF40FF"/>
        </w:rPr>
        <w:t xml:space="preserve">he </w:t>
      </w:r>
      <w:r w:rsidR="003350AC" w:rsidRPr="00633635">
        <w:rPr>
          <w:rFonts w:ascii="Arial" w:hAnsi="Arial" w:cs="Arial"/>
          <w:u w:color="FF40FF"/>
        </w:rPr>
        <w:t xml:space="preserve">remaining </w:t>
      </w:r>
      <w:r w:rsidR="006A3A2F" w:rsidRPr="00633635">
        <w:rPr>
          <w:rFonts w:ascii="Arial" w:hAnsi="Arial" w:cs="Arial"/>
          <w:u w:color="FF40FF"/>
        </w:rPr>
        <w:t>20</w:t>
      </w:r>
      <w:r w:rsidR="003350AC" w:rsidRPr="00633635">
        <w:rPr>
          <w:rFonts w:ascii="Arial" w:hAnsi="Arial" w:cs="Arial"/>
          <w:u w:color="FF40FF"/>
        </w:rPr>
        <w:t xml:space="preserve"> are all in</w:t>
      </w:r>
      <w:r w:rsidR="006A3A2F" w:rsidRPr="00633635">
        <w:rPr>
          <w:rFonts w:ascii="Arial" w:hAnsi="Arial" w:cs="Arial"/>
          <w:u w:color="FF40FF"/>
        </w:rPr>
        <w:t xml:space="preserve"> </w:t>
      </w:r>
      <w:r w:rsidR="00662532" w:rsidRPr="00633635">
        <w:rPr>
          <w:rFonts w:ascii="Arial" w:hAnsi="Arial" w:cs="Arial"/>
          <w:u w:color="FF40FF"/>
        </w:rPr>
        <w:t xml:space="preserve">New South Wales </w:t>
      </w:r>
      <w:r w:rsidR="003350AC" w:rsidRPr="00633635">
        <w:rPr>
          <w:rFonts w:ascii="Arial" w:hAnsi="Arial" w:cs="Arial"/>
          <w:u w:color="FF40FF"/>
        </w:rPr>
        <w:t>and</w:t>
      </w:r>
      <w:r w:rsidR="006A3A2F" w:rsidRPr="00633635">
        <w:rPr>
          <w:rFonts w:ascii="Arial" w:hAnsi="Arial" w:cs="Arial"/>
          <w:u w:color="FF40FF"/>
        </w:rPr>
        <w:t xml:space="preserve"> </w:t>
      </w:r>
      <w:r w:rsidR="00662532" w:rsidRPr="00633635">
        <w:rPr>
          <w:rFonts w:ascii="Arial" w:hAnsi="Arial" w:cs="Arial"/>
          <w:u w:color="FF40FF"/>
        </w:rPr>
        <w:t xml:space="preserve">are </w:t>
      </w:r>
      <w:r w:rsidR="006A3A2F" w:rsidRPr="00633635">
        <w:rPr>
          <w:rFonts w:ascii="Arial" w:hAnsi="Arial" w:cs="Arial"/>
          <w:u w:color="FF40FF"/>
        </w:rPr>
        <w:t>yet to be accredited</w:t>
      </w:r>
      <w:r w:rsidRPr="00633635">
        <w:rPr>
          <w:rFonts w:ascii="Arial" w:hAnsi="Arial" w:cs="Arial"/>
          <w:u w:color="FF40FF"/>
        </w:rPr>
        <w:t>.</w:t>
      </w:r>
      <w:r w:rsidR="008E06FC" w:rsidRPr="00633635">
        <w:rPr>
          <w:rFonts w:ascii="Arial" w:hAnsi="Arial" w:cs="Arial"/>
          <w:u w:color="FF40FF"/>
        </w:rPr>
        <w:t xml:space="preserve"> </w:t>
      </w:r>
    </w:p>
    <w:p w14:paraId="427BA5AE" w14:textId="2DF60BD0" w:rsidR="00D0033D" w:rsidRPr="00633635" w:rsidRDefault="00D0033D" w:rsidP="00E65C6C">
      <w:pPr>
        <w:rPr>
          <w:rFonts w:ascii="Arial" w:hAnsi="Arial" w:cs="Arial"/>
        </w:rPr>
      </w:pPr>
      <w:r w:rsidRPr="00633635">
        <w:rPr>
          <w:rFonts w:ascii="Arial" w:hAnsi="Arial" w:cs="Arial"/>
        </w:rPr>
        <w:t>Since 2012 there have been</w:t>
      </w:r>
      <w:r w:rsidR="000A042D" w:rsidRPr="00633635">
        <w:rPr>
          <w:rFonts w:ascii="Arial" w:hAnsi="Arial" w:cs="Arial"/>
        </w:rPr>
        <w:t xml:space="preserve"> </w:t>
      </w:r>
      <w:r w:rsidR="008E6C6E" w:rsidRPr="00633635">
        <w:rPr>
          <w:rFonts w:ascii="Arial" w:hAnsi="Arial" w:cs="Arial"/>
        </w:rPr>
        <w:t>several</w:t>
      </w:r>
      <w:r w:rsidR="000A042D" w:rsidRPr="00633635">
        <w:rPr>
          <w:rFonts w:ascii="Arial" w:hAnsi="Arial" w:cs="Arial"/>
        </w:rPr>
        <w:t xml:space="preserve"> </w:t>
      </w:r>
      <w:r w:rsidR="00BB1DC8" w:rsidRPr="00633635">
        <w:rPr>
          <w:rFonts w:ascii="Arial" w:hAnsi="Arial" w:cs="Arial"/>
        </w:rPr>
        <w:t xml:space="preserve">important reviews </w:t>
      </w:r>
      <w:r w:rsidRPr="00633635">
        <w:rPr>
          <w:rFonts w:ascii="Arial" w:hAnsi="Arial" w:cs="Arial"/>
        </w:rPr>
        <w:t xml:space="preserve">of the management of </w:t>
      </w:r>
      <w:r w:rsidR="00E648D4" w:rsidRPr="00633635">
        <w:rPr>
          <w:rFonts w:ascii="Arial" w:hAnsi="Arial" w:cs="Arial"/>
        </w:rPr>
        <w:t xml:space="preserve">compliance </w:t>
      </w:r>
      <w:r w:rsidR="00BB1DC8" w:rsidRPr="00633635">
        <w:rPr>
          <w:rFonts w:ascii="Arial" w:hAnsi="Arial" w:cs="Arial"/>
        </w:rPr>
        <w:t xml:space="preserve">and enforcement </w:t>
      </w:r>
      <w:r w:rsidRPr="00633635">
        <w:rPr>
          <w:rFonts w:ascii="Arial" w:hAnsi="Arial" w:cs="Arial"/>
        </w:rPr>
        <w:t>in the Basin</w:t>
      </w:r>
      <w:r w:rsidR="00C22AE6" w:rsidRPr="00633635">
        <w:rPr>
          <w:rFonts w:ascii="Arial" w:hAnsi="Arial" w:cs="Arial"/>
        </w:rPr>
        <w:t>, namely</w:t>
      </w:r>
      <w:r w:rsidRPr="00633635">
        <w:rPr>
          <w:rFonts w:ascii="Arial" w:hAnsi="Arial" w:cs="Arial"/>
        </w:rPr>
        <w:t>:</w:t>
      </w:r>
    </w:p>
    <w:p w14:paraId="03753549" w14:textId="4753BDD7" w:rsidR="00D0033D" w:rsidRPr="00633635" w:rsidRDefault="00E648D4" w:rsidP="00CE63BC">
      <w:pPr>
        <w:pStyle w:val="ListBullet"/>
        <w:numPr>
          <w:ilvl w:val="0"/>
          <w:numId w:val="17"/>
        </w:numPr>
        <w:rPr>
          <w:rFonts w:ascii="Arial" w:hAnsi="Arial" w:cs="Arial"/>
        </w:rPr>
      </w:pPr>
      <w:r w:rsidRPr="00633635">
        <w:rPr>
          <w:rFonts w:ascii="Arial" w:hAnsi="Arial" w:cs="Arial"/>
        </w:rPr>
        <w:t xml:space="preserve">the </w:t>
      </w:r>
      <w:r w:rsidR="00905FAD" w:rsidRPr="00633635">
        <w:rPr>
          <w:rFonts w:ascii="Arial" w:hAnsi="Arial" w:cs="Arial"/>
          <w:i/>
          <w:iCs/>
        </w:rPr>
        <w:t>I</w:t>
      </w:r>
      <w:r w:rsidRPr="00633635">
        <w:rPr>
          <w:rFonts w:ascii="Arial" w:hAnsi="Arial" w:cs="Arial"/>
          <w:i/>
          <w:iCs/>
        </w:rPr>
        <w:t xml:space="preserve">ndependent </w:t>
      </w:r>
      <w:r w:rsidR="003350AC" w:rsidRPr="00633635">
        <w:rPr>
          <w:rFonts w:ascii="Arial" w:hAnsi="Arial" w:cs="Arial"/>
          <w:i/>
          <w:iCs/>
        </w:rPr>
        <w:t>I</w:t>
      </w:r>
      <w:r w:rsidRPr="00633635">
        <w:rPr>
          <w:rFonts w:ascii="Arial" w:hAnsi="Arial" w:cs="Arial"/>
          <w:i/>
          <w:iCs/>
        </w:rPr>
        <w:t xml:space="preserve">nvestigation into NSW </w:t>
      </w:r>
      <w:r w:rsidR="003350AC" w:rsidRPr="00633635">
        <w:rPr>
          <w:rFonts w:ascii="Arial" w:hAnsi="Arial" w:cs="Arial"/>
          <w:i/>
          <w:iCs/>
        </w:rPr>
        <w:t>W</w:t>
      </w:r>
      <w:r w:rsidRPr="00633635">
        <w:rPr>
          <w:rFonts w:ascii="Arial" w:hAnsi="Arial" w:cs="Arial"/>
          <w:i/>
          <w:iCs/>
        </w:rPr>
        <w:t xml:space="preserve">ater </w:t>
      </w:r>
      <w:r w:rsidR="003350AC" w:rsidRPr="00633635">
        <w:rPr>
          <w:rFonts w:ascii="Arial" w:hAnsi="Arial" w:cs="Arial"/>
          <w:i/>
          <w:iCs/>
        </w:rPr>
        <w:t>M</w:t>
      </w:r>
      <w:r w:rsidRPr="00633635">
        <w:rPr>
          <w:rFonts w:ascii="Arial" w:hAnsi="Arial" w:cs="Arial"/>
          <w:i/>
          <w:iCs/>
        </w:rPr>
        <w:t xml:space="preserve">anagement and </w:t>
      </w:r>
      <w:r w:rsidR="003350AC" w:rsidRPr="00633635">
        <w:rPr>
          <w:rFonts w:ascii="Arial" w:hAnsi="Arial" w:cs="Arial"/>
          <w:i/>
          <w:iCs/>
        </w:rPr>
        <w:t>C</w:t>
      </w:r>
      <w:r w:rsidRPr="00633635">
        <w:rPr>
          <w:rFonts w:ascii="Arial" w:hAnsi="Arial" w:cs="Arial"/>
          <w:i/>
          <w:iCs/>
        </w:rPr>
        <w:t>ompliance</w:t>
      </w:r>
      <w:r w:rsidRPr="00633635">
        <w:rPr>
          <w:rFonts w:ascii="Arial" w:hAnsi="Arial" w:cs="Arial"/>
        </w:rPr>
        <w:t xml:space="preserve"> by </w:t>
      </w:r>
      <w:r w:rsidR="003350AC" w:rsidRPr="00633635">
        <w:rPr>
          <w:rFonts w:ascii="Arial" w:hAnsi="Arial" w:cs="Arial"/>
        </w:rPr>
        <w:br/>
      </w:r>
      <w:r w:rsidRPr="00633635">
        <w:rPr>
          <w:rFonts w:ascii="Arial" w:hAnsi="Arial" w:cs="Arial"/>
        </w:rPr>
        <w:t>Ken Matthews AO (2017)</w:t>
      </w:r>
      <w:r w:rsidR="000C4E61" w:rsidRPr="00633635">
        <w:rPr>
          <w:rFonts w:ascii="Arial" w:hAnsi="Arial" w:cs="Arial"/>
        </w:rPr>
        <w:t xml:space="preserve"> (the Ken Matthews report)</w:t>
      </w:r>
    </w:p>
    <w:p w14:paraId="22E6E869" w14:textId="6A2F24BD" w:rsidR="00D0033D" w:rsidRPr="00633635" w:rsidRDefault="00E648D4" w:rsidP="00CE63BC">
      <w:pPr>
        <w:pStyle w:val="ListBullet"/>
        <w:numPr>
          <w:ilvl w:val="0"/>
          <w:numId w:val="17"/>
        </w:numPr>
        <w:rPr>
          <w:rFonts w:ascii="Arial" w:hAnsi="Arial" w:cs="Arial"/>
        </w:rPr>
      </w:pPr>
      <w:r w:rsidRPr="00633635">
        <w:rPr>
          <w:rFonts w:ascii="Arial" w:hAnsi="Arial" w:cs="Arial"/>
        </w:rPr>
        <w:t xml:space="preserve">the </w:t>
      </w:r>
      <w:proofErr w:type="gramStart"/>
      <w:r w:rsidRPr="00633635">
        <w:rPr>
          <w:rFonts w:ascii="Arial" w:hAnsi="Arial" w:cs="Arial"/>
          <w:i/>
          <w:iCs/>
        </w:rPr>
        <w:t>Independent</w:t>
      </w:r>
      <w:proofErr w:type="gramEnd"/>
      <w:r w:rsidRPr="00633635">
        <w:rPr>
          <w:rFonts w:ascii="Arial" w:hAnsi="Arial" w:cs="Arial"/>
          <w:i/>
          <w:iCs/>
        </w:rPr>
        <w:t xml:space="preserve"> audit of Queensland non-urban water measurement and compliance</w:t>
      </w:r>
      <w:r w:rsidRPr="00633635">
        <w:rPr>
          <w:rFonts w:ascii="Arial" w:hAnsi="Arial" w:cs="Arial"/>
        </w:rPr>
        <w:t xml:space="preserve"> (201</w:t>
      </w:r>
      <w:r w:rsidR="00CE63BC" w:rsidRPr="00633635">
        <w:rPr>
          <w:rFonts w:ascii="Arial" w:hAnsi="Arial" w:cs="Arial"/>
        </w:rPr>
        <w:t>8</w:t>
      </w:r>
      <w:r w:rsidRPr="00633635">
        <w:rPr>
          <w:rFonts w:ascii="Arial" w:hAnsi="Arial" w:cs="Arial"/>
        </w:rPr>
        <w:t>)</w:t>
      </w:r>
    </w:p>
    <w:p w14:paraId="16E188DA" w14:textId="073924F4" w:rsidR="00D0033D" w:rsidRPr="00633635" w:rsidRDefault="00BD3C68" w:rsidP="00CE63BC">
      <w:pPr>
        <w:pStyle w:val="ListBullet"/>
        <w:numPr>
          <w:ilvl w:val="0"/>
          <w:numId w:val="17"/>
        </w:numPr>
        <w:rPr>
          <w:rFonts w:ascii="Arial" w:hAnsi="Arial" w:cs="Arial"/>
        </w:rPr>
      </w:pPr>
      <w:r w:rsidRPr="00633635">
        <w:rPr>
          <w:rFonts w:ascii="Arial" w:hAnsi="Arial" w:cs="Arial"/>
        </w:rPr>
        <w:t>the</w:t>
      </w:r>
      <w:r w:rsidR="000023BB" w:rsidRPr="00633635">
        <w:rPr>
          <w:rFonts w:ascii="Arial" w:hAnsi="Arial" w:cs="Arial"/>
        </w:rPr>
        <w:t xml:space="preserve"> </w:t>
      </w:r>
      <w:r w:rsidR="000023BB" w:rsidRPr="00633635">
        <w:rPr>
          <w:rFonts w:ascii="Arial" w:hAnsi="Arial" w:cs="Arial"/>
          <w:i/>
          <w:iCs/>
        </w:rPr>
        <w:t>Murray</w:t>
      </w:r>
      <w:r w:rsidR="00905FAD" w:rsidRPr="00633635">
        <w:rPr>
          <w:rFonts w:ascii="Arial" w:hAnsi="Arial" w:cs="Arial"/>
          <w:i/>
          <w:iCs/>
        </w:rPr>
        <w:t>–</w:t>
      </w:r>
      <w:r w:rsidR="000023BB" w:rsidRPr="00633635">
        <w:rPr>
          <w:rFonts w:ascii="Arial" w:hAnsi="Arial" w:cs="Arial"/>
          <w:i/>
          <w:iCs/>
        </w:rPr>
        <w:t>Darling Basin Water Compliance Review</w:t>
      </w:r>
      <w:r w:rsidRPr="00633635">
        <w:rPr>
          <w:rFonts w:ascii="Arial" w:hAnsi="Arial" w:cs="Arial"/>
        </w:rPr>
        <w:t xml:space="preserve"> (</w:t>
      </w:r>
      <w:proofErr w:type="spellStart"/>
      <w:r w:rsidR="000023BB" w:rsidRPr="00633635">
        <w:rPr>
          <w:rFonts w:ascii="Arial" w:hAnsi="Arial" w:cs="Arial"/>
        </w:rPr>
        <w:t>Cth</w:t>
      </w:r>
      <w:proofErr w:type="spellEnd"/>
      <w:r w:rsidR="000210F5" w:rsidRPr="00633635">
        <w:rPr>
          <w:rFonts w:ascii="Arial" w:hAnsi="Arial" w:cs="Arial"/>
        </w:rPr>
        <w:t>)</w:t>
      </w:r>
      <w:r w:rsidRPr="00633635">
        <w:rPr>
          <w:rFonts w:ascii="Arial" w:hAnsi="Arial" w:cs="Arial"/>
        </w:rPr>
        <w:t xml:space="preserve"> </w:t>
      </w:r>
      <w:r w:rsidR="000210F5" w:rsidRPr="00633635">
        <w:rPr>
          <w:rFonts w:ascii="Arial" w:hAnsi="Arial" w:cs="Arial"/>
        </w:rPr>
        <w:t>(</w:t>
      </w:r>
      <w:r w:rsidRPr="00633635">
        <w:rPr>
          <w:rFonts w:ascii="Arial" w:hAnsi="Arial" w:cs="Arial"/>
        </w:rPr>
        <w:t>2017</w:t>
      </w:r>
      <w:r w:rsidR="000023BB" w:rsidRPr="00633635">
        <w:rPr>
          <w:rFonts w:ascii="Arial" w:hAnsi="Arial" w:cs="Arial"/>
        </w:rPr>
        <w:t>)</w:t>
      </w:r>
      <w:r w:rsidR="00EC0FD2" w:rsidRPr="00633635">
        <w:rPr>
          <w:rFonts w:ascii="Arial" w:hAnsi="Arial" w:cs="Arial"/>
        </w:rPr>
        <w:t xml:space="preserve"> (</w:t>
      </w:r>
      <w:r w:rsidR="0018698D" w:rsidRPr="00633635">
        <w:rPr>
          <w:rFonts w:ascii="Arial" w:hAnsi="Arial" w:cs="Arial"/>
        </w:rPr>
        <w:t xml:space="preserve">the </w:t>
      </w:r>
      <w:r w:rsidR="00EC0FD2" w:rsidRPr="00633635">
        <w:rPr>
          <w:rFonts w:ascii="Arial" w:hAnsi="Arial" w:cs="Arial"/>
        </w:rPr>
        <w:t>Basin Compliance Review)</w:t>
      </w:r>
      <w:r w:rsidR="000023BB" w:rsidRPr="00633635">
        <w:rPr>
          <w:rFonts w:ascii="Arial" w:hAnsi="Arial" w:cs="Arial"/>
        </w:rPr>
        <w:t>.</w:t>
      </w:r>
    </w:p>
    <w:p w14:paraId="77DF10AC" w14:textId="21B7D7F8" w:rsidR="00E648D4" w:rsidRPr="00633635" w:rsidRDefault="00F93B97" w:rsidP="00E65C6C">
      <w:pPr>
        <w:rPr>
          <w:rFonts w:ascii="Arial" w:hAnsi="Arial" w:cs="Arial"/>
        </w:rPr>
      </w:pPr>
      <w:r w:rsidRPr="00633635">
        <w:rPr>
          <w:rFonts w:ascii="Arial" w:hAnsi="Arial" w:cs="Arial"/>
        </w:rPr>
        <w:t xml:space="preserve">Each of these reviews highlighted areas of concern that needed to be addressed </w:t>
      </w:r>
      <w:r w:rsidR="00BD3C68" w:rsidRPr="00633635">
        <w:rPr>
          <w:rFonts w:ascii="Arial" w:hAnsi="Arial" w:cs="Arial"/>
        </w:rPr>
        <w:t xml:space="preserve">to maintain </w:t>
      </w:r>
      <w:r w:rsidRPr="00633635">
        <w:rPr>
          <w:rFonts w:ascii="Arial" w:hAnsi="Arial" w:cs="Arial"/>
        </w:rPr>
        <w:t xml:space="preserve">community trust and confidence in the effectiveness of </w:t>
      </w:r>
      <w:r w:rsidR="0018698D" w:rsidRPr="00633635">
        <w:rPr>
          <w:rFonts w:ascii="Arial" w:hAnsi="Arial" w:cs="Arial"/>
        </w:rPr>
        <w:t xml:space="preserve">compliance with the </w:t>
      </w:r>
      <w:r w:rsidRPr="00633635">
        <w:rPr>
          <w:rFonts w:ascii="Arial" w:hAnsi="Arial" w:cs="Arial"/>
        </w:rPr>
        <w:t>Basin Plan.</w:t>
      </w:r>
    </w:p>
    <w:p w14:paraId="761BF51D" w14:textId="000F5FFB" w:rsidR="00E648D4" w:rsidRPr="00633635" w:rsidRDefault="00EC0FD2" w:rsidP="00E269A5">
      <w:pPr>
        <w:rPr>
          <w:rFonts w:ascii="Arial" w:hAnsi="Arial" w:cs="Arial"/>
        </w:rPr>
      </w:pPr>
      <w:r w:rsidRPr="00633635">
        <w:rPr>
          <w:rFonts w:ascii="Arial" w:hAnsi="Arial" w:cs="Arial"/>
        </w:rPr>
        <w:t>A particular</w:t>
      </w:r>
      <w:r w:rsidR="005744BE" w:rsidRPr="00633635">
        <w:rPr>
          <w:rFonts w:ascii="Arial" w:hAnsi="Arial" w:cs="Arial"/>
        </w:rPr>
        <w:t xml:space="preserve"> recommendation of</w:t>
      </w:r>
      <w:r w:rsidR="00E269A5" w:rsidRPr="00633635">
        <w:rPr>
          <w:rFonts w:ascii="Arial" w:hAnsi="Arial" w:cs="Arial"/>
        </w:rPr>
        <w:t xml:space="preserve"> the</w:t>
      </w:r>
      <w:r w:rsidR="005744BE" w:rsidRPr="00633635">
        <w:rPr>
          <w:rFonts w:ascii="Arial" w:hAnsi="Arial" w:cs="Arial"/>
        </w:rPr>
        <w:t xml:space="preserve"> </w:t>
      </w:r>
      <w:r w:rsidRPr="00633635">
        <w:rPr>
          <w:rFonts w:ascii="Arial" w:hAnsi="Arial" w:cs="Arial"/>
        </w:rPr>
        <w:t>Basin Compliance Review was for</w:t>
      </w:r>
      <w:r w:rsidR="005744BE" w:rsidRPr="00633635">
        <w:rPr>
          <w:rFonts w:ascii="Arial" w:hAnsi="Arial" w:cs="Arial"/>
        </w:rPr>
        <w:t xml:space="preserve"> the Australian Government</w:t>
      </w:r>
      <w:r w:rsidR="00E269A5" w:rsidRPr="00633635">
        <w:rPr>
          <w:rFonts w:ascii="Arial" w:hAnsi="Arial" w:cs="Arial"/>
        </w:rPr>
        <w:t xml:space="preserve"> and</w:t>
      </w:r>
      <w:r w:rsidR="005744BE" w:rsidRPr="00633635">
        <w:rPr>
          <w:rFonts w:ascii="Arial" w:hAnsi="Arial" w:cs="Arial"/>
        </w:rPr>
        <w:t xml:space="preserve"> the</w:t>
      </w:r>
      <w:r w:rsidR="00E269A5" w:rsidRPr="00633635">
        <w:rPr>
          <w:rFonts w:ascii="Arial" w:hAnsi="Arial" w:cs="Arial"/>
        </w:rPr>
        <w:t xml:space="preserve"> </w:t>
      </w:r>
      <w:r w:rsidR="000210F5" w:rsidRPr="00633635">
        <w:rPr>
          <w:rFonts w:ascii="Arial" w:hAnsi="Arial" w:cs="Arial"/>
        </w:rPr>
        <w:t xml:space="preserve">Basin </w:t>
      </w:r>
      <w:r w:rsidR="0018698D" w:rsidRPr="00633635">
        <w:rPr>
          <w:rFonts w:ascii="Arial" w:hAnsi="Arial" w:cs="Arial"/>
        </w:rPr>
        <w:t xml:space="preserve">states </w:t>
      </w:r>
      <w:r w:rsidRPr="00633635">
        <w:rPr>
          <w:rFonts w:ascii="Arial" w:hAnsi="Arial" w:cs="Arial"/>
        </w:rPr>
        <w:t>to commit to</w:t>
      </w:r>
      <w:r w:rsidR="00E269A5" w:rsidRPr="00633635">
        <w:rPr>
          <w:rFonts w:ascii="Arial" w:hAnsi="Arial" w:cs="Arial"/>
        </w:rPr>
        <w:t xml:space="preserve"> </w:t>
      </w:r>
      <w:r w:rsidR="005744BE" w:rsidRPr="00633635">
        <w:rPr>
          <w:rFonts w:ascii="Arial" w:hAnsi="Arial" w:cs="Arial"/>
        </w:rPr>
        <w:t xml:space="preserve">the </w:t>
      </w:r>
      <w:hyperlink r:id="rId24" w:history="1">
        <w:r w:rsidR="005744BE" w:rsidRPr="00633635">
          <w:rPr>
            <w:rStyle w:val="Hyperlink"/>
            <w:rFonts w:ascii="Arial" w:hAnsi="Arial" w:cs="Arial"/>
            <w:i/>
            <w:iCs/>
          </w:rPr>
          <w:t>Murray–Darling Basin Compliance Compact</w:t>
        </w:r>
      </w:hyperlink>
      <w:r w:rsidRPr="00633635">
        <w:rPr>
          <w:rFonts w:ascii="Arial" w:hAnsi="Arial" w:cs="Arial"/>
          <w:i/>
          <w:iCs/>
        </w:rPr>
        <w:t xml:space="preserve"> </w:t>
      </w:r>
      <w:r w:rsidRPr="00633635">
        <w:rPr>
          <w:rFonts w:ascii="Arial" w:hAnsi="Arial" w:cs="Arial"/>
        </w:rPr>
        <w:t>(the Compliance Compact).</w:t>
      </w:r>
      <w:r w:rsidR="005744BE" w:rsidRPr="00633635">
        <w:rPr>
          <w:rFonts w:ascii="Arial" w:hAnsi="Arial" w:cs="Arial"/>
        </w:rPr>
        <w:t xml:space="preserve"> The Compliance Co</w:t>
      </w:r>
      <w:r w:rsidR="006F31B5" w:rsidRPr="00633635">
        <w:rPr>
          <w:rFonts w:ascii="Arial" w:hAnsi="Arial" w:cs="Arial"/>
        </w:rPr>
        <w:t>m</w:t>
      </w:r>
      <w:r w:rsidR="005744BE" w:rsidRPr="00633635">
        <w:rPr>
          <w:rFonts w:ascii="Arial" w:hAnsi="Arial" w:cs="Arial"/>
        </w:rPr>
        <w:t>p</w:t>
      </w:r>
      <w:r w:rsidR="006F31B5" w:rsidRPr="00633635">
        <w:rPr>
          <w:rFonts w:ascii="Arial" w:hAnsi="Arial" w:cs="Arial"/>
        </w:rPr>
        <w:t>act</w:t>
      </w:r>
      <w:r w:rsidR="00E269A5" w:rsidRPr="00633635">
        <w:rPr>
          <w:rFonts w:ascii="Arial" w:hAnsi="Arial" w:cs="Arial"/>
        </w:rPr>
        <w:t xml:space="preserve"> </w:t>
      </w:r>
      <w:r w:rsidR="005744BE" w:rsidRPr="00633635">
        <w:rPr>
          <w:rFonts w:ascii="Arial" w:hAnsi="Arial" w:cs="Arial"/>
        </w:rPr>
        <w:t>committed</w:t>
      </w:r>
      <w:r w:rsidR="00E269A5" w:rsidRPr="00633635">
        <w:rPr>
          <w:rFonts w:ascii="Arial" w:hAnsi="Arial" w:cs="Arial"/>
        </w:rPr>
        <w:t xml:space="preserve"> all parties to a number of actions under five key themes of compliance and enforcement:</w:t>
      </w:r>
    </w:p>
    <w:p w14:paraId="30645F30" w14:textId="784DBAB5" w:rsidR="00F93B97" w:rsidRPr="00633635" w:rsidRDefault="00F93B97" w:rsidP="00F93B97">
      <w:pPr>
        <w:pStyle w:val="ListParagraph"/>
        <w:numPr>
          <w:ilvl w:val="0"/>
          <w:numId w:val="10"/>
        </w:numPr>
        <w:rPr>
          <w:rFonts w:ascii="Arial" w:hAnsi="Arial" w:cs="Arial"/>
          <w:sz w:val="20"/>
          <w:szCs w:val="20"/>
        </w:rPr>
      </w:pPr>
      <w:r w:rsidRPr="00633635">
        <w:rPr>
          <w:rFonts w:ascii="Arial" w:hAnsi="Arial" w:cs="Arial"/>
          <w:sz w:val="20"/>
          <w:szCs w:val="20"/>
        </w:rPr>
        <w:t>Transparency and accountability</w:t>
      </w:r>
    </w:p>
    <w:p w14:paraId="59009A6D" w14:textId="38101E22" w:rsidR="00F93B97" w:rsidRPr="00633635" w:rsidRDefault="00F93B97" w:rsidP="00F93B97">
      <w:pPr>
        <w:pStyle w:val="ListParagraph"/>
        <w:numPr>
          <w:ilvl w:val="0"/>
          <w:numId w:val="10"/>
        </w:numPr>
        <w:rPr>
          <w:rFonts w:ascii="Arial" w:hAnsi="Arial" w:cs="Arial"/>
          <w:sz w:val="20"/>
          <w:szCs w:val="20"/>
        </w:rPr>
      </w:pPr>
      <w:r w:rsidRPr="00633635">
        <w:rPr>
          <w:rFonts w:ascii="Arial" w:hAnsi="Arial" w:cs="Arial"/>
          <w:sz w:val="20"/>
          <w:szCs w:val="20"/>
        </w:rPr>
        <w:t>Compliance and enforcement frameworks</w:t>
      </w:r>
    </w:p>
    <w:p w14:paraId="5D60E2C1" w14:textId="097A8A43" w:rsidR="00F93B97" w:rsidRPr="00633635" w:rsidRDefault="00F93B97" w:rsidP="00F93B97">
      <w:pPr>
        <w:pStyle w:val="ListParagraph"/>
        <w:numPr>
          <w:ilvl w:val="0"/>
          <w:numId w:val="10"/>
        </w:numPr>
        <w:rPr>
          <w:rFonts w:ascii="Arial" w:hAnsi="Arial" w:cs="Arial"/>
          <w:sz w:val="20"/>
          <w:szCs w:val="20"/>
        </w:rPr>
      </w:pPr>
      <w:r w:rsidRPr="00633635">
        <w:rPr>
          <w:rFonts w:ascii="Arial" w:hAnsi="Arial" w:cs="Arial"/>
          <w:sz w:val="20"/>
          <w:szCs w:val="20"/>
        </w:rPr>
        <w:t>Metering and measurement</w:t>
      </w:r>
    </w:p>
    <w:p w14:paraId="3D16D600" w14:textId="2BAF5F6A" w:rsidR="00F93B97" w:rsidRPr="00633635" w:rsidRDefault="00F93B97" w:rsidP="00F93B97">
      <w:pPr>
        <w:pStyle w:val="ListParagraph"/>
        <w:numPr>
          <w:ilvl w:val="0"/>
          <w:numId w:val="10"/>
        </w:numPr>
        <w:rPr>
          <w:rFonts w:ascii="Arial" w:hAnsi="Arial" w:cs="Arial"/>
          <w:sz w:val="20"/>
          <w:szCs w:val="20"/>
        </w:rPr>
      </w:pPr>
      <w:r w:rsidRPr="00633635">
        <w:rPr>
          <w:rFonts w:ascii="Arial" w:hAnsi="Arial" w:cs="Arial"/>
          <w:sz w:val="20"/>
          <w:szCs w:val="20"/>
        </w:rPr>
        <w:t>Finalising water resource plans</w:t>
      </w:r>
    </w:p>
    <w:p w14:paraId="01EC2952" w14:textId="594D1D6A" w:rsidR="00F93B97" w:rsidRPr="00633635" w:rsidRDefault="00F93B97" w:rsidP="00F93B97">
      <w:pPr>
        <w:pStyle w:val="ListParagraph"/>
        <w:numPr>
          <w:ilvl w:val="0"/>
          <w:numId w:val="10"/>
        </w:numPr>
        <w:rPr>
          <w:rFonts w:ascii="Arial" w:hAnsi="Arial" w:cs="Arial"/>
          <w:sz w:val="20"/>
          <w:szCs w:val="20"/>
        </w:rPr>
      </w:pPr>
      <w:r w:rsidRPr="00633635">
        <w:rPr>
          <w:rFonts w:ascii="Arial" w:hAnsi="Arial" w:cs="Arial"/>
          <w:sz w:val="20"/>
          <w:szCs w:val="20"/>
        </w:rPr>
        <w:t>Protecting and managing environmental water</w:t>
      </w:r>
    </w:p>
    <w:p w14:paraId="560FAB4A" w14:textId="4CC65554" w:rsidR="00F25F8F" w:rsidRPr="00633635" w:rsidRDefault="000D356E" w:rsidP="00E65C6C">
      <w:pPr>
        <w:rPr>
          <w:rFonts w:ascii="Arial" w:hAnsi="Arial" w:cs="Arial"/>
          <w:u w:color="FF40FF"/>
        </w:rPr>
      </w:pPr>
      <w:r w:rsidRPr="00633635">
        <w:rPr>
          <w:rFonts w:ascii="Arial" w:hAnsi="Arial" w:cs="Arial"/>
        </w:rPr>
        <w:t>In</w:t>
      </w:r>
      <w:r w:rsidR="00E65C6C" w:rsidRPr="00633635">
        <w:rPr>
          <w:rFonts w:ascii="Arial" w:hAnsi="Arial" w:cs="Arial"/>
        </w:rPr>
        <w:t xml:space="preserve"> 2021 </w:t>
      </w:r>
      <w:r w:rsidR="006F31B5" w:rsidRPr="00633635">
        <w:rPr>
          <w:rFonts w:ascii="Arial" w:hAnsi="Arial" w:cs="Arial"/>
        </w:rPr>
        <w:t>the parties reviewed the</w:t>
      </w:r>
      <w:r w:rsidR="00E65C6C" w:rsidRPr="00633635">
        <w:rPr>
          <w:rFonts w:ascii="Arial" w:hAnsi="Arial" w:cs="Arial"/>
        </w:rPr>
        <w:t xml:space="preserve"> Compliance Compact</w:t>
      </w:r>
      <w:r w:rsidR="006B5377" w:rsidRPr="00633635">
        <w:rPr>
          <w:rFonts w:ascii="Arial" w:hAnsi="Arial" w:cs="Arial"/>
        </w:rPr>
        <w:t xml:space="preserve"> </w:t>
      </w:r>
      <w:r w:rsidR="006F31B5" w:rsidRPr="00633635">
        <w:rPr>
          <w:rFonts w:ascii="Arial" w:hAnsi="Arial" w:cs="Arial"/>
        </w:rPr>
        <w:t>to see</w:t>
      </w:r>
      <w:r w:rsidR="006B5377" w:rsidRPr="00633635">
        <w:rPr>
          <w:rFonts w:ascii="Arial" w:hAnsi="Arial" w:cs="Arial"/>
        </w:rPr>
        <w:t xml:space="preserve"> whether </w:t>
      </w:r>
      <w:r w:rsidR="00EC0FD2" w:rsidRPr="00633635">
        <w:rPr>
          <w:rFonts w:ascii="Arial" w:hAnsi="Arial" w:cs="Arial"/>
        </w:rPr>
        <w:t>the</w:t>
      </w:r>
      <w:r w:rsidR="006F31B5" w:rsidRPr="00633635">
        <w:rPr>
          <w:rFonts w:ascii="Arial" w:hAnsi="Arial" w:cs="Arial"/>
        </w:rPr>
        <w:t xml:space="preserve"> intended outcomes</w:t>
      </w:r>
      <w:r w:rsidR="00EC0FD2" w:rsidRPr="00633635">
        <w:rPr>
          <w:rFonts w:ascii="Arial" w:hAnsi="Arial" w:cs="Arial"/>
        </w:rPr>
        <w:t xml:space="preserve"> were being achieved</w:t>
      </w:r>
      <w:r w:rsidR="006B5377" w:rsidRPr="00633635">
        <w:rPr>
          <w:rFonts w:ascii="Arial" w:hAnsi="Arial" w:cs="Arial"/>
        </w:rPr>
        <w:t xml:space="preserve">. </w:t>
      </w:r>
      <w:r w:rsidR="00B07E8C" w:rsidRPr="00633635">
        <w:rPr>
          <w:rFonts w:ascii="Arial" w:hAnsi="Arial" w:cs="Arial"/>
        </w:rPr>
        <w:t>That</w:t>
      </w:r>
      <w:r w:rsidR="006B5377" w:rsidRPr="00633635">
        <w:rPr>
          <w:rFonts w:ascii="Arial" w:hAnsi="Arial" w:cs="Arial"/>
        </w:rPr>
        <w:t xml:space="preserve"> review</w:t>
      </w:r>
      <w:r w:rsidR="00E65C6C" w:rsidRPr="00633635">
        <w:rPr>
          <w:rFonts w:ascii="Arial" w:hAnsi="Arial" w:cs="Arial"/>
        </w:rPr>
        <w:t xml:space="preserve"> acknowledged that</w:t>
      </w:r>
      <w:r w:rsidRPr="00633635">
        <w:rPr>
          <w:rFonts w:ascii="Arial" w:hAnsi="Arial" w:cs="Arial"/>
        </w:rPr>
        <w:t xml:space="preserve"> </w:t>
      </w:r>
      <w:r w:rsidR="00B972EE" w:rsidRPr="00633635">
        <w:rPr>
          <w:rFonts w:ascii="Arial" w:hAnsi="Arial" w:cs="Arial"/>
        </w:rPr>
        <w:t>‘</w:t>
      </w:r>
      <w:r w:rsidRPr="00633635">
        <w:rPr>
          <w:rFonts w:ascii="Arial" w:hAnsi="Arial" w:cs="Arial"/>
        </w:rPr>
        <w:t>since the Compact’s inception, the Basin has seen water compliance improve in many areas and metering become more widespread and accurate</w:t>
      </w:r>
      <w:r w:rsidR="00B972EE" w:rsidRPr="00633635">
        <w:rPr>
          <w:rFonts w:ascii="Arial" w:hAnsi="Arial" w:cs="Arial"/>
        </w:rPr>
        <w:t>’.</w:t>
      </w:r>
      <w:r w:rsidRPr="00633635">
        <w:rPr>
          <w:rStyle w:val="FootnoteReference"/>
          <w:rFonts w:ascii="Arial" w:hAnsi="Arial" w:cs="Arial"/>
        </w:rPr>
        <w:footnoteReference w:id="2"/>
      </w:r>
      <w:r w:rsidRPr="00633635">
        <w:rPr>
          <w:rFonts w:ascii="Arial" w:hAnsi="Arial" w:cs="Arial"/>
          <w:u w:color="FF40FF"/>
        </w:rPr>
        <w:t xml:space="preserve"> </w:t>
      </w:r>
    </w:p>
    <w:p w14:paraId="09FCDD99" w14:textId="0A547AB2" w:rsidR="00E65C6C" w:rsidRPr="00633635" w:rsidRDefault="000D356E" w:rsidP="00E65C6C">
      <w:pPr>
        <w:rPr>
          <w:rFonts w:ascii="Arial" w:hAnsi="Arial" w:cs="Arial"/>
          <w:u w:color="FF40FF"/>
        </w:rPr>
      </w:pPr>
      <w:r w:rsidRPr="00633635">
        <w:rPr>
          <w:rFonts w:ascii="Arial" w:hAnsi="Arial" w:cs="Arial"/>
          <w:u w:color="FF40FF"/>
        </w:rPr>
        <w:t>Importantly</w:t>
      </w:r>
      <w:r w:rsidR="00B972EE" w:rsidRPr="00633635">
        <w:rPr>
          <w:rFonts w:ascii="Arial" w:hAnsi="Arial" w:cs="Arial"/>
          <w:u w:color="FF40FF"/>
        </w:rPr>
        <w:t>,</w:t>
      </w:r>
      <w:r w:rsidRPr="00633635">
        <w:rPr>
          <w:rFonts w:ascii="Arial" w:hAnsi="Arial" w:cs="Arial"/>
          <w:u w:color="FF40FF"/>
        </w:rPr>
        <w:t xml:space="preserve"> however, this review also noted that </w:t>
      </w:r>
      <w:r w:rsidR="00B972EE" w:rsidRPr="00633635">
        <w:rPr>
          <w:rFonts w:ascii="Arial" w:hAnsi="Arial" w:cs="Arial"/>
          <w:u w:color="FF40FF"/>
        </w:rPr>
        <w:t>‘</w:t>
      </w:r>
      <w:r w:rsidRPr="00633635">
        <w:rPr>
          <w:rFonts w:ascii="Arial" w:hAnsi="Arial" w:cs="Arial"/>
          <w:u w:color="FF40FF"/>
        </w:rPr>
        <w:t>Notwithstanding these improvements, some water users … identified complex and impenetrable water compliance arrangements as a material impediment to building trust and confidence in water management</w:t>
      </w:r>
      <w:r w:rsidR="00B972EE" w:rsidRPr="00633635">
        <w:rPr>
          <w:rFonts w:ascii="Arial" w:hAnsi="Arial" w:cs="Arial"/>
          <w:u w:color="FF40FF"/>
        </w:rPr>
        <w:t>’</w:t>
      </w:r>
      <w:r w:rsidRPr="00633635">
        <w:rPr>
          <w:rFonts w:ascii="Arial" w:hAnsi="Arial" w:cs="Arial"/>
          <w:u w:color="FF40FF"/>
        </w:rPr>
        <w:t>.</w:t>
      </w:r>
      <w:r w:rsidRPr="00633635">
        <w:rPr>
          <w:rStyle w:val="FootnoteReference"/>
          <w:rFonts w:ascii="Arial" w:hAnsi="Arial" w:cs="Arial"/>
          <w:u w:color="FF40FF"/>
        </w:rPr>
        <w:footnoteReference w:id="3"/>
      </w:r>
      <w:r w:rsidR="00E65C6C" w:rsidRPr="00633635">
        <w:rPr>
          <w:rFonts w:ascii="Arial" w:hAnsi="Arial" w:cs="Arial"/>
          <w:u w:color="FF40FF"/>
        </w:rPr>
        <w:t xml:space="preserve"> </w:t>
      </w:r>
    </w:p>
    <w:p w14:paraId="65F3BB0E" w14:textId="77777777" w:rsidR="00134417" w:rsidRPr="00633635" w:rsidRDefault="00134417" w:rsidP="00E65C6C">
      <w:pPr>
        <w:rPr>
          <w:rFonts w:ascii="Arial" w:hAnsi="Arial" w:cs="Arial"/>
          <w:u w:color="FF40FF"/>
        </w:rPr>
      </w:pPr>
    </w:p>
    <w:p w14:paraId="60007B53" w14:textId="48174299" w:rsidR="003B3811" w:rsidRPr="00633635" w:rsidRDefault="00C5102F" w:rsidP="009C25D9">
      <w:pPr>
        <w:pStyle w:val="Heading1"/>
        <w:rPr>
          <w:rFonts w:ascii="Arial" w:hAnsi="Arial" w:cs="Arial"/>
        </w:rPr>
      </w:pPr>
      <w:bookmarkStart w:id="6" w:name="_Toc112142174"/>
      <w:r w:rsidRPr="00633635">
        <w:rPr>
          <w:rFonts w:ascii="Arial" w:hAnsi="Arial" w:cs="Arial"/>
        </w:rPr>
        <w:lastRenderedPageBreak/>
        <w:t xml:space="preserve">Part 1: </w:t>
      </w:r>
      <w:r w:rsidR="00EC0FD2" w:rsidRPr="00633635">
        <w:rPr>
          <w:rFonts w:ascii="Arial" w:hAnsi="Arial" w:cs="Arial"/>
        </w:rPr>
        <w:t xml:space="preserve">Basin </w:t>
      </w:r>
      <w:r w:rsidR="00EC0E8D" w:rsidRPr="00633635">
        <w:rPr>
          <w:rFonts w:ascii="Arial" w:hAnsi="Arial" w:cs="Arial"/>
        </w:rPr>
        <w:t xml:space="preserve">state </w:t>
      </w:r>
      <w:r w:rsidRPr="00633635">
        <w:rPr>
          <w:rFonts w:ascii="Arial" w:hAnsi="Arial" w:cs="Arial"/>
        </w:rPr>
        <w:t>summaries</w:t>
      </w:r>
      <w:bookmarkEnd w:id="6"/>
    </w:p>
    <w:p w14:paraId="16C3219E" w14:textId="59072780" w:rsidR="00682E26" w:rsidRPr="00633635" w:rsidRDefault="003A4A78" w:rsidP="000D54C5">
      <w:pPr>
        <w:rPr>
          <w:rFonts w:ascii="Arial" w:hAnsi="Arial" w:cs="Arial"/>
        </w:rPr>
      </w:pPr>
      <w:r w:rsidRPr="00633635">
        <w:rPr>
          <w:rFonts w:ascii="Arial" w:hAnsi="Arial" w:cs="Arial"/>
        </w:rPr>
        <w:t>T</w:t>
      </w:r>
      <w:r w:rsidR="00C5102F" w:rsidRPr="00633635">
        <w:rPr>
          <w:rFonts w:ascii="Arial" w:hAnsi="Arial" w:cs="Arial"/>
        </w:rPr>
        <w:t xml:space="preserve">his section </w:t>
      </w:r>
      <w:r w:rsidR="00B972EE" w:rsidRPr="00633635">
        <w:rPr>
          <w:rFonts w:ascii="Arial" w:hAnsi="Arial" w:cs="Arial"/>
        </w:rPr>
        <w:t>gives</w:t>
      </w:r>
      <w:r w:rsidR="00C5102F" w:rsidRPr="00633635">
        <w:rPr>
          <w:rFonts w:ascii="Arial" w:hAnsi="Arial" w:cs="Arial"/>
        </w:rPr>
        <w:t xml:space="preserve"> a</w:t>
      </w:r>
      <w:r w:rsidR="0018795E" w:rsidRPr="00633635">
        <w:rPr>
          <w:rFonts w:ascii="Arial" w:hAnsi="Arial" w:cs="Arial"/>
        </w:rPr>
        <w:t xml:space="preserve"> brief</w:t>
      </w:r>
      <w:r w:rsidR="00C5102F" w:rsidRPr="00633635">
        <w:rPr>
          <w:rFonts w:ascii="Arial" w:hAnsi="Arial" w:cs="Arial"/>
        </w:rPr>
        <w:t xml:space="preserve"> overview of the compliance and enforcement </w:t>
      </w:r>
      <w:r w:rsidR="000D54C5" w:rsidRPr="00633635">
        <w:rPr>
          <w:rFonts w:ascii="Arial" w:hAnsi="Arial" w:cs="Arial"/>
        </w:rPr>
        <w:t>frameworks and practices</w:t>
      </w:r>
      <w:r w:rsidR="00C5102F" w:rsidRPr="00633635">
        <w:rPr>
          <w:rFonts w:ascii="Arial" w:hAnsi="Arial" w:cs="Arial"/>
        </w:rPr>
        <w:t xml:space="preserve"> in each Basin </w:t>
      </w:r>
      <w:r w:rsidR="0018795E" w:rsidRPr="00633635">
        <w:rPr>
          <w:rFonts w:ascii="Arial" w:hAnsi="Arial" w:cs="Arial"/>
        </w:rPr>
        <w:t>state</w:t>
      </w:r>
      <w:r w:rsidR="00EC0FD2" w:rsidRPr="00633635">
        <w:rPr>
          <w:rFonts w:ascii="Arial" w:hAnsi="Arial" w:cs="Arial"/>
        </w:rPr>
        <w:t xml:space="preserve">, using evidence and data gathered during Mr Pearson’s review, supplemented by existing </w:t>
      </w:r>
      <w:r w:rsidRPr="00633635">
        <w:rPr>
          <w:rFonts w:ascii="Arial" w:hAnsi="Arial" w:cs="Arial"/>
        </w:rPr>
        <w:t>publicly available information</w:t>
      </w:r>
      <w:r w:rsidR="00EC0FD2" w:rsidRPr="00633635">
        <w:rPr>
          <w:rFonts w:ascii="Arial" w:hAnsi="Arial" w:cs="Arial"/>
        </w:rPr>
        <w:t xml:space="preserve">. </w:t>
      </w:r>
    </w:p>
    <w:p w14:paraId="23BFAB26" w14:textId="381D50C8" w:rsidR="00EC0FD2" w:rsidRPr="00633635" w:rsidRDefault="00EC0FD2" w:rsidP="000D54C5">
      <w:pPr>
        <w:rPr>
          <w:rFonts w:ascii="Arial" w:hAnsi="Arial" w:cs="Arial"/>
        </w:rPr>
      </w:pPr>
      <w:r w:rsidRPr="00633635">
        <w:rPr>
          <w:rFonts w:ascii="Arial" w:hAnsi="Arial" w:cs="Arial"/>
        </w:rPr>
        <w:t xml:space="preserve">Each Basin </w:t>
      </w:r>
      <w:r w:rsidR="00C73D08" w:rsidRPr="00633635">
        <w:rPr>
          <w:rFonts w:ascii="Arial" w:hAnsi="Arial" w:cs="Arial"/>
        </w:rPr>
        <w:t xml:space="preserve">state </w:t>
      </w:r>
      <w:r w:rsidRPr="00633635">
        <w:rPr>
          <w:rFonts w:ascii="Arial" w:hAnsi="Arial" w:cs="Arial"/>
        </w:rPr>
        <w:t xml:space="preserve">summary is divided into </w:t>
      </w:r>
      <w:r w:rsidR="00A9207A" w:rsidRPr="00633635">
        <w:rPr>
          <w:rFonts w:ascii="Arial" w:hAnsi="Arial" w:cs="Arial"/>
        </w:rPr>
        <w:t>five</w:t>
      </w:r>
      <w:r w:rsidRPr="00633635">
        <w:rPr>
          <w:rFonts w:ascii="Arial" w:hAnsi="Arial" w:cs="Arial"/>
        </w:rPr>
        <w:t xml:space="preserve"> parts</w:t>
      </w:r>
      <w:r w:rsidR="00A9207A" w:rsidRPr="00633635">
        <w:rPr>
          <w:rFonts w:ascii="Arial" w:hAnsi="Arial" w:cs="Arial"/>
        </w:rPr>
        <w:t>:</w:t>
      </w:r>
    </w:p>
    <w:p w14:paraId="2348F99A" w14:textId="297D9D90" w:rsidR="00A9207A" w:rsidRPr="00633635" w:rsidRDefault="00A9207A" w:rsidP="00D831E3">
      <w:pPr>
        <w:pStyle w:val="ListParagraph"/>
        <w:numPr>
          <w:ilvl w:val="0"/>
          <w:numId w:val="25"/>
        </w:numPr>
        <w:rPr>
          <w:rFonts w:ascii="Arial" w:hAnsi="Arial" w:cs="Arial"/>
          <w:sz w:val="20"/>
          <w:szCs w:val="20"/>
        </w:rPr>
      </w:pPr>
      <w:r w:rsidRPr="00633635">
        <w:rPr>
          <w:rFonts w:ascii="Arial" w:hAnsi="Arial" w:cs="Arial"/>
          <w:sz w:val="20"/>
          <w:szCs w:val="20"/>
        </w:rPr>
        <w:t xml:space="preserve">A </w:t>
      </w:r>
      <w:r w:rsidR="00CF2324" w:rsidRPr="00633635">
        <w:rPr>
          <w:rFonts w:ascii="Arial" w:hAnsi="Arial" w:cs="Arial"/>
          <w:sz w:val="20"/>
          <w:szCs w:val="20"/>
        </w:rPr>
        <w:t>high-level</w:t>
      </w:r>
      <w:r w:rsidRPr="00633635">
        <w:rPr>
          <w:rFonts w:ascii="Arial" w:hAnsi="Arial" w:cs="Arial"/>
          <w:sz w:val="20"/>
          <w:szCs w:val="20"/>
        </w:rPr>
        <w:t xml:space="preserve"> overview including the governance of Basin water resources</w:t>
      </w:r>
      <w:r w:rsidR="00CF2324" w:rsidRPr="00633635">
        <w:rPr>
          <w:rFonts w:ascii="Arial" w:hAnsi="Arial" w:cs="Arial"/>
          <w:sz w:val="20"/>
          <w:szCs w:val="20"/>
        </w:rPr>
        <w:t xml:space="preserve"> in that jurisdiction</w:t>
      </w:r>
    </w:p>
    <w:p w14:paraId="02FCE174" w14:textId="06BFA819" w:rsidR="00A9207A" w:rsidRPr="00633635" w:rsidRDefault="00A9207A" w:rsidP="00D831E3">
      <w:pPr>
        <w:pStyle w:val="ListParagraph"/>
        <w:numPr>
          <w:ilvl w:val="0"/>
          <w:numId w:val="25"/>
        </w:numPr>
        <w:rPr>
          <w:rFonts w:ascii="Arial" w:hAnsi="Arial" w:cs="Arial"/>
          <w:sz w:val="20"/>
          <w:szCs w:val="20"/>
        </w:rPr>
      </w:pPr>
      <w:r w:rsidRPr="00633635">
        <w:rPr>
          <w:rFonts w:ascii="Arial" w:hAnsi="Arial" w:cs="Arial"/>
          <w:sz w:val="20"/>
          <w:szCs w:val="20"/>
        </w:rPr>
        <w:t>Metering, measurement, and monitoring</w:t>
      </w:r>
    </w:p>
    <w:p w14:paraId="17E3D75F" w14:textId="2508248E" w:rsidR="00A9207A" w:rsidRPr="00633635" w:rsidRDefault="00A9207A" w:rsidP="00D831E3">
      <w:pPr>
        <w:pStyle w:val="ListParagraph"/>
        <w:numPr>
          <w:ilvl w:val="0"/>
          <w:numId w:val="25"/>
        </w:numPr>
        <w:rPr>
          <w:rFonts w:ascii="Arial" w:hAnsi="Arial" w:cs="Arial"/>
          <w:sz w:val="20"/>
          <w:szCs w:val="20"/>
        </w:rPr>
      </w:pPr>
      <w:r w:rsidRPr="00633635">
        <w:rPr>
          <w:rFonts w:ascii="Arial" w:hAnsi="Arial" w:cs="Arial"/>
          <w:sz w:val="20"/>
          <w:szCs w:val="20"/>
        </w:rPr>
        <w:t>Managing non-compliance</w:t>
      </w:r>
    </w:p>
    <w:p w14:paraId="446F11D6" w14:textId="0726F461" w:rsidR="00A9207A" w:rsidRPr="00633635" w:rsidRDefault="00A9207A" w:rsidP="00D831E3">
      <w:pPr>
        <w:pStyle w:val="ListParagraph"/>
        <w:numPr>
          <w:ilvl w:val="0"/>
          <w:numId w:val="25"/>
        </w:numPr>
        <w:rPr>
          <w:rFonts w:ascii="Arial" w:hAnsi="Arial" w:cs="Arial"/>
          <w:sz w:val="20"/>
          <w:szCs w:val="20"/>
        </w:rPr>
      </w:pPr>
      <w:r w:rsidRPr="00633635">
        <w:rPr>
          <w:rFonts w:ascii="Arial" w:hAnsi="Arial" w:cs="Arial"/>
          <w:sz w:val="20"/>
          <w:szCs w:val="20"/>
        </w:rPr>
        <w:t>Public reporting of compliance and enforcement activities</w:t>
      </w:r>
    </w:p>
    <w:p w14:paraId="7C79DFA9" w14:textId="4D79F3B3" w:rsidR="00A9207A" w:rsidRPr="00633635" w:rsidRDefault="00A9207A" w:rsidP="00D831E3">
      <w:pPr>
        <w:pStyle w:val="ListParagraph"/>
        <w:numPr>
          <w:ilvl w:val="0"/>
          <w:numId w:val="25"/>
        </w:numPr>
        <w:rPr>
          <w:rFonts w:ascii="Arial" w:hAnsi="Arial" w:cs="Arial"/>
          <w:sz w:val="20"/>
          <w:szCs w:val="20"/>
        </w:rPr>
      </w:pPr>
      <w:r w:rsidRPr="00633635">
        <w:rPr>
          <w:rFonts w:ascii="Arial" w:hAnsi="Arial" w:cs="Arial"/>
          <w:sz w:val="20"/>
          <w:szCs w:val="20"/>
        </w:rPr>
        <w:t xml:space="preserve">An independent observation by the Inspector-General </w:t>
      </w:r>
    </w:p>
    <w:p w14:paraId="1334DAA6" w14:textId="1D61213A" w:rsidR="009C25D9" w:rsidRPr="00633635" w:rsidRDefault="009C25D9" w:rsidP="009C25D9">
      <w:pPr>
        <w:pStyle w:val="Heading2"/>
        <w:rPr>
          <w:rFonts w:ascii="Arial" w:hAnsi="Arial" w:cs="Arial"/>
          <w:u w:val="single"/>
        </w:rPr>
      </w:pPr>
      <w:bookmarkStart w:id="7" w:name="_Toc112142175"/>
      <w:r w:rsidRPr="00633635">
        <w:rPr>
          <w:rFonts w:ascii="Arial" w:hAnsi="Arial" w:cs="Arial"/>
          <w:u w:val="single"/>
        </w:rPr>
        <w:t>New South Wales</w:t>
      </w:r>
      <w:bookmarkEnd w:id="7"/>
    </w:p>
    <w:p w14:paraId="32445CC0" w14:textId="0F9140EC" w:rsidR="00A02DC8" w:rsidRPr="00633635" w:rsidRDefault="00A02DC8" w:rsidP="00A02DC8">
      <w:pPr>
        <w:jc w:val="center"/>
        <w:rPr>
          <w:rFonts w:ascii="Arial" w:hAnsi="Arial" w:cs="Arial"/>
        </w:rPr>
      </w:pPr>
      <w:r w:rsidRPr="00633635">
        <w:rPr>
          <w:rFonts w:ascii="Arial" w:hAnsi="Arial" w:cs="Arial"/>
          <w:noProof/>
        </w:rPr>
        <w:drawing>
          <wp:inline distT="0" distB="0" distL="0" distR="0" wp14:anchorId="35A5240E" wp14:editId="3C3FCECA">
            <wp:extent cx="4572635" cy="2743200"/>
            <wp:effectExtent l="0" t="0" r="0" b="0"/>
            <wp:docPr id="11" name="Picture 11" descr="A graph showing that New South Wales accounts for approximately 50% of water taken from the consumptive pool in the Murray Darling Bas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graph showing that New South Wales accounts for approximately 50% of water taken from the consumptive pool in the Murray Darling Basi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72635" cy="2743200"/>
                    </a:xfrm>
                    <a:prstGeom prst="rect">
                      <a:avLst/>
                    </a:prstGeom>
                    <a:noFill/>
                  </pic:spPr>
                </pic:pic>
              </a:graphicData>
            </a:graphic>
          </wp:inline>
        </w:drawing>
      </w:r>
    </w:p>
    <w:p w14:paraId="3B214A14" w14:textId="3D26D8F4" w:rsidR="006B67AC" w:rsidRPr="00633635" w:rsidRDefault="006B67AC" w:rsidP="006B67AC">
      <w:pPr>
        <w:pStyle w:val="Heading3"/>
        <w:rPr>
          <w:rFonts w:ascii="Arial" w:hAnsi="Arial"/>
        </w:rPr>
      </w:pPr>
      <w:r w:rsidRPr="00633635">
        <w:rPr>
          <w:rFonts w:ascii="Arial" w:hAnsi="Arial"/>
        </w:rPr>
        <w:t xml:space="preserve">Overview </w:t>
      </w:r>
    </w:p>
    <w:p w14:paraId="38165A87" w14:textId="2C77DB4C" w:rsidR="009E51E2" w:rsidRPr="00633635" w:rsidRDefault="009E51E2" w:rsidP="002864E7">
      <w:pPr>
        <w:rPr>
          <w:rFonts w:ascii="Arial" w:hAnsi="Arial" w:cs="Arial"/>
        </w:rPr>
      </w:pPr>
      <w:r w:rsidRPr="00633635">
        <w:rPr>
          <w:rFonts w:ascii="Arial" w:hAnsi="Arial" w:cs="Arial"/>
        </w:rPr>
        <w:t>New South Wales</w:t>
      </w:r>
      <w:r w:rsidR="00044167" w:rsidRPr="00633635">
        <w:rPr>
          <w:rFonts w:ascii="Arial" w:hAnsi="Arial" w:cs="Arial"/>
        </w:rPr>
        <w:t xml:space="preserve"> </w:t>
      </w:r>
      <w:r w:rsidRPr="00633635">
        <w:rPr>
          <w:rFonts w:ascii="Arial" w:hAnsi="Arial" w:cs="Arial"/>
        </w:rPr>
        <w:t xml:space="preserve">has the largest </w:t>
      </w:r>
      <w:r w:rsidR="00044167" w:rsidRPr="00633635">
        <w:rPr>
          <w:rFonts w:ascii="Arial" w:hAnsi="Arial" w:cs="Arial"/>
        </w:rPr>
        <w:t xml:space="preserve">area of the </w:t>
      </w:r>
      <w:r w:rsidRPr="00633635">
        <w:rPr>
          <w:rFonts w:ascii="Arial" w:hAnsi="Arial" w:cs="Arial"/>
        </w:rPr>
        <w:t>Murray–Darling Basin</w:t>
      </w:r>
      <w:r w:rsidR="00044167" w:rsidRPr="00633635">
        <w:rPr>
          <w:rFonts w:ascii="Arial" w:hAnsi="Arial" w:cs="Arial"/>
        </w:rPr>
        <w:t xml:space="preserve">, as well as </w:t>
      </w:r>
      <w:r w:rsidRPr="00633635">
        <w:rPr>
          <w:rFonts w:ascii="Arial" w:hAnsi="Arial" w:cs="Arial"/>
        </w:rPr>
        <w:t xml:space="preserve">the largest </w:t>
      </w:r>
      <w:r w:rsidR="00442694" w:rsidRPr="00633635">
        <w:rPr>
          <w:rFonts w:ascii="Arial" w:hAnsi="Arial" w:cs="Arial"/>
        </w:rPr>
        <w:t xml:space="preserve">share of </w:t>
      </w:r>
      <w:r w:rsidRPr="00633635">
        <w:rPr>
          <w:rFonts w:ascii="Arial" w:hAnsi="Arial" w:cs="Arial"/>
        </w:rPr>
        <w:t>water take</w:t>
      </w:r>
      <w:r w:rsidR="00044167" w:rsidRPr="00633635">
        <w:rPr>
          <w:rFonts w:ascii="Arial" w:hAnsi="Arial" w:cs="Arial"/>
        </w:rPr>
        <w:t xml:space="preserve"> </w:t>
      </w:r>
      <w:r w:rsidR="00DA10D4" w:rsidRPr="00633635">
        <w:rPr>
          <w:rFonts w:ascii="Arial" w:hAnsi="Arial" w:cs="Arial"/>
        </w:rPr>
        <w:t>(</w:t>
      </w:r>
      <w:r w:rsidR="00B972EE" w:rsidRPr="00633635">
        <w:rPr>
          <w:rFonts w:ascii="Arial" w:hAnsi="Arial" w:cs="Arial"/>
        </w:rPr>
        <w:t xml:space="preserve">about </w:t>
      </w:r>
      <w:r w:rsidR="00DA10D4" w:rsidRPr="00633635">
        <w:rPr>
          <w:rFonts w:ascii="Arial" w:hAnsi="Arial" w:cs="Arial"/>
        </w:rPr>
        <w:t>50%</w:t>
      </w:r>
      <w:r w:rsidR="00B972EE" w:rsidRPr="00633635">
        <w:rPr>
          <w:rFonts w:ascii="Arial" w:hAnsi="Arial" w:cs="Arial"/>
        </w:rPr>
        <w:t xml:space="preserve"> of the Murray–Darling Basin total</w:t>
      </w:r>
      <w:r w:rsidR="00DA10D4" w:rsidRPr="00633635">
        <w:rPr>
          <w:rFonts w:ascii="Arial" w:hAnsi="Arial" w:cs="Arial"/>
        </w:rPr>
        <w:t>)</w:t>
      </w:r>
      <w:r w:rsidR="00B972EE" w:rsidRPr="00633635">
        <w:rPr>
          <w:rFonts w:ascii="Arial" w:hAnsi="Arial" w:cs="Arial"/>
        </w:rPr>
        <w:t>. There are</w:t>
      </w:r>
      <w:r w:rsidRPr="00633635">
        <w:rPr>
          <w:rFonts w:ascii="Arial" w:hAnsi="Arial" w:cs="Arial"/>
        </w:rPr>
        <w:t xml:space="preserve"> over </w:t>
      </w:r>
      <w:r w:rsidR="00BE7AD4" w:rsidRPr="00633635">
        <w:rPr>
          <w:rFonts w:ascii="Arial" w:hAnsi="Arial" w:cs="Arial"/>
        </w:rPr>
        <w:t>38</w:t>
      </w:r>
      <w:r w:rsidRPr="00633635">
        <w:rPr>
          <w:rFonts w:ascii="Arial" w:hAnsi="Arial" w:cs="Arial"/>
        </w:rPr>
        <w:t>,000</w:t>
      </w:r>
      <w:r w:rsidR="00BE7AD4" w:rsidRPr="00633635">
        <w:rPr>
          <w:rFonts w:ascii="Arial" w:hAnsi="Arial" w:cs="Arial"/>
        </w:rPr>
        <w:t xml:space="preserve"> water access</w:t>
      </w:r>
      <w:r w:rsidRPr="00633635">
        <w:rPr>
          <w:rFonts w:ascii="Arial" w:hAnsi="Arial" w:cs="Arial"/>
        </w:rPr>
        <w:t xml:space="preserve"> licences</w:t>
      </w:r>
      <w:r w:rsidR="00044167" w:rsidRPr="00633635">
        <w:rPr>
          <w:rFonts w:ascii="Arial" w:hAnsi="Arial" w:cs="Arial"/>
        </w:rPr>
        <w:t xml:space="preserve"> in NSW.</w:t>
      </w:r>
    </w:p>
    <w:p w14:paraId="0B029CCE" w14:textId="3A45E075" w:rsidR="00111351" w:rsidRPr="00633635" w:rsidRDefault="00111351" w:rsidP="002864E7">
      <w:pPr>
        <w:rPr>
          <w:rFonts w:ascii="Arial" w:hAnsi="Arial" w:cs="Arial"/>
        </w:rPr>
      </w:pPr>
      <w:r w:rsidRPr="00633635">
        <w:rPr>
          <w:rFonts w:ascii="Arial" w:hAnsi="Arial" w:cs="Arial"/>
        </w:rPr>
        <w:t xml:space="preserve">In </w:t>
      </w:r>
      <w:r w:rsidR="00F25F8F" w:rsidRPr="00633635">
        <w:rPr>
          <w:rFonts w:ascii="Arial" w:hAnsi="Arial" w:cs="Arial"/>
        </w:rPr>
        <w:t xml:space="preserve">New South Wales </w:t>
      </w:r>
      <w:r w:rsidRPr="00633635">
        <w:rPr>
          <w:rFonts w:ascii="Arial" w:hAnsi="Arial" w:cs="Arial"/>
        </w:rPr>
        <w:t>there are three separate agencies overseeing water management and compliance</w:t>
      </w:r>
      <w:r w:rsidR="009E51E2" w:rsidRPr="00633635">
        <w:rPr>
          <w:rFonts w:ascii="Arial" w:hAnsi="Arial" w:cs="Arial"/>
        </w:rPr>
        <w:t>. In broad terms, th</w:t>
      </w:r>
      <w:r w:rsidRPr="00633635">
        <w:rPr>
          <w:rFonts w:ascii="Arial" w:hAnsi="Arial" w:cs="Arial"/>
        </w:rPr>
        <w:t xml:space="preserve">e Department of Planning and Environment (DPE) is responsible for policy advice and making the rules; WaterNSW is </w:t>
      </w:r>
      <w:r w:rsidR="00442694" w:rsidRPr="00633635">
        <w:rPr>
          <w:rFonts w:ascii="Arial" w:hAnsi="Arial" w:cs="Arial"/>
        </w:rPr>
        <w:t xml:space="preserve">the customer-facing agency </w:t>
      </w:r>
      <w:r w:rsidRPr="00633635">
        <w:rPr>
          <w:rFonts w:ascii="Arial" w:hAnsi="Arial" w:cs="Arial"/>
        </w:rPr>
        <w:t>responsible for implementing the rules; and the Natural Resources Access Regulator (NRAR) is responsible for enforcing the rules.</w:t>
      </w:r>
    </w:p>
    <w:p w14:paraId="3D50B487" w14:textId="043A1D57" w:rsidR="00317496" w:rsidRPr="00633635" w:rsidRDefault="006B67AC" w:rsidP="002864E7">
      <w:pPr>
        <w:rPr>
          <w:rFonts w:ascii="Arial" w:hAnsi="Arial" w:cs="Arial"/>
        </w:rPr>
      </w:pPr>
      <w:r w:rsidRPr="00633635">
        <w:rPr>
          <w:rFonts w:ascii="Arial" w:hAnsi="Arial" w:cs="Arial"/>
        </w:rPr>
        <w:t xml:space="preserve">NRAR </w:t>
      </w:r>
      <w:r w:rsidR="00F25F8F" w:rsidRPr="00633635">
        <w:rPr>
          <w:rFonts w:ascii="Arial" w:hAnsi="Arial" w:cs="Arial"/>
        </w:rPr>
        <w:t>was</w:t>
      </w:r>
      <w:r w:rsidR="00004BFE" w:rsidRPr="00633635">
        <w:rPr>
          <w:rFonts w:ascii="Arial" w:hAnsi="Arial" w:cs="Arial"/>
        </w:rPr>
        <w:t xml:space="preserve"> established</w:t>
      </w:r>
      <w:r w:rsidR="00D14B92" w:rsidRPr="00633635">
        <w:rPr>
          <w:rFonts w:ascii="Arial" w:hAnsi="Arial" w:cs="Arial"/>
        </w:rPr>
        <w:t xml:space="preserve"> in 2018</w:t>
      </w:r>
      <w:r w:rsidR="00004BFE" w:rsidRPr="00633635">
        <w:rPr>
          <w:rFonts w:ascii="Arial" w:hAnsi="Arial" w:cs="Arial"/>
        </w:rPr>
        <w:t xml:space="preserve"> under the</w:t>
      </w:r>
      <w:r w:rsidR="00F25F8F" w:rsidRPr="00633635">
        <w:rPr>
          <w:rFonts w:ascii="Arial" w:hAnsi="Arial" w:cs="Arial"/>
        </w:rPr>
        <w:t xml:space="preserve"> </w:t>
      </w:r>
      <w:r w:rsidR="00004BFE" w:rsidRPr="00633635">
        <w:rPr>
          <w:rFonts w:ascii="Arial" w:hAnsi="Arial" w:cs="Arial"/>
          <w:i/>
          <w:iCs/>
        </w:rPr>
        <w:t>Natural Resources Access Regulator Act 2017</w:t>
      </w:r>
      <w:r w:rsidR="00F25F8F" w:rsidRPr="00633635">
        <w:rPr>
          <w:rFonts w:ascii="Arial" w:hAnsi="Arial" w:cs="Arial"/>
          <w:i/>
          <w:iCs/>
        </w:rPr>
        <w:t xml:space="preserve"> </w:t>
      </w:r>
      <w:r w:rsidR="00004BFE" w:rsidRPr="00633635">
        <w:rPr>
          <w:rFonts w:ascii="Arial" w:hAnsi="Arial" w:cs="Arial"/>
        </w:rPr>
        <w:t xml:space="preserve">(NRAR Act) in response to a recommendation from the Ken Matthews report </w:t>
      </w:r>
      <w:r w:rsidR="00105B6A" w:rsidRPr="00633635">
        <w:rPr>
          <w:rFonts w:ascii="Arial" w:hAnsi="Arial" w:cs="Arial"/>
        </w:rPr>
        <w:t>that the compliance functions be transferred from WaterNSW to a new independent regulator.</w:t>
      </w:r>
      <w:r w:rsidR="00317496" w:rsidRPr="00633635">
        <w:rPr>
          <w:rFonts w:ascii="Arial" w:hAnsi="Arial" w:cs="Arial"/>
        </w:rPr>
        <w:t xml:space="preserve"> </w:t>
      </w:r>
    </w:p>
    <w:p w14:paraId="54690141" w14:textId="57B0D262" w:rsidR="006B67AC" w:rsidRPr="00633635" w:rsidRDefault="00004BFE" w:rsidP="002864E7">
      <w:pPr>
        <w:rPr>
          <w:rFonts w:ascii="Arial" w:hAnsi="Arial" w:cs="Arial"/>
        </w:rPr>
      </w:pPr>
      <w:r w:rsidRPr="00633635">
        <w:rPr>
          <w:rFonts w:ascii="Arial" w:hAnsi="Arial" w:cs="Arial"/>
        </w:rPr>
        <w:t>NRAR acts as an independent authority responsible for all water compliance and enforcement functions</w:t>
      </w:r>
      <w:r w:rsidR="00F25F8F" w:rsidRPr="00633635">
        <w:rPr>
          <w:rFonts w:ascii="Arial" w:hAnsi="Arial" w:cs="Arial"/>
        </w:rPr>
        <w:t>,</w:t>
      </w:r>
      <w:r w:rsidRPr="00633635">
        <w:rPr>
          <w:rFonts w:ascii="Arial" w:hAnsi="Arial" w:cs="Arial"/>
        </w:rPr>
        <w:t xml:space="preserve"> which were previously housed in separate government agencies. </w:t>
      </w:r>
    </w:p>
    <w:p w14:paraId="51B5AC89" w14:textId="3583EF9D" w:rsidR="006B67AC" w:rsidRPr="00633635" w:rsidRDefault="00F25F8F" w:rsidP="002864E7">
      <w:pPr>
        <w:rPr>
          <w:rFonts w:ascii="Arial" w:hAnsi="Arial" w:cs="Arial"/>
        </w:rPr>
      </w:pPr>
      <w:r w:rsidRPr="00633635">
        <w:rPr>
          <w:rFonts w:ascii="Arial" w:hAnsi="Arial" w:cs="Arial"/>
        </w:rPr>
        <w:t xml:space="preserve">New South Wales </w:t>
      </w:r>
      <w:r w:rsidR="006B67AC" w:rsidRPr="00633635">
        <w:rPr>
          <w:rFonts w:ascii="Arial" w:hAnsi="Arial" w:cs="Arial"/>
        </w:rPr>
        <w:t xml:space="preserve">faces compliance challenges </w:t>
      </w:r>
      <w:r w:rsidRPr="00633635">
        <w:rPr>
          <w:rFonts w:ascii="Arial" w:hAnsi="Arial" w:cs="Arial"/>
        </w:rPr>
        <w:t xml:space="preserve">that are </w:t>
      </w:r>
      <w:r w:rsidR="006B67AC" w:rsidRPr="00633635">
        <w:rPr>
          <w:rFonts w:ascii="Arial" w:hAnsi="Arial" w:cs="Arial"/>
        </w:rPr>
        <w:t xml:space="preserve">unique </w:t>
      </w:r>
      <w:r w:rsidRPr="00633635">
        <w:rPr>
          <w:rFonts w:ascii="Arial" w:hAnsi="Arial" w:cs="Arial"/>
        </w:rPr>
        <w:t xml:space="preserve">among the </w:t>
      </w:r>
      <w:r w:rsidR="000210F5" w:rsidRPr="00633635">
        <w:rPr>
          <w:rFonts w:ascii="Arial" w:hAnsi="Arial" w:cs="Arial"/>
        </w:rPr>
        <w:t xml:space="preserve">Basin </w:t>
      </w:r>
      <w:r w:rsidR="00C73D08" w:rsidRPr="00633635">
        <w:rPr>
          <w:rFonts w:ascii="Arial" w:hAnsi="Arial" w:cs="Arial"/>
        </w:rPr>
        <w:t>states</w:t>
      </w:r>
      <w:r w:rsidR="006B67AC" w:rsidRPr="00633635">
        <w:rPr>
          <w:rFonts w:ascii="Arial" w:hAnsi="Arial" w:cs="Arial"/>
        </w:rPr>
        <w:t xml:space="preserve">, given its geographical size and </w:t>
      </w:r>
      <w:r w:rsidR="00C46CDB" w:rsidRPr="00633635">
        <w:rPr>
          <w:rFonts w:ascii="Arial" w:hAnsi="Arial" w:cs="Arial"/>
        </w:rPr>
        <w:t xml:space="preserve">the fact it contains both regulated and unregulated watercourses. </w:t>
      </w:r>
    </w:p>
    <w:p w14:paraId="591C9404" w14:textId="218C3719" w:rsidR="00726FE6" w:rsidRPr="00633635" w:rsidRDefault="00287FFE" w:rsidP="00726FE6">
      <w:pPr>
        <w:pStyle w:val="Heading3"/>
        <w:rPr>
          <w:rFonts w:ascii="Arial" w:hAnsi="Arial"/>
        </w:rPr>
      </w:pPr>
      <w:r w:rsidRPr="00633635">
        <w:rPr>
          <w:rFonts w:ascii="Arial" w:hAnsi="Arial"/>
        </w:rPr>
        <w:lastRenderedPageBreak/>
        <w:t>Metering</w:t>
      </w:r>
      <w:r w:rsidR="00A9207A" w:rsidRPr="00633635">
        <w:rPr>
          <w:rFonts w:ascii="Arial" w:hAnsi="Arial"/>
        </w:rPr>
        <w:t xml:space="preserve">, </w:t>
      </w:r>
      <w:proofErr w:type="gramStart"/>
      <w:r w:rsidR="00A9207A" w:rsidRPr="00633635">
        <w:rPr>
          <w:rFonts w:ascii="Arial" w:hAnsi="Arial"/>
        </w:rPr>
        <w:t>measurement</w:t>
      </w:r>
      <w:proofErr w:type="gramEnd"/>
      <w:r w:rsidRPr="00633635">
        <w:rPr>
          <w:rFonts w:ascii="Arial" w:hAnsi="Arial"/>
        </w:rPr>
        <w:t xml:space="preserve"> </w:t>
      </w:r>
      <w:r w:rsidR="00F25F8F" w:rsidRPr="00633635">
        <w:rPr>
          <w:rFonts w:ascii="Arial" w:hAnsi="Arial"/>
        </w:rPr>
        <w:t xml:space="preserve">and </w:t>
      </w:r>
      <w:r w:rsidRPr="00633635">
        <w:rPr>
          <w:rFonts w:ascii="Arial" w:hAnsi="Arial"/>
        </w:rPr>
        <w:t>monitoring</w:t>
      </w:r>
    </w:p>
    <w:p w14:paraId="257CF1A3" w14:textId="2EADF12E" w:rsidR="005F26BB" w:rsidRPr="00633635" w:rsidRDefault="005F26BB" w:rsidP="005F26BB">
      <w:pPr>
        <w:pStyle w:val="Heading4"/>
        <w:rPr>
          <w:rFonts w:ascii="Arial" w:hAnsi="Arial"/>
        </w:rPr>
      </w:pPr>
      <w:r w:rsidRPr="00633635">
        <w:rPr>
          <w:rFonts w:ascii="Arial" w:hAnsi="Arial"/>
        </w:rPr>
        <w:t>Metering</w:t>
      </w:r>
      <w:r w:rsidR="00D16377" w:rsidRPr="00633635">
        <w:rPr>
          <w:rFonts w:ascii="Arial" w:hAnsi="Arial"/>
        </w:rPr>
        <w:t xml:space="preserve"> </w:t>
      </w:r>
      <w:r w:rsidR="00DF1C67" w:rsidRPr="00633635">
        <w:rPr>
          <w:rFonts w:ascii="Arial" w:hAnsi="Arial"/>
        </w:rPr>
        <w:t>and</w:t>
      </w:r>
      <w:r w:rsidR="00D16377" w:rsidRPr="00633635">
        <w:rPr>
          <w:rFonts w:ascii="Arial" w:hAnsi="Arial"/>
        </w:rPr>
        <w:t xml:space="preserve"> measurement</w:t>
      </w:r>
    </w:p>
    <w:p w14:paraId="41320516" w14:textId="1B2A847D" w:rsidR="00505775" w:rsidRPr="00633635" w:rsidRDefault="00DF1C67" w:rsidP="002864E7">
      <w:pPr>
        <w:rPr>
          <w:rFonts w:ascii="Arial" w:hAnsi="Arial" w:cs="Arial"/>
        </w:rPr>
      </w:pPr>
      <w:r w:rsidRPr="00633635">
        <w:rPr>
          <w:rFonts w:ascii="Arial" w:hAnsi="Arial" w:cs="Arial"/>
        </w:rPr>
        <w:t xml:space="preserve">New South Wales </w:t>
      </w:r>
      <w:r w:rsidR="00465D47" w:rsidRPr="00633635">
        <w:rPr>
          <w:rFonts w:ascii="Arial" w:hAnsi="Arial" w:cs="Arial"/>
        </w:rPr>
        <w:t>is part-way through implementing a new non-urban metering framework</w:t>
      </w:r>
      <w:r w:rsidR="0097551C" w:rsidRPr="00633635">
        <w:rPr>
          <w:rFonts w:ascii="Arial" w:hAnsi="Arial" w:cs="Arial"/>
        </w:rPr>
        <w:t xml:space="preserve"> to improve the standard and coverage of non-urban meters. The rollout is being implemented in four tranches</w:t>
      </w:r>
      <w:r w:rsidRPr="00633635">
        <w:rPr>
          <w:rFonts w:ascii="Arial" w:hAnsi="Arial" w:cs="Arial"/>
        </w:rPr>
        <w:t>. T</w:t>
      </w:r>
      <w:r w:rsidR="0097551C" w:rsidRPr="00633635">
        <w:rPr>
          <w:rFonts w:ascii="Arial" w:hAnsi="Arial" w:cs="Arial"/>
        </w:rPr>
        <w:t>ranches 1, 2, and 3 cover the Murray</w:t>
      </w:r>
      <w:r w:rsidRPr="00633635">
        <w:rPr>
          <w:rFonts w:ascii="Arial" w:hAnsi="Arial" w:cs="Arial"/>
        </w:rPr>
        <w:t>–</w:t>
      </w:r>
      <w:r w:rsidR="0097551C" w:rsidRPr="00633635">
        <w:rPr>
          <w:rFonts w:ascii="Arial" w:hAnsi="Arial" w:cs="Arial"/>
        </w:rPr>
        <w:t xml:space="preserve">Darling Basin areas of the </w:t>
      </w:r>
      <w:r w:rsidR="002A2BE1" w:rsidRPr="00633635">
        <w:rPr>
          <w:rFonts w:ascii="Arial" w:hAnsi="Arial" w:cs="Arial"/>
        </w:rPr>
        <w:t>state</w:t>
      </w:r>
      <w:r w:rsidR="0097551C" w:rsidRPr="00633635">
        <w:rPr>
          <w:rFonts w:ascii="Arial" w:hAnsi="Arial" w:cs="Arial"/>
        </w:rPr>
        <w:t xml:space="preserve">. </w:t>
      </w:r>
      <w:r w:rsidR="005F26BB" w:rsidRPr="00633635">
        <w:rPr>
          <w:rFonts w:ascii="Arial" w:hAnsi="Arial" w:cs="Arial"/>
        </w:rPr>
        <w:t xml:space="preserve">The scale of this project </w:t>
      </w:r>
      <w:r w:rsidR="00505775" w:rsidRPr="00633635">
        <w:rPr>
          <w:rFonts w:ascii="Arial" w:hAnsi="Arial" w:cs="Arial"/>
        </w:rPr>
        <w:t>is challenging</w:t>
      </w:r>
      <w:r w:rsidR="005F26BB" w:rsidRPr="00633635">
        <w:rPr>
          <w:rFonts w:ascii="Arial" w:hAnsi="Arial" w:cs="Arial"/>
        </w:rPr>
        <w:t xml:space="preserve"> – </w:t>
      </w:r>
      <w:r w:rsidR="00044167" w:rsidRPr="00633635">
        <w:rPr>
          <w:rFonts w:ascii="Arial" w:hAnsi="Arial" w:cs="Arial"/>
        </w:rPr>
        <w:t xml:space="preserve">with </w:t>
      </w:r>
      <w:r w:rsidR="005F26BB" w:rsidRPr="00633635">
        <w:rPr>
          <w:rFonts w:ascii="Arial" w:hAnsi="Arial" w:cs="Arial"/>
        </w:rPr>
        <w:t>tranche 2 of the rollout contain</w:t>
      </w:r>
      <w:r w:rsidR="00044167" w:rsidRPr="00633635">
        <w:rPr>
          <w:rFonts w:ascii="Arial" w:hAnsi="Arial" w:cs="Arial"/>
        </w:rPr>
        <w:t>ing</w:t>
      </w:r>
      <w:r w:rsidR="005F26BB" w:rsidRPr="00633635">
        <w:rPr>
          <w:rFonts w:ascii="Arial" w:hAnsi="Arial" w:cs="Arial"/>
        </w:rPr>
        <w:t xml:space="preserve"> over 8,000 meters. </w:t>
      </w:r>
    </w:p>
    <w:p w14:paraId="7328BAA4" w14:textId="3A5EE25A" w:rsidR="00505775" w:rsidRPr="00633635" w:rsidRDefault="00505775" w:rsidP="002864E7">
      <w:pPr>
        <w:rPr>
          <w:rFonts w:ascii="Arial" w:hAnsi="Arial" w:cs="Arial"/>
        </w:rPr>
      </w:pPr>
      <w:r w:rsidRPr="00633635">
        <w:rPr>
          <w:rFonts w:ascii="Arial" w:hAnsi="Arial" w:cs="Arial"/>
        </w:rPr>
        <w:t xml:space="preserve">As </w:t>
      </w:r>
      <w:proofErr w:type="gramStart"/>
      <w:r w:rsidRPr="00633635">
        <w:rPr>
          <w:rFonts w:ascii="Arial" w:hAnsi="Arial" w:cs="Arial"/>
        </w:rPr>
        <w:t>at</w:t>
      </w:r>
      <w:proofErr w:type="gramEnd"/>
      <w:r w:rsidRPr="00633635">
        <w:rPr>
          <w:rFonts w:ascii="Arial" w:hAnsi="Arial" w:cs="Arial"/>
        </w:rPr>
        <w:t xml:space="preserve"> 1 December 2021, </w:t>
      </w:r>
      <w:r w:rsidR="00DF1C67" w:rsidRPr="00633635">
        <w:rPr>
          <w:rFonts w:ascii="Arial" w:hAnsi="Arial" w:cs="Arial"/>
        </w:rPr>
        <w:t>69</w:t>
      </w:r>
      <w:r w:rsidRPr="00633635">
        <w:rPr>
          <w:rFonts w:ascii="Arial" w:hAnsi="Arial" w:cs="Arial"/>
        </w:rPr>
        <w:t>% of meters in tranche 1 (pumps bigger than 500mm) were compliant with the new rules</w:t>
      </w:r>
      <w:r w:rsidR="00DF1C67" w:rsidRPr="00633635">
        <w:rPr>
          <w:rFonts w:ascii="Arial" w:hAnsi="Arial" w:cs="Arial"/>
        </w:rPr>
        <w:t>.</w:t>
      </w:r>
      <w:r w:rsidRPr="00633635">
        <w:rPr>
          <w:rFonts w:ascii="Arial" w:hAnsi="Arial" w:cs="Arial"/>
        </w:rPr>
        <w:t xml:space="preserve"> </w:t>
      </w:r>
    </w:p>
    <w:p w14:paraId="7E3BAA37" w14:textId="222313F2" w:rsidR="00E22ECD" w:rsidRPr="00633635" w:rsidRDefault="00CD3EFD" w:rsidP="002864E7">
      <w:pPr>
        <w:rPr>
          <w:rFonts w:ascii="Arial" w:hAnsi="Arial" w:cs="Arial"/>
        </w:rPr>
      </w:pPr>
      <w:r w:rsidRPr="00633635">
        <w:rPr>
          <w:rFonts w:ascii="Arial" w:hAnsi="Arial" w:cs="Arial"/>
        </w:rPr>
        <w:t>Under the New South Wales non-urban metering policy, all surface water works greater than 200mm must be fitted with telemetry. Telemetry allows for meter reads to be provided to a central location in near real-time, making it a very effective tool for monitoring water take. New South Wales is running</w:t>
      </w:r>
      <w:r w:rsidR="005F26BB" w:rsidRPr="00633635">
        <w:rPr>
          <w:rFonts w:ascii="Arial" w:hAnsi="Arial" w:cs="Arial"/>
        </w:rPr>
        <w:t xml:space="preserve"> a telemetry rebate program, funded jointly by </w:t>
      </w:r>
      <w:r w:rsidR="00DF1C67" w:rsidRPr="00633635">
        <w:rPr>
          <w:rFonts w:ascii="Arial" w:hAnsi="Arial" w:cs="Arial"/>
        </w:rPr>
        <w:t xml:space="preserve">New South Wales </w:t>
      </w:r>
      <w:r w:rsidR="005F26BB" w:rsidRPr="00633635">
        <w:rPr>
          <w:rFonts w:ascii="Arial" w:hAnsi="Arial" w:cs="Arial"/>
        </w:rPr>
        <w:t>and the Australian Government, to encourage the voluntary uptake of telemetry</w:t>
      </w:r>
      <w:r w:rsidR="0097551C" w:rsidRPr="00633635">
        <w:rPr>
          <w:rFonts w:ascii="Arial" w:hAnsi="Arial" w:cs="Arial"/>
        </w:rPr>
        <w:t>.</w:t>
      </w:r>
      <w:r w:rsidR="00505775" w:rsidRPr="00633635">
        <w:rPr>
          <w:rFonts w:ascii="Arial" w:hAnsi="Arial" w:cs="Arial"/>
        </w:rPr>
        <w:t xml:space="preserve"> </w:t>
      </w:r>
    </w:p>
    <w:p w14:paraId="2EB37790" w14:textId="32438523" w:rsidR="005F26BB" w:rsidRPr="00633635" w:rsidRDefault="005F26BB" w:rsidP="002A2BE1">
      <w:pPr>
        <w:pStyle w:val="Heading4"/>
        <w:rPr>
          <w:rFonts w:ascii="Arial" w:hAnsi="Arial"/>
        </w:rPr>
      </w:pPr>
      <w:r w:rsidRPr="00633635">
        <w:rPr>
          <w:rFonts w:ascii="Arial" w:hAnsi="Arial"/>
        </w:rPr>
        <w:t>Monitoring</w:t>
      </w:r>
    </w:p>
    <w:p w14:paraId="4F1DA5EF" w14:textId="0059D88E" w:rsidR="00726FE6" w:rsidRPr="00633635" w:rsidRDefault="00726FE6" w:rsidP="002864E7">
      <w:pPr>
        <w:rPr>
          <w:rFonts w:ascii="Arial" w:hAnsi="Arial" w:cs="Arial"/>
        </w:rPr>
      </w:pPr>
      <w:r w:rsidRPr="00633635">
        <w:rPr>
          <w:rFonts w:ascii="Arial" w:hAnsi="Arial" w:cs="Arial"/>
        </w:rPr>
        <w:t>Meters that require a manual read (</w:t>
      </w:r>
      <w:proofErr w:type="spellStart"/>
      <w:r w:rsidR="004E1595" w:rsidRPr="00633635">
        <w:rPr>
          <w:rFonts w:ascii="Arial" w:hAnsi="Arial" w:cs="Arial"/>
        </w:rPr>
        <w:t>i.e</w:t>
      </w:r>
      <w:proofErr w:type="spellEnd"/>
      <w:r w:rsidR="004E1595" w:rsidRPr="00633635">
        <w:rPr>
          <w:rFonts w:ascii="Arial" w:hAnsi="Arial" w:cs="Arial"/>
        </w:rPr>
        <w:t xml:space="preserve"> </w:t>
      </w:r>
      <w:r w:rsidR="00C23D24" w:rsidRPr="00633635">
        <w:rPr>
          <w:rFonts w:ascii="Arial" w:hAnsi="Arial" w:cs="Arial"/>
        </w:rPr>
        <w:t>they are</w:t>
      </w:r>
      <w:r w:rsidRPr="00633635">
        <w:rPr>
          <w:rFonts w:ascii="Arial" w:hAnsi="Arial" w:cs="Arial"/>
        </w:rPr>
        <w:t xml:space="preserve"> not fitted with telemetry) are read by WaterNSW staff</w:t>
      </w:r>
      <w:r w:rsidR="00C23D24" w:rsidRPr="00633635">
        <w:rPr>
          <w:rFonts w:ascii="Arial" w:hAnsi="Arial" w:cs="Arial"/>
        </w:rPr>
        <w:t xml:space="preserve">. </w:t>
      </w:r>
      <w:r w:rsidR="0051432E">
        <w:rPr>
          <w:rFonts w:ascii="Arial" w:hAnsi="Arial" w:cs="Arial"/>
        </w:rPr>
        <w:t>Generally,</w:t>
      </w:r>
      <w:r w:rsidRPr="00633635">
        <w:rPr>
          <w:rFonts w:ascii="Arial" w:hAnsi="Arial" w:cs="Arial"/>
        </w:rPr>
        <w:t xml:space="preserve"> meters </w:t>
      </w:r>
      <w:r w:rsidR="00C23D24" w:rsidRPr="00633635">
        <w:rPr>
          <w:rFonts w:ascii="Arial" w:hAnsi="Arial" w:cs="Arial"/>
        </w:rPr>
        <w:t xml:space="preserve">are </w:t>
      </w:r>
      <w:r w:rsidRPr="00633635">
        <w:rPr>
          <w:rFonts w:ascii="Arial" w:hAnsi="Arial" w:cs="Arial"/>
        </w:rPr>
        <w:t xml:space="preserve">read quarterly. </w:t>
      </w:r>
      <w:r w:rsidR="00C23D24" w:rsidRPr="00633635">
        <w:rPr>
          <w:rFonts w:ascii="Arial" w:hAnsi="Arial" w:cs="Arial"/>
        </w:rPr>
        <w:t>As well,</w:t>
      </w:r>
      <w:r w:rsidRPr="00633635">
        <w:rPr>
          <w:rFonts w:ascii="Arial" w:hAnsi="Arial" w:cs="Arial"/>
        </w:rPr>
        <w:t xml:space="preserve"> for licence holders in regulated systems, meter readings are required </w:t>
      </w:r>
      <w:r w:rsidR="0051432E">
        <w:rPr>
          <w:rFonts w:ascii="Arial" w:hAnsi="Arial" w:cs="Arial"/>
        </w:rPr>
        <w:t xml:space="preserve">to be submitted by the licence holder </w:t>
      </w:r>
      <w:r w:rsidRPr="00633635">
        <w:rPr>
          <w:rFonts w:ascii="Arial" w:hAnsi="Arial" w:cs="Arial"/>
        </w:rPr>
        <w:t xml:space="preserve">when placing an order for water. </w:t>
      </w:r>
    </w:p>
    <w:p w14:paraId="426542B6" w14:textId="3BEB1E4B" w:rsidR="006B67AC" w:rsidRPr="00633635" w:rsidRDefault="00726FE6" w:rsidP="002864E7">
      <w:pPr>
        <w:rPr>
          <w:rFonts w:ascii="Arial" w:hAnsi="Arial" w:cs="Arial"/>
        </w:rPr>
      </w:pPr>
      <w:r w:rsidRPr="00633635">
        <w:rPr>
          <w:rFonts w:ascii="Arial" w:hAnsi="Arial" w:cs="Arial"/>
        </w:rPr>
        <w:t xml:space="preserve">WaterNSW staff </w:t>
      </w:r>
      <w:r w:rsidR="0051432E">
        <w:rPr>
          <w:rFonts w:ascii="Arial" w:hAnsi="Arial" w:cs="Arial"/>
        </w:rPr>
        <w:t>monitor</w:t>
      </w:r>
      <w:r w:rsidRPr="00633635">
        <w:rPr>
          <w:rFonts w:ascii="Arial" w:hAnsi="Arial" w:cs="Arial"/>
        </w:rPr>
        <w:t xml:space="preserve"> individual water accounts</w:t>
      </w:r>
      <w:r w:rsidR="0051432E">
        <w:rPr>
          <w:rFonts w:ascii="Arial" w:hAnsi="Arial" w:cs="Arial"/>
        </w:rPr>
        <w:t xml:space="preserve"> for the commercial purposes of billing, account management, and associated reporting</w:t>
      </w:r>
      <w:r w:rsidRPr="00633635">
        <w:rPr>
          <w:rFonts w:ascii="Arial" w:hAnsi="Arial" w:cs="Arial"/>
        </w:rPr>
        <w:t xml:space="preserve">. WaterNSW regularly run ‘Negative Balance Reports’ to identify </w:t>
      </w:r>
      <w:r w:rsidR="006B67AC" w:rsidRPr="00633635">
        <w:rPr>
          <w:rFonts w:ascii="Arial" w:hAnsi="Arial" w:cs="Arial"/>
        </w:rPr>
        <w:t xml:space="preserve">any water accounts that have taken water in excess of their allocation. For these accounts, WaterNSW will contact the licence holder to validate the data </w:t>
      </w:r>
      <w:r w:rsidR="0051432E">
        <w:rPr>
          <w:rFonts w:ascii="Arial" w:hAnsi="Arial" w:cs="Arial"/>
        </w:rPr>
        <w:t>prior to issuing bills. Where the account is confirmed to be overdrawn</w:t>
      </w:r>
      <w:r w:rsidR="006B67AC" w:rsidRPr="00633635">
        <w:rPr>
          <w:rFonts w:ascii="Arial" w:hAnsi="Arial" w:cs="Arial"/>
        </w:rPr>
        <w:t xml:space="preserve"> the customer </w:t>
      </w:r>
      <w:r w:rsidR="0051432E">
        <w:rPr>
          <w:rFonts w:ascii="Arial" w:hAnsi="Arial" w:cs="Arial"/>
        </w:rPr>
        <w:t xml:space="preserve">is reminded </w:t>
      </w:r>
      <w:r w:rsidR="006B67AC" w:rsidRPr="00633635">
        <w:rPr>
          <w:rFonts w:ascii="Arial" w:hAnsi="Arial" w:cs="Arial"/>
        </w:rPr>
        <w:t xml:space="preserve">of their obligation to remain within their allocation and what action is required to </w:t>
      </w:r>
      <w:r w:rsidR="0051432E">
        <w:rPr>
          <w:rFonts w:ascii="Arial" w:hAnsi="Arial" w:cs="Arial"/>
        </w:rPr>
        <w:t>correct the negative usage in their account</w:t>
      </w:r>
      <w:r w:rsidR="006B67AC" w:rsidRPr="00633635">
        <w:rPr>
          <w:rFonts w:ascii="Arial" w:hAnsi="Arial" w:cs="Arial"/>
        </w:rPr>
        <w:t xml:space="preserve">. </w:t>
      </w:r>
    </w:p>
    <w:p w14:paraId="613C5D99" w14:textId="5B28CC74" w:rsidR="006B67AC" w:rsidRPr="00633635" w:rsidRDefault="006B67AC" w:rsidP="002864E7">
      <w:pPr>
        <w:rPr>
          <w:rFonts w:ascii="Arial" w:hAnsi="Arial" w:cs="Arial"/>
        </w:rPr>
      </w:pPr>
      <w:r w:rsidRPr="00633635">
        <w:rPr>
          <w:rFonts w:ascii="Arial" w:hAnsi="Arial" w:cs="Arial"/>
        </w:rPr>
        <w:t>From a compliance perspective,</w:t>
      </w:r>
      <w:r w:rsidR="0051432E">
        <w:rPr>
          <w:rFonts w:ascii="Arial" w:hAnsi="Arial" w:cs="Arial"/>
        </w:rPr>
        <w:t xml:space="preserve"> NRAR has access to</w:t>
      </w:r>
      <w:r w:rsidRPr="00633635">
        <w:rPr>
          <w:rFonts w:ascii="Arial" w:hAnsi="Arial" w:cs="Arial"/>
        </w:rPr>
        <w:t xml:space="preserve"> these Negative Account Balance reports. </w:t>
      </w:r>
    </w:p>
    <w:p w14:paraId="3F9117AE" w14:textId="485449AF" w:rsidR="00C46CDB" w:rsidRPr="00633635" w:rsidRDefault="000D54C5" w:rsidP="002864E7">
      <w:pPr>
        <w:rPr>
          <w:rFonts w:ascii="Arial" w:hAnsi="Arial" w:cs="Arial"/>
        </w:rPr>
      </w:pPr>
      <w:r w:rsidRPr="00633635">
        <w:rPr>
          <w:rFonts w:ascii="Arial" w:hAnsi="Arial" w:cs="Arial"/>
        </w:rPr>
        <w:t>In late 2021</w:t>
      </w:r>
      <w:r w:rsidR="006B67AC" w:rsidRPr="00633635">
        <w:rPr>
          <w:rFonts w:ascii="Arial" w:hAnsi="Arial" w:cs="Arial"/>
        </w:rPr>
        <w:t xml:space="preserve"> NRAR implemented a new dashboard which allows staff to monitor individual accounts daily (where the account is updated daily from a telemetered meter reading). This technology is a powerful tool for monitoring water take against </w:t>
      </w:r>
      <w:r w:rsidR="003C21E7" w:rsidRPr="00633635">
        <w:rPr>
          <w:rFonts w:ascii="Arial" w:hAnsi="Arial" w:cs="Arial"/>
        </w:rPr>
        <w:t>allocation</w:t>
      </w:r>
      <w:r w:rsidR="00BB1A35" w:rsidRPr="00633635">
        <w:rPr>
          <w:rFonts w:ascii="Arial" w:hAnsi="Arial" w:cs="Arial"/>
        </w:rPr>
        <w:t>. It will become more effective as</w:t>
      </w:r>
      <w:r w:rsidR="006B67AC" w:rsidRPr="00633635">
        <w:rPr>
          <w:rFonts w:ascii="Arial" w:hAnsi="Arial" w:cs="Arial"/>
        </w:rPr>
        <w:t xml:space="preserve"> more meters </w:t>
      </w:r>
      <w:r w:rsidR="00BB1A35" w:rsidRPr="00633635">
        <w:rPr>
          <w:rFonts w:ascii="Arial" w:hAnsi="Arial" w:cs="Arial"/>
        </w:rPr>
        <w:t xml:space="preserve">are </w:t>
      </w:r>
      <w:r w:rsidR="006B67AC" w:rsidRPr="00633635">
        <w:rPr>
          <w:rFonts w:ascii="Arial" w:hAnsi="Arial" w:cs="Arial"/>
        </w:rPr>
        <w:t xml:space="preserve">fitted with telemetry.  </w:t>
      </w:r>
    </w:p>
    <w:p w14:paraId="58B52649" w14:textId="649B895A" w:rsidR="00A6667B" w:rsidRPr="00633635" w:rsidRDefault="00A6667B" w:rsidP="002864E7">
      <w:pPr>
        <w:rPr>
          <w:rFonts w:ascii="Arial" w:hAnsi="Arial" w:cs="Arial"/>
        </w:rPr>
      </w:pPr>
      <w:r w:rsidRPr="00633635">
        <w:rPr>
          <w:rFonts w:ascii="Arial" w:hAnsi="Arial" w:cs="Arial"/>
        </w:rPr>
        <w:t xml:space="preserve">NRAR </w:t>
      </w:r>
      <w:r w:rsidR="00CD3EFD" w:rsidRPr="00633635">
        <w:rPr>
          <w:rFonts w:ascii="Arial" w:hAnsi="Arial" w:cs="Arial"/>
        </w:rPr>
        <w:t xml:space="preserve">is an innovator among Basin </w:t>
      </w:r>
      <w:r w:rsidR="002A2BE1" w:rsidRPr="00633635">
        <w:rPr>
          <w:rFonts w:ascii="Arial" w:hAnsi="Arial" w:cs="Arial"/>
        </w:rPr>
        <w:t>s</w:t>
      </w:r>
      <w:r w:rsidR="00CD3EFD" w:rsidRPr="00633635">
        <w:rPr>
          <w:rFonts w:ascii="Arial" w:hAnsi="Arial" w:cs="Arial"/>
        </w:rPr>
        <w:t xml:space="preserve">tate agencies regarding </w:t>
      </w:r>
      <w:r w:rsidR="00BB1A35" w:rsidRPr="00633635">
        <w:rPr>
          <w:rFonts w:ascii="Arial" w:hAnsi="Arial" w:cs="Arial"/>
        </w:rPr>
        <w:t>its</w:t>
      </w:r>
      <w:r w:rsidRPr="00633635">
        <w:rPr>
          <w:rFonts w:ascii="Arial" w:hAnsi="Arial" w:cs="Arial"/>
        </w:rPr>
        <w:t xml:space="preserve"> </w:t>
      </w:r>
      <w:r w:rsidR="00CD3EFD" w:rsidRPr="00633635">
        <w:rPr>
          <w:rFonts w:ascii="Arial" w:hAnsi="Arial" w:cs="Arial"/>
        </w:rPr>
        <w:t xml:space="preserve">development and utilisation </w:t>
      </w:r>
      <w:r w:rsidR="00BB1A35" w:rsidRPr="00633635">
        <w:rPr>
          <w:rFonts w:ascii="Arial" w:hAnsi="Arial" w:cs="Arial"/>
        </w:rPr>
        <w:t xml:space="preserve">of </w:t>
      </w:r>
      <w:r w:rsidR="00CD3EFD" w:rsidRPr="00633635">
        <w:rPr>
          <w:rFonts w:ascii="Arial" w:hAnsi="Arial" w:cs="Arial"/>
        </w:rPr>
        <w:t xml:space="preserve">different </w:t>
      </w:r>
      <w:r w:rsidRPr="00633635">
        <w:rPr>
          <w:rFonts w:ascii="Arial" w:hAnsi="Arial" w:cs="Arial"/>
        </w:rPr>
        <w:t>technolog</w:t>
      </w:r>
      <w:r w:rsidR="00BB1A35" w:rsidRPr="00633635">
        <w:rPr>
          <w:rFonts w:ascii="Arial" w:hAnsi="Arial" w:cs="Arial"/>
        </w:rPr>
        <w:t>ies</w:t>
      </w:r>
      <w:r w:rsidRPr="00633635">
        <w:rPr>
          <w:rFonts w:ascii="Arial" w:hAnsi="Arial" w:cs="Arial"/>
        </w:rPr>
        <w:t xml:space="preserve"> to </w:t>
      </w:r>
      <w:r w:rsidR="00CD3EFD" w:rsidRPr="00633635">
        <w:rPr>
          <w:rFonts w:ascii="Arial" w:hAnsi="Arial" w:cs="Arial"/>
        </w:rPr>
        <w:t xml:space="preserve">assist with </w:t>
      </w:r>
      <w:r w:rsidRPr="00633635">
        <w:rPr>
          <w:rFonts w:ascii="Arial" w:hAnsi="Arial" w:cs="Arial"/>
        </w:rPr>
        <w:t>monitor</w:t>
      </w:r>
      <w:r w:rsidR="00CD3EFD" w:rsidRPr="00633635">
        <w:rPr>
          <w:rFonts w:ascii="Arial" w:hAnsi="Arial" w:cs="Arial"/>
        </w:rPr>
        <w:t>ing</w:t>
      </w:r>
      <w:r w:rsidRPr="00633635">
        <w:rPr>
          <w:rFonts w:ascii="Arial" w:hAnsi="Arial" w:cs="Arial"/>
        </w:rPr>
        <w:t xml:space="preserve"> compliance</w:t>
      </w:r>
      <w:r w:rsidR="00BB1A35" w:rsidRPr="00633635">
        <w:rPr>
          <w:rFonts w:ascii="Arial" w:hAnsi="Arial" w:cs="Arial"/>
        </w:rPr>
        <w:t>. C</w:t>
      </w:r>
      <w:r w:rsidRPr="00633635">
        <w:rPr>
          <w:rFonts w:ascii="Arial" w:hAnsi="Arial" w:cs="Arial"/>
        </w:rPr>
        <w:t xml:space="preserve">hief among these </w:t>
      </w:r>
      <w:r w:rsidR="00BB1A35" w:rsidRPr="00633635">
        <w:rPr>
          <w:rFonts w:ascii="Arial" w:hAnsi="Arial" w:cs="Arial"/>
        </w:rPr>
        <w:t xml:space="preserve">is </w:t>
      </w:r>
      <w:r w:rsidRPr="00633635">
        <w:rPr>
          <w:rFonts w:ascii="Arial" w:hAnsi="Arial" w:cs="Arial"/>
        </w:rPr>
        <w:t>the use of satellite imagery</w:t>
      </w:r>
      <w:r w:rsidR="00CD3EFD" w:rsidRPr="00633635">
        <w:rPr>
          <w:rFonts w:ascii="Arial" w:hAnsi="Arial" w:cs="Arial"/>
        </w:rPr>
        <w:t xml:space="preserve"> in circumstances where water take is difficult to measure, such as </w:t>
      </w:r>
      <w:r w:rsidR="002C6494" w:rsidRPr="00633635">
        <w:rPr>
          <w:rFonts w:ascii="Arial" w:hAnsi="Arial" w:cs="Arial"/>
        </w:rPr>
        <w:t>floodplain harvesting</w:t>
      </w:r>
      <w:r w:rsidRPr="00633635">
        <w:rPr>
          <w:rFonts w:ascii="Arial" w:hAnsi="Arial" w:cs="Arial"/>
        </w:rPr>
        <w:t>. As a</w:t>
      </w:r>
      <w:r w:rsidR="00BB1A35" w:rsidRPr="00633635">
        <w:rPr>
          <w:rFonts w:ascii="Arial" w:hAnsi="Arial" w:cs="Arial"/>
        </w:rPr>
        <w:t>n</w:t>
      </w:r>
      <w:r w:rsidRPr="00633635">
        <w:rPr>
          <w:rFonts w:ascii="Arial" w:hAnsi="Arial" w:cs="Arial"/>
        </w:rPr>
        <w:t xml:space="preserve"> </w:t>
      </w:r>
      <w:r w:rsidR="00BB1A35" w:rsidRPr="00633635">
        <w:rPr>
          <w:rFonts w:ascii="Arial" w:hAnsi="Arial" w:cs="Arial"/>
        </w:rPr>
        <w:t xml:space="preserve">example </w:t>
      </w:r>
      <w:r w:rsidRPr="00633635">
        <w:rPr>
          <w:rFonts w:ascii="Arial" w:hAnsi="Arial" w:cs="Arial"/>
        </w:rPr>
        <w:t xml:space="preserve">of the increasing effectiveness of this technology in the compliance space, in April 2022 NRAR achieved </w:t>
      </w:r>
      <w:r w:rsidR="00BB1A35" w:rsidRPr="00633635">
        <w:rPr>
          <w:rFonts w:ascii="Arial" w:hAnsi="Arial" w:cs="Arial"/>
        </w:rPr>
        <w:t>a successful</w:t>
      </w:r>
      <w:r w:rsidRPr="00633635">
        <w:rPr>
          <w:rFonts w:ascii="Arial" w:hAnsi="Arial" w:cs="Arial"/>
        </w:rPr>
        <w:t xml:space="preserve"> prosecution using evidence gathered by satellite technology</w:t>
      </w:r>
      <w:r w:rsidR="00BB1A35" w:rsidRPr="00633635">
        <w:rPr>
          <w:rFonts w:ascii="Arial" w:hAnsi="Arial" w:cs="Arial"/>
        </w:rPr>
        <w:t>,</w:t>
      </w:r>
      <w:r w:rsidRPr="00633635">
        <w:rPr>
          <w:rFonts w:ascii="Arial" w:hAnsi="Arial" w:cs="Arial"/>
        </w:rPr>
        <w:t xml:space="preserve"> which </w:t>
      </w:r>
      <w:r w:rsidR="00BB1A35" w:rsidRPr="00633635">
        <w:rPr>
          <w:rFonts w:ascii="Arial" w:hAnsi="Arial" w:cs="Arial"/>
        </w:rPr>
        <w:t>measured</w:t>
      </w:r>
      <w:r w:rsidRPr="00633635">
        <w:rPr>
          <w:rFonts w:ascii="Arial" w:hAnsi="Arial" w:cs="Arial"/>
        </w:rPr>
        <w:t xml:space="preserve"> the rise and fall of water in a dam.</w:t>
      </w:r>
      <w:r w:rsidRPr="00633635">
        <w:rPr>
          <w:rStyle w:val="FootnoteReference"/>
          <w:rFonts w:ascii="Arial" w:hAnsi="Arial" w:cs="Arial"/>
        </w:rPr>
        <w:footnoteReference w:id="4"/>
      </w:r>
    </w:p>
    <w:p w14:paraId="04016611" w14:textId="7119BCFA" w:rsidR="006D5579" w:rsidRPr="00633635" w:rsidRDefault="00CE63BC" w:rsidP="002864E7">
      <w:pPr>
        <w:rPr>
          <w:rFonts w:ascii="Arial" w:hAnsi="Arial" w:cs="Arial"/>
        </w:rPr>
      </w:pPr>
      <w:r w:rsidRPr="00633635">
        <w:rPr>
          <w:rFonts w:ascii="Arial" w:hAnsi="Arial" w:cs="Arial"/>
        </w:rPr>
        <w:t>The regulation of f</w:t>
      </w:r>
      <w:r w:rsidR="00207ED3" w:rsidRPr="00633635">
        <w:rPr>
          <w:rFonts w:ascii="Arial" w:hAnsi="Arial" w:cs="Arial"/>
        </w:rPr>
        <w:t xml:space="preserve">loodplain harvesting remains a challenge for </w:t>
      </w:r>
      <w:r w:rsidR="00D17295" w:rsidRPr="00633635">
        <w:rPr>
          <w:rFonts w:ascii="Arial" w:hAnsi="Arial" w:cs="Arial"/>
        </w:rPr>
        <w:t>New South Wales</w:t>
      </w:r>
      <w:r w:rsidR="00BB1A35" w:rsidRPr="00633635">
        <w:rPr>
          <w:rFonts w:ascii="Arial" w:hAnsi="Arial" w:cs="Arial"/>
        </w:rPr>
        <w:t xml:space="preserve">. </w:t>
      </w:r>
      <w:r w:rsidR="0051432E">
        <w:rPr>
          <w:rFonts w:ascii="Arial" w:hAnsi="Arial" w:cs="Arial"/>
        </w:rPr>
        <w:t>T</w:t>
      </w:r>
      <w:r w:rsidR="00207ED3" w:rsidRPr="00633635">
        <w:rPr>
          <w:rFonts w:ascii="Arial" w:hAnsi="Arial" w:cs="Arial"/>
        </w:rPr>
        <w:t xml:space="preserve">he New South Wales Legislative Council </w:t>
      </w:r>
      <w:r w:rsidR="0051432E">
        <w:rPr>
          <w:rFonts w:ascii="Arial" w:hAnsi="Arial" w:cs="Arial"/>
        </w:rPr>
        <w:t xml:space="preserve">has </w:t>
      </w:r>
      <w:r w:rsidR="00207ED3" w:rsidRPr="00633635">
        <w:rPr>
          <w:rFonts w:ascii="Arial" w:hAnsi="Arial" w:cs="Arial"/>
        </w:rPr>
        <w:t>disallow</w:t>
      </w:r>
      <w:r w:rsidR="00BB1A35" w:rsidRPr="00633635">
        <w:rPr>
          <w:rFonts w:ascii="Arial" w:hAnsi="Arial" w:cs="Arial"/>
        </w:rPr>
        <w:t>ed</w:t>
      </w:r>
      <w:r w:rsidR="0051432E">
        <w:rPr>
          <w:rFonts w:ascii="Arial" w:hAnsi="Arial" w:cs="Arial"/>
        </w:rPr>
        <w:t xml:space="preserve"> various aspects of floodplain harvesting legislation in recent years. At the time of writing this report, new legislative amendments had commenced on 1 July 2022 that provide a framework to licence and measure the take of water by floodplain harvesting activities. This includes rules about how water take is measured, </w:t>
      </w:r>
      <w:proofErr w:type="gramStart"/>
      <w:r w:rsidR="0051432E">
        <w:rPr>
          <w:rFonts w:ascii="Arial" w:hAnsi="Arial" w:cs="Arial"/>
        </w:rPr>
        <w:t>recorded</w:t>
      </w:r>
      <w:proofErr w:type="gramEnd"/>
      <w:r w:rsidR="0051432E">
        <w:rPr>
          <w:rFonts w:ascii="Arial" w:hAnsi="Arial" w:cs="Arial"/>
        </w:rPr>
        <w:t xml:space="preserve"> and reported. Some water sharing plans were amended in July 2022 to enable the implementation of this framework.</w:t>
      </w:r>
      <w:r w:rsidR="00FF3CDE" w:rsidRPr="00633635">
        <w:rPr>
          <w:rFonts w:ascii="Arial" w:hAnsi="Arial" w:cs="Arial"/>
        </w:rPr>
        <w:t xml:space="preserve"> </w:t>
      </w:r>
    </w:p>
    <w:p w14:paraId="0350F92F" w14:textId="18F6F527" w:rsidR="00C46CDB" w:rsidRPr="00633635" w:rsidRDefault="000604DF" w:rsidP="00C46CDB">
      <w:pPr>
        <w:pStyle w:val="Heading3"/>
        <w:rPr>
          <w:rFonts w:ascii="Arial" w:hAnsi="Arial"/>
        </w:rPr>
      </w:pPr>
      <w:r w:rsidRPr="00633635">
        <w:rPr>
          <w:rFonts w:ascii="Arial" w:hAnsi="Arial"/>
        </w:rPr>
        <w:t>Managing</w:t>
      </w:r>
      <w:r w:rsidR="00FA6D5B" w:rsidRPr="00633635">
        <w:rPr>
          <w:rFonts w:ascii="Arial" w:hAnsi="Arial"/>
        </w:rPr>
        <w:t xml:space="preserve"> non-compliance</w:t>
      </w:r>
    </w:p>
    <w:p w14:paraId="0B48FBB8" w14:textId="38ADA449" w:rsidR="00FF3CDE" w:rsidRPr="00633635" w:rsidRDefault="004F3375" w:rsidP="002864E7">
      <w:pPr>
        <w:rPr>
          <w:rFonts w:ascii="Arial" w:hAnsi="Arial" w:cs="Arial"/>
        </w:rPr>
      </w:pPr>
      <w:r w:rsidRPr="00633635">
        <w:rPr>
          <w:rFonts w:ascii="Arial" w:hAnsi="Arial" w:cs="Arial"/>
        </w:rPr>
        <w:t>NRAR</w:t>
      </w:r>
      <w:r w:rsidR="00FF3CDE" w:rsidRPr="00633635">
        <w:rPr>
          <w:rFonts w:ascii="Arial" w:hAnsi="Arial" w:cs="Arial"/>
        </w:rPr>
        <w:t xml:space="preserve"> adopts a risk-based approach to compliance and enforcement, with education at the core of its approach.</w:t>
      </w:r>
      <w:r w:rsidR="00BC495E" w:rsidRPr="00633635">
        <w:rPr>
          <w:rStyle w:val="FootnoteReference"/>
          <w:rFonts w:ascii="Arial" w:hAnsi="Arial" w:cs="Arial"/>
        </w:rPr>
        <w:footnoteReference w:id="5"/>
      </w:r>
    </w:p>
    <w:p w14:paraId="007F696B" w14:textId="75ADF570" w:rsidR="004F3375" w:rsidRPr="00633635" w:rsidRDefault="00697BE9" w:rsidP="002864E7">
      <w:pPr>
        <w:rPr>
          <w:rFonts w:ascii="Arial" w:hAnsi="Arial" w:cs="Arial"/>
        </w:rPr>
      </w:pPr>
      <w:r w:rsidRPr="00633635">
        <w:rPr>
          <w:rFonts w:ascii="Arial" w:hAnsi="Arial" w:cs="Arial"/>
        </w:rPr>
        <w:lastRenderedPageBreak/>
        <w:t>When breaches are identified, NRAR will look to</w:t>
      </w:r>
      <w:r w:rsidR="004F3375" w:rsidRPr="00633635">
        <w:rPr>
          <w:rFonts w:ascii="Arial" w:hAnsi="Arial" w:cs="Arial"/>
        </w:rPr>
        <w:t xml:space="preserve"> employ an educative response </w:t>
      </w:r>
      <w:r w:rsidR="005716E1" w:rsidRPr="00633635">
        <w:rPr>
          <w:rFonts w:ascii="Arial" w:hAnsi="Arial" w:cs="Arial"/>
        </w:rPr>
        <w:t xml:space="preserve">if </w:t>
      </w:r>
      <w:r w:rsidR="004F3375" w:rsidRPr="00633635">
        <w:rPr>
          <w:rFonts w:ascii="Arial" w:hAnsi="Arial" w:cs="Arial"/>
        </w:rPr>
        <w:t xml:space="preserve">the non-compliance is </w:t>
      </w:r>
      <w:r w:rsidR="00BC495E" w:rsidRPr="00633635">
        <w:rPr>
          <w:rFonts w:ascii="Arial" w:hAnsi="Arial" w:cs="Arial"/>
        </w:rPr>
        <w:t xml:space="preserve">not </w:t>
      </w:r>
      <w:proofErr w:type="gramStart"/>
      <w:r w:rsidR="00BC495E" w:rsidRPr="00633635">
        <w:rPr>
          <w:rFonts w:ascii="Arial" w:hAnsi="Arial" w:cs="Arial"/>
        </w:rPr>
        <w:t>severe</w:t>
      </w:r>
      <w:proofErr w:type="gramEnd"/>
      <w:r w:rsidR="004F3375" w:rsidRPr="00633635">
        <w:rPr>
          <w:rFonts w:ascii="Arial" w:hAnsi="Arial" w:cs="Arial"/>
        </w:rPr>
        <w:t xml:space="preserve"> and the offender </w:t>
      </w:r>
      <w:r w:rsidR="00BC495E" w:rsidRPr="00633635">
        <w:rPr>
          <w:rFonts w:ascii="Arial" w:hAnsi="Arial" w:cs="Arial"/>
        </w:rPr>
        <w:t>is willing and able</w:t>
      </w:r>
      <w:r w:rsidR="004F3375" w:rsidRPr="00633635">
        <w:rPr>
          <w:rFonts w:ascii="Arial" w:hAnsi="Arial" w:cs="Arial"/>
        </w:rPr>
        <w:t xml:space="preserve"> to rectify the situation.</w:t>
      </w:r>
      <w:r w:rsidR="00582858" w:rsidRPr="00633635">
        <w:rPr>
          <w:rFonts w:ascii="Arial" w:hAnsi="Arial" w:cs="Arial"/>
        </w:rPr>
        <w:t xml:space="preserve"> However, NRAR has a range of enforcement tools available</w:t>
      </w:r>
      <w:r w:rsidR="005716E1" w:rsidRPr="00633635">
        <w:rPr>
          <w:rFonts w:ascii="Arial" w:hAnsi="Arial" w:cs="Arial"/>
        </w:rPr>
        <w:t xml:space="preserve">, </w:t>
      </w:r>
      <w:r w:rsidR="00582858" w:rsidRPr="00633635">
        <w:rPr>
          <w:rFonts w:ascii="Arial" w:hAnsi="Arial" w:cs="Arial"/>
        </w:rPr>
        <w:t xml:space="preserve">including </w:t>
      </w:r>
      <w:r w:rsidR="002C6494" w:rsidRPr="00633635">
        <w:rPr>
          <w:rFonts w:ascii="Arial" w:hAnsi="Arial" w:cs="Arial"/>
        </w:rPr>
        <w:t xml:space="preserve">warning letters, </w:t>
      </w:r>
      <w:r w:rsidR="00582858" w:rsidRPr="00633635">
        <w:rPr>
          <w:rFonts w:ascii="Arial" w:hAnsi="Arial" w:cs="Arial"/>
        </w:rPr>
        <w:t>penalty infringement notices</w:t>
      </w:r>
      <w:r w:rsidR="000604DF" w:rsidRPr="00633635">
        <w:rPr>
          <w:rFonts w:ascii="Arial" w:hAnsi="Arial" w:cs="Arial"/>
        </w:rPr>
        <w:t>,</w:t>
      </w:r>
      <w:r w:rsidR="00582858" w:rsidRPr="00633635">
        <w:rPr>
          <w:rFonts w:ascii="Arial" w:hAnsi="Arial" w:cs="Arial"/>
        </w:rPr>
        <w:t xml:space="preserve"> enforceable </w:t>
      </w:r>
      <w:proofErr w:type="gramStart"/>
      <w:r w:rsidR="00582858" w:rsidRPr="00633635">
        <w:rPr>
          <w:rFonts w:ascii="Arial" w:hAnsi="Arial" w:cs="Arial"/>
        </w:rPr>
        <w:t>undertakings</w:t>
      </w:r>
      <w:proofErr w:type="gramEnd"/>
      <w:r w:rsidR="00582858" w:rsidRPr="00633635">
        <w:rPr>
          <w:rFonts w:ascii="Arial" w:hAnsi="Arial" w:cs="Arial"/>
        </w:rPr>
        <w:t xml:space="preserve"> </w:t>
      </w:r>
      <w:r w:rsidR="00112EBA" w:rsidRPr="00633635">
        <w:rPr>
          <w:rFonts w:ascii="Arial" w:hAnsi="Arial" w:cs="Arial"/>
        </w:rPr>
        <w:t>and criminal</w:t>
      </w:r>
      <w:r w:rsidR="00582858" w:rsidRPr="00633635">
        <w:rPr>
          <w:rFonts w:ascii="Arial" w:hAnsi="Arial" w:cs="Arial"/>
        </w:rPr>
        <w:t xml:space="preserve"> prosecution.</w:t>
      </w:r>
    </w:p>
    <w:p w14:paraId="3F3AAACF" w14:textId="3DF1262D" w:rsidR="00A6667B" w:rsidRPr="00633635" w:rsidRDefault="00697BE9" w:rsidP="002864E7">
      <w:pPr>
        <w:rPr>
          <w:rFonts w:ascii="Arial" w:hAnsi="Arial" w:cs="Arial"/>
        </w:rPr>
      </w:pPr>
      <w:r w:rsidRPr="00633635">
        <w:rPr>
          <w:rFonts w:ascii="Arial" w:hAnsi="Arial" w:cs="Arial"/>
        </w:rPr>
        <w:t xml:space="preserve">It is important to note the progress made by </w:t>
      </w:r>
      <w:r w:rsidR="000604DF" w:rsidRPr="00633635">
        <w:rPr>
          <w:rFonts w:ascii="Arial" w:hAnsi="Arial" w:cs="Arial"/>
        </w:rPr>
        <w:t xml:space="preserve">New South Wales </w:t>
      </w:r>
      <w:r w:rsidRPr="00633635">
        <w:rPr>
          <w:rFonts w:ascii="Arial" w:hAnsi="Arial" w:cs="Arial"/>
        </w:rPr>
        <w:t>in this area. When the Basin Compliance Review was conducted in 2017</w:t>
      </w:r>
      <w:r w:rsidR="000604DF" w:rsidRPr="00633635">
        <w:rPr>
          <w:rFonts w:ascii="Arial" w:hAnsi="Arial" w:cs="Arial"/>
        </w:rPr>
        <w:t>, it noted that New South Wales had</w:t>
      </w:r>
      <w:r w:rsidRPr="00633635">
        <w:rPr>
          <w:rFonts w:ascii="Arial" w:hAnsi="Arial" w:cs="Arial"/>
        </w:rPr>
        <w:t xml:space="preserve"> issued only 44 warning letters, 122 advisory notices and zero prosecutions</w:t>
      </w:r>
      <w:r w:rsidR="002D2A18" w:rsidRPr="00633635">
        <w:rPr>
          <w:rFonts w:ascii="Arial" w:hAnsi="Arial" w:cs="Arial"/>
        </w:rPr>
        <w:t xml:space="preserve"> during the 2016</w:t>
      </w:r>
      <w:r w:rsidR="000604DF" w:rsidRPr="00633635">
        <w:rPr>
          <w:rFonts w:ascii="Arial" w:hAnsi="Arial" w:cs="Arial"/>
        </w:rPr>
        <w:t>–</w:t>
      </w:r>
      <w:r w:rsidR="002D2A18" w:rsidRPr="00633635">
        <w:rPr>
          <w:rFonts w:ascii="Arial" w:hAnsi="Arial" w:cs="Arial"/>
        </w:rPr>
        <w:t>17 water year</w:t>
      </w:r>
      <w:r w:rsidRPr="00633635">
        <w:rPr>
          <w:rFonts w:ascii="Arial" w:hAnsi="Arial" w:cs="Arial"/>
        </w:rPr>
        <w:t>.</w:t>
      </w:r>
      <w:r w:rsidR="002D2A18" w:rsidRPr="00633635">
        <w:rPr>
          <w:rStyle w:val="FootnoteReference"/>
          <w:rFonts w:ascii="Arial" w:hAnsi="Arial" w:cs="Arial"/>
        </w:rPr>
        <w:footnoteReference w:id="6"/>
      </w:r>
      <w:r w:rsidRPr="00633635">
        <w:rPr>
          <w:rFonts w:ascii="Arial" w:hAnsi="Arial" w:cs="Arial"/>
        </w:rPr>
        <w:t xml:space="preserve"> </w:t>
      </w:r>
      <w:r w:rsidR="00D36921" w:rsidRPr="00633635">
        <w:rPr>
          <w:rFonts w:ascii="Arial" w:hAnsi="Arial" w:cs="Arial"/>
        </w:rPr>
        <w:t xml:space="preserve">By contrast, in 2020–21 </w:t>
      </w:r>
      <w:r w:rsidR="002D2A18" w:rsidRPr="00633635">
        <w:rPr>
          <w:rFonts w:ascii="Arial" w:hAnsi="Arial" w:cs="Arial"/>
        </w:rPr>
        <w:t xml:space="preserve">NRAR issued 843 enforcement actions, completed 7 </w:t>
      </w:r>
      <w:proofErr w:type="gramStart"/>
      <w:r w:rsidR="002D2A18" w:rsidRPr="00633635">
        <w:rPr>
          <w:rFonts w:ascii="Arial" w:hAnsi="Arial" w:cs="Arial"/>
        </w:rPr>
        <w:t>prosecutions</w:t>
      </w:r>
      <w:proofErr w:type="gramEnd"/>
      <w:r w:rsidR="002D2A18" w:rsidRPr="00633635">
        <w:rPr>
          <w:rFonts w:ascii="Arial" w:hAnsi="Arial" w:cs="Arial"/>
        </w:rPr>
        <w:t xml:space="preserve"> and commenced a further 8</w:t>
      </w:r>
      <w:r w:rsidR="00D36921" w:rsidRPr="00633635">
        <w:rPr>
          <w:rFonts w:ascii="Arial" w:hAnsi="Arial" w:cs="Arial"/>
        </w:rPr>
        <w:t xml:space="preserve"> prosecutions</w:t>
      </w:r>
      <w:r w:rsidR="002D2A18" w:rsidRPr="00633635">
        <w:rPr>
          <w:rFonts w:ascii="Arial" w:hAnsi="Arial" w:cs="Arial"/>
        </w:rPr>
        <w:t>.</w:t>
      </w:r>
      <w:r w:rsidR="002D2A18" w:rsidRPr="00633635">
        <w:rPr>
          <w:rStyle w:val="FootnoteReference"/>
          <w:rFonts w:ascii="Arial" w:hAnsi="Arial" w:cs="Arial"/>
        </w:rPr>
        <w:footnoteReference w:id="7"/>
      </w:r>
    </w:p>
    <w:p w14:paraId="76433603" w14:textId="2DADB85C" w:rsidR="00A6667B" w:rsidRPr="00633635" w:rsidRDefault="00A6667B" w:rsidP="00766FD5">
      <w:pPr>
        <w:pStyle w:val="Heading3"/>
        <w:rPr>
          <w:rFonts w:ascii="Arial" w:hAnsi="Arial"/>
        </w:rPr>
      </w:pPr>
      <w:r w:rsidRPr="00633635">
        <w:rPr>
          <w:rFonts w:ascii="Arial" w:hAnsi="Arial"/>
        </w:rPr>
        <w:t xml:space="preserve">Public </w:t>
      </w:r>
      <w:r w:rsidR="00EC0E8D" w:rsidRPr="00633635">
        <w:rPr>
          <w:rFonts w:ascii="Arial" w:hAnsi="Arial"/>
        </w:rPr>
        <w:t>reporting</w:t>
      </w:r>
    </w:p>
    <w:p w14:paraId="54AA8712" w14:textId="7BA17F3B" w:rsidR="00766FD5" w:rsidRPr="00633635" w:rsidRDefault="00766FD5" w:rsidP="00766FD5">
      <w:pPr>
        <w:rPr>
          <w:rFonts w:ascii="Arial" w:hAnsi="Arial" w:cs="Arial"/>
        </w:rPr>
      </w:pPr>
      <w:r w:rsidRPr="00633635">
        <w:rPr>
          <w:rFonts w:ascii="Arial" w:hAnsi="Arial" w:cs="Arial"/>
        </w:rPr>
        <w:t xml:space="preserve">NSW is notable for </w:t>
      </w:r>
      <w:r w:rsidR="00D36921" w:rsidRPr="00633635">
        <w:rPr>
          <w:rFonts w:ascii="Arial" w:hAnsi="Arial" w:cs="Arial"/>
        </w:rPr>
        <w:t xml:space="preserve">its </w:t>
      </w:r>
      <w:r w:rsidRPr="00633635">
        <w:rPr>
          <w:rFonts w:ascii="Arial" w:hAnsi="Arial" w:cs="Arial"/>
        </w:rPr>
        <w:t xml:space="preserve">level of transparency </w:t>
      </w:r>
      <w:r w:rsidR="00465D47" w:rsidRPr="00633635">
        <w:rPr>
          <w:rFonts w:ascii="Arial" w:hAnsi="Arial" w:cs="Arial"/>
        </w:rPr>
        <w:t>when reporting on compliance and enforcement activities and outcomes.</w:t>
      </w:r>
    </w:p>
    <w:p w14:paraId="1FF867F8" w14:textId="4A177A58" w:rsidR="00F808C7" w:rsidRPr="00633635" w:rsidRDefault="00766FD5" w:rsidP="00766FD5">
      <w:pPr>
        <w:rPr>
          <w:rFonts w:ascii="Arial" w:hAnsi="Arial" w:cs="Arial"/>
        </w:rPr>
      </w:pPr>
      <w:r w:rsidRPr="00633635">
        <w:rPr>
          <w:rFonts w:ascii="Arial" w:hAnsi="Arial" w:cs="Arial"/>
        </w:rPr>
        <w:t xml:space="preserve">NRAR publishes a quarterly report on its compliance and enforcement </w:t>
      </w:r>
      <w:r w:rsidR="00304049" w:rsidRPr="00633635">
        <w:rPr>
          <w:rFonts w:ascii="Arial" w:hAnsi="Arial" w:cs="Arial"/>
        </w:rPr>
        <w:t>activities</w:t>
      </w:r>
      <w:r w:rsidR="004D705D" w:rsidRPr="00633635">
        <w:rPr>
          <w:rFonts w:ascii="Arial" w:hAnsi="Arial" w:cs="Arial"/>
        </w:rPr>
        <w:t>.</w:t>
      </w:r>
      <w:r w:rsidR="00F808C7" w:rsidRPr="00633635">
        <w:rPr>
          <w:rStyle w:val="FootnoteReference"/>
          <w:rFonts w:ascii="Arial" w:hAnsi="Arial" w:cs="Arial"/>
        </w:rPr>
        <w:footnoteReference w:id="8"/>
      </w:r>
      <w:r w:rsidR="00C3739D" w:rsidRPr="00633635">
        <w:rPr>
          <w:rFonts w:ascii="Arial" w:hAnsi="Arial" w:cs="Arial"/>
        </w:rPr>
        <w:t xml:space="preserve"> It</w:t>
      </w:r>
      <w:r w:rsidRPr="00633635">
        <w:rPr>
          <w:rFonts w:ascii="Arial" w:hAnsi="Arial" w:cs="Arial"/>
        </w:rPr>
        <w:t xml:space="preserve"> has also produced an interactive dashboard which can be used to display quarterly </w:t>
      </w:r>
      <w:r w:rsidR="00F808C7" w:rsidRPr="00633635">
        <w:rPr>
          <w:rFonts w:ascii="Arial" w:hAnsi="Arial" w:cs="Arial"/>
        </w:rPr>
        <w:t>enforcement actions</w:t>
      </w:r>
      <w:r w:rsidRPr="00633635">
        <w:rPr>
          <w:rFonts w:ascii="Arial" w:hAnsi="Arial" w:cs="Arial"/>
        </w:rPr>
        <w:t xml:space="preserve"> going back to 20</w:t>
      </w:r>
      <w:r w:rsidR="00F808C7" w:rsidRPr="00633635">
        <w:rPr>
          <w:rFonts w:ascii="Arial" w:hAnsi="Arial" w:cs="Arial"/>
        </w:rPr>
        <w:t>03, categorised by local government area, water sharing plan and enforcement type</w:t>
      </w:r>
      <w:r w:rsidR="00C3739D" w:rsidRPr="00633635">
        <w:rPr>
          <w:rFonts w:ascii="Arial" w:hAnsi="Arial" w:cs="Arial"/>
        </w:rPr>
        <w:t>.</w:t>
      </w:r>
      <w:r w:rsidR="00F808C7" w:rsidRPr="00633635">
        <w:rPr>
          <w:rStyle w:val="FootnoteReference"/>
          <w:rFonts w:ascii="Arial" w:hAnsi="Arial" w:cs="Arial"/>
        </w:rPr>
        <w:footnoteReference w:id="9"/>
      </w:r>
      <w:r w:rsidRPr="00633635">
        <w:rPr>
          <w:rFonts w:ascii="Arial" w:hAnsi="Arial" w:cs="Arial"/>
        </w:rPr>
        <w:t xml:space="preserve"> </w:t>
      </w:r>
    </w:p>
    <w:p w14:paraId="7885D51F" w14:textId="01BD6780" w:rsidR="001026E4" w:rsidRPr="00633635" w:rsidRDefault="00112EBA" w:rsidP="00766FD5">
      <w:pPr>
        <w:rPr>
          <w:rFonts w:ascii="Arial" w:hAnsi="Arial" w:cs="Arial"/>
        </w:rPr>
      </w:pPr>
      <w:r w:rsidRPr="00633635">
        <w:rPr>
          <w:rFonts w:ascii="Arial" w:hAnsi="Arial" w:cs="Arial"/>
        </w:rPr>
        <w:t>In addition</w:t>
      </w:r>
      <w:r w:rsidR="00766FD5" w:rsidRPr="00633635">
        <w:rPr>
          <w:rFonts w:ascii="Arial" w:hAnsi="Arial" w:cs="Arial"/>
        </w:rPr>
        <w:t>, NRAR has published an annual progress report for the past three year</w:t>
      </w:r>
      <w:r w:rsidR="00304049" w:rsidRPr="00633635">
        <w:rPr>
          <w:rFonts w:ascii="Arial" w:hAnsi="Arial" w:cs="Arial"/>
        </w:rPr>
        <w:t>s</w:t>
      </w:r>
      <w:r w:rsidR="00766FD5" w:rsidRPr="00633635">
        <w:rPr>
          <w:rFonts w:ascii="Arial" w:hAnsi="Arial" w:cs="Arial"/>
        </w:rPr>
        <w:t>. These reports provide a more complete picture of NRAR’s compliance and enforcement activities</w:t>
      </w:r>
      <w:r w:rsidR="00C3739D" w:rsidRPr="00633635">
        <w:rPr>
          <w:rFonts w:ascii="Arial" w:hAnsi="Arial" w:cs="Arial"/>
        </w:rPr>
        <w:t>.</w:t>
      </w:r>
      <w:r w:rsidR="003C21E7" w:rsidRPr="00633635">
        <w:rPr>
          <w:rStyle w:val="FootnoteReference"/>
          <w:rFonts w:ascii="Arial" w:hAnsi="Arial" w:cs="Arial"/>
        </w:rPr>
        <w:footnoteReference w:id="10"/>
      </w:r>
    </w:p>
    <w:p w14:paraId="699A1221" w14:textId="5A3851B2" w:rsidR="001026E4" w:rsidRPr="00633635" w:rsidRDefault="00112EBA" w:rsidP="009918A8">
      <w:pPr>
        <w:pStyle w:val="Heading3"/>
        <w:rPr>
          <w:rFonts w:ascii="Arial" w:hAnsi="Arial"/>
        </w:rPr>
      </w:pPr>
      <w:r w:rsidRPr="00633635">
        <w:rPr>
          <w:rFonts w:ascii="Arial" w:hAnsi="Arial"/>
        </w:rPr>
        <w:t>Inspector-General</w:t>
      </w:r>
      <w:r w:rsidR="009918A8" w:rsidRPr="00633635">
        <w:rPr>
          <w:rFonts w:ascii="Arial" w:hAnsi="Arial"/>
        </w:rPr>
        <w:t xml:space="preserve"> </w:t>
      </w:r>
      <w:r w:rsidR="00EC0E8D" w:rsidRPr="00633635">
        <w:rPr>
          <w:rFonts w:ascii="Arial" w:hAnsi="Arial"/>
        </w:rPr>
        <w:t>observations</w:t>
      </w:r>
    </w:p>
    <w:p w14:paraId="54A80BA1" w14:textId="2D60DC08" w:rsidR="008A4D0F" w:rsidRPr="00633635" w:rsidRDefault="00AB7714" w:rsidP="002864E7">
      <w:pPr>
        <w:rPr>
          <w:rFonts w:ascii="Arial" w:hAnsi="Arial" w:cs="Arial"/>
        </w:rPr>
      </w:pPr>
      <w:r w:rsidRPr="00633635">
        <w:rPr>
          <w:rFonts w:ascii="Arial" w:hAnsi="Arial" w:cs="Arial"/>
        </w:rPr>
        <w:t xml:space="preserve">The </w:t>
      </w:r>
      <w:r w:rsidR="00DC1A25" w:rsidRPr="00633635">
        <w:rPr>
          <w:rFonts w:ascii="Arial" w:hAnsi="Arial" w:cs="Arial"/>
        </w:rPr>
        <w:t>Inspector-General</w:t>
      </w:r>
      <w:r w:rsidRPr="00633635">
        <w:rPr>
          <w:rFonts w:ascii="Arial" w:hAnsi="Arial" w:cs="Arial"/>
        </w:rPr>
        <w:t xml:space="preserve"> commends New South Wales for its progress</w:t>
      </w:r>
      <w:r w:rsidR="009918A8" w:rsidRPr="00633635">
        <w:rPr>
          <w:rFonts w:ascii="Arial" w:hAnsi="Arial" w:cs="Arial"/>
        </w:rPr>
        <w:t xml:space="preserve"> since 2017, particular</w:t>
      </w:r>
      <w:r w:rsidR="001049C1" w:rsidRPr="00633635">
        <w:rPr>
          <w:rFonts w:ascii="Arial" w:hAnsi="Arial" w:cs="Arial"/>
        </w:rPr>
        <w:t>ly</w:t>
      </w:r>
      <w:r w:rsidR="009918A8" w:rsidRPr="00633635">
        <w:rPr>
          <w:rFonts w:ascii="Arial" w:hAnsi="Arial" w:cs="Arial"/>
        </w:rPr>
        <w:t xml:space="preserve"> </w:t>
      </w:r>
      <w:r w:rsidR="0008506D" w:rsidRPr="00633635">
        <w:rPr>
          <w:rFonts w:ascii="Arial" w:hAnsi="Arial" w:cs="Arial"/>
        </w:rPr>
        <w:t>regarding</w:t>
      </w:r>
      <w:r w:rsidR="008A4D0F" w:rsidRPr="00633635">
        <w:rPr>
          <w:rFonts w:ascii="Arial" w:hAnsi="Arial" w:cs="Arial"/>
        </w:rPr>
        <w:t xml:space="preserve"> the resources dedicated to </w:t>
      </w:r>
      <w:r w:rsidR="0008506D" w:rsidRPr="00633635">
        <w:rPr>
          <w:rFonts w:ascii="Arial" w:hAnsi="Arial" w:cs="Arial"/>
        </w:rPr>
        <w:t xml:space="preserve">managing </w:t>
      </w:r>
      <w:r w:rsidR="008A4D0F" w:rsidRPr="00633635">
        <w:rPr>
          <w:rFonts w:ascii="Arial" w:hAnsi="Arial" w:cs="Arial"/>
        </w:rPr>
        <w:t>compliance</w:t>
      </w:r>
      <w:r w:rsidRPr="00633635">
        <w:rPr>
          <w:rFonts w:ascii="Arial" w:hAnsi="Arial" w:cs="Arial"/>
        </w:rPr>
        <w:t xml:space="preserve">; </w:t>
      </w:r>
      <w:r w:rsidR="008A4D0F" w:rsidRPr="00633635">
        <w:rPr>
          <w:rFonts w:ascii="Arial" w:hAnsi="Arial" w:cs="Arial"/>
        </w:rPr>
        <w:t>the level of public reporting on compliance and enforcement activities</w:t>
      </w:r>
      <w:r w:rsidRPr="00633635">
        <w:rPr>
          <w:rFonts w:ascii="Arial" w:hAnsi="Arial" w:cs="Arial"/>
        </w:rPr>
        <w:t xml:space="preserve">; </w:t>
      </w:r>
      <w:r w:rsidR="008A4D0F" w:rsidRPr="00633635">
        <w:rPr>
          <w:rFonts w:ascii="Arial" w:hAnsi="Arial" w:cs="Arial"/>
        </w:rPr>
        <w:t>and the adoption of new technologies to increase monitoring capabilities.</w:t>
      </w:r>
    </w:p>
    <w:p w14:paraId="64F7CBBD" w14:textId="05D339B8" w:rsidR="00603D3B" w:rsidRPr="00633635" w:rsidRDefault="00DC1A25" w:rsidP="002864E7">
      <w:pPr>
        <w:rPr>
          <w:rFonts w:ascii="Arial" w:hAnsi="Arial" w:cs="Arial"/>
        </w:rPr>
      </w:pPr>
      <w:r w:rsidRPr="00633635">
        <w:rPr>
          <w:rFonts w:ascii="Arial" w:hAnsi="Arial" w:cs="Arial"/>
        </w:rPr>
        <w:t>Mr Pearson’s</w:t>
      </w:r>
      <w:r w:rsidR="008A4D0F" w:rsidRPr="00633635">
        <w:rPr>
          <w:rFonts w:ascii="Arial" w:hAnsi="Arial" w:cs="Arial"/>
        </w:rPr>
        <w:t xml:space="preserve"> </w:t>
      </w:r>
      <w:r w:rsidR="00CE63BC" w:rsidRPr="00633635">
        <w:rPr>
          <w:rFonts w:ascii="Arial" w:hAnsi="Arial" w:cs="Arial"/>
        </w:rPr>
        <w:t>review</w:t>
      </w:r>
      <w:r w:rsidR="00603D3B" w:rsidRPr="00633635">
        <w:rPr>
          <w:rFonts w:ascii="Arial" w:hAnsi="Arial" w:cs="Arial"/>
        </w:rPr>
        <w:t xml:space="preserve">, whilst noting the achievements of </w:t>
      </w:r>
      <w:r w:rsidR="00E83D63" w:rsidRPr="00633635">
        <w:rPr>
          <w:rFonts w:ascii="Arial" w:hAnsi="Arial" w:cs="Arial"/>
        </w:rPr>
        <w:t>New South Wales</w:t>
      </w:r>
      <w:r w:rsidR="00603D3B" w:rsidRPr="00633635">
        <w:rPr>
          <w:rFonts w:ascii="Arial" w:hAnsi="Arial" w:cs="Arial"/>
        </w:rPr>
        <w:t xml:space="preserve">, </w:t>
      </w:r>
      <w:r w:rsidR="008A4D0F" w:rsidRPr="00633635">
        <w:rPr>
          <w:rFonts w:ascii="Arial" w:hAnsi="Arial" w:cs="Arial"/>
        </w:rPr>
        <w:t xml:space="preserve">was critical of </w:t>
      </w:r>
      <w:r w:rsidR="001049C1" w:rsidRPr="00633635">
        <w:rPr>
          <w:rFonts w:ascii="Arial" w:hAnsi="Arial" w:cs="Arial"/>
        </w:rPr>
        <w:t xml:space="preserve">its </w:t>
      </w:r>
      <w:r w:rsidR="008A4D0F" w:rsidRPr="00633635">
        <w:rPr>
          <w:rFonts w:ascii="Arial" w:hAnsi="Arial" w:cs="Arial"/>
        </w:rPr>
        <w:t>ability to effectively monitor licence</w:t>
      </w:r>
      <w:r w:rsidR="001049C1" w:rsidRPr="00633635">
        <w:rPr>
          <w:rFonts w:ascii="Arial" w:hAnsi="Arial" w:cs="Arial"/>
        </w:rPr>
        <w:t>-</w:t>
      </w:r>
      <w:r w:rsidR="008A4D0F" w:rsidRPr="00633635">
        <w:rPr>
          <w:rFonts w:ascii="Arial" w:hAnsi="Arial" w:cs="Arial"/>
        </w:rPr>
        <w:t>holder</w:t>
      </w:r>
      <w:r w:rsidR="001049C1" w:rsidRPr="00633635">
        <w:rPr>
          <w:rFonts w:ascii="Arial" w:hAnsi="Arial" w:cs="Arial"/>
        </w:rPr>
        <w:t>s’</w:t>
      </w:r>
      <w:r w:rsidR="008A4D0F" w:rsidRPr="00633635">
        <w:rPr>
          <w:rFonts w:ascii="Arial" w:hAnsi="Arial" w:cs="Arial"/>
        </w:rPr>
        <w:t xml:space="preserve"> take against allocation</w:t>
      </w:r>
      <w:r w:rsidR="001049C1" w:rsidRPr="00633635">
        <w:rPr>
          <w:rFonts w:ascii="Arial" w:hAnsi="Arial" w:cs="Arial"/>
        </w:rPr>
        <w:t xml:space="preserve">. </w:t>
      </w:r>
      <w:r w:rsidR="00B92245" w:rsidRPr="00633635">
        <w:rPr>
          <w:rFonts w:ascii="Arial" w:hAnsi="Arial" w:cs="Arial"/>
        </w:rPr>
        <w:t>Mr Pearson</w:t>
      </w:r>
      <w:r w:rsidR="001049C1" w:rsidRPr="00633635">
        <w:rPr>
          <w:rFonts w:ascii="Arial" w:hAnsi="Arial" w:cs="Arial"/>
        </w:rPr>
        <w:t xml:space="preserve"> viewed this</w:t>
      </w:r>
      <w:r w:rsidR="00603D3B" w:rsidRPr="00633635">
        <w:rPr>
          <w:rFonts w:ascii="Arial" w:hAnsi="Arial" w:cs="Arial"/>
        </w:rPr>
        <w:t xml:space="preserve"> as core to an effective compliance framework</w:t>
      </w:r>
      <w:r w:rsidR="008A4D0F" w:rsidRPr="00633635">
        <w:rPr>
          <w:rFonts w:ascii="Arial" w:hAnsi="Arial" w:cs="Arial"/>
        </w:rPr>
        <w:t xml:space="preserve">. In part, </w:t>
      </w:r>
      <w:r w:rsidR="00B92245" w:rsidRPr="00633635">
        <w:rPr>
          <w:rFonts w:ascii="Arial" w:hAnsi="Arial" w:cs="Arial"/>
        </w:rPr>
        <w:t>he</w:t>
      </w:r>
      <w:r w:rsidR="00603D3B" w:rsidRPr="00633635">
        <w:rPr>
          <w:rFonts w:ascii="Arial" w:hAnsi="Arial" w:cs="Arial"/>
        </w:rPr>
        <w:t xml:space="preserve"> saw this as</w:t>
      </w:r>
      <w:r w:rsidR="008A4D0F" w:rsidRPr="00633635">
        <w:rPr>
          <w:rFonts w:ascii="Arial" w:hAnsi="Arial" w:cs="Arial"/>
        </w:rPr>
        <w:t xml:space="preserve"> driven by the separation of the customer</w:t>
      </w:r>
      <w:r w:rsidR="00E83D63" w:rsidRPr="00633635">
        <w:rPr>
          <w:rFonts w:ascii="Arial" w:hAnsi="Arial" w:cs="Arial"/>
        </w:rPr>
        <w:t>-</w:t>
      </w:r>
      <w:r w:rsidR="008A4D0F" w:rsidRPr="00633635">
        <w:rPr>
          <w:rFonts w:ascii="Arial" w:hAnsi="Arial" w:cs="Arial"/>
        </w:rPr>
        <w:t xml:space="preserve">facing agency (WaterNSW) </w:t>
      </w:r>
      <w:r w:rsidR="00B92245" w:rsidRPr="00633635">
        <w:rPr>
          <w:rFonts w:ascii="Arial" w:hAnsi="Arial" w:cs="Arial"/>
        </w:rPr>
        <w:t xml:space="preserve">from </w:t>
      </w:r>
      <w:r w:rsidR="008A4D0F" w:rsidRPr="00633635">
        <w:rPr>
          <w:rFonts w:ascii="Arial" w:hAnsi="Arial" w:cs="Arial"/>
        </w:rPr>
        <w:t xml:space="preserve">the enforcement agency (NRAR), as well as </w:t>
      </w:r>
      <w:r w:rsidR="00B92245" w:rsidRPr="00633635">
        <w:rPr>
          <w:rFonts w:ascii="Arial" w:hAnsi="Arial" w:cs="Arial"/>
        </w:rPr>
        <w:t xml:space="preserve">by </w:t>
      </w:r>
      <w:r w:rsidR="008A4D0F" w:rsidRPr="00633635">
        <w:rPr>
          <w:rFonts w:ascii="Arial" w:hAnsi="Arial" w:cs="Arial"/>
        </w:rPr>
        <w:t xml:space="preserve">the gaps that remain in metering coverage in certain areas of the state. </w:t>
      </w:r>
    </w:p>
    <w:p w14:paraId="7DDD70BF" w14:textId="22EC38FE" w:rsidR="00CA7422" w:rsidRPr="00633635" w:rsidRDefault="008A4D0F" w:rsidP="002864E7">
      <w:pPr>
        <w:rPr>
          <w:rFonts w:ascii="Arial" w:hAnsi="Arial" w:cs="Arial"/>
        </w:rPr>
      </w:pPr>
      <w:r w:rsidRPr="00633635">
        <w:rPr>
          <w:rFonts w:ascii="Arial" w:hAnsi="Arial" w:cs="Arial"/>
        </w:rPr>
        <w:t xml:space="preserve">Whilst </w:t>
      </w:r>
      <w:r w:rsidR="00CE63BC" w:rsidRPr="00633635">
        <w:rPr>
          <w:rFonts w:ascii="Arial" w:hAnsi="Arial" w:cs="Arial"/>
        </w:rPr>
        <w:t>noting</w:t>
      </w:r>
      <w:r w:rsidRPr="00633635">
        <w:rPr>
          <w:rFonts w:ascii="Arial" w:hAnsi="Arial" w:cs="Arial"/>
        </w:rPr>
        <w:t xml:space="preserve"> these criticisms, the </w:t>
      </w:r>
      <w:r w:rsidR="00DC1A25" w:rsidRPr="00633635">
        <w:rPr>
          <w:rFonts w:ascii="Arial" w:hAnsi="Arial" w:cs="Arial"/>
        </w:rPr>
        <w:t>Inspector-General</w:t>
      </w:r>
      <w:r w:rsidRPr="00633635">
        <w:rPr>
          <w:rFonts w:ascii="Arial" w:hAnsi="Arial" w:cs="Arial"/>
        </w:rPr>
        <w:t xml:space="preserve"> is encouraged by the progress of the current </w:t>
      </w:r>
      <w:r w:rsidR="00DC1A25" w:rsidRPr="00633635">
        <w:rPr>
          <w:rFonts w:ascii="Arial" w:hAnsi="Arial" w:cs="Arial"/>
        </w:rPr>
        <w:t xml:space="preserve">non-urban </w:t>
      </w:r>
      <w:r w:rsidRPr="00633635">
        <w:rPr>
          <w:rFonts w:ascii="Arial" w:hAnsi="Arial" w:cs="Arial"/>
        </w:rPr>
        <w:t xml:space="preserve">metering rollout, </w:t>
      </w:r>
      <w:r w:rsidR="00DC1A25" w:rsidRPr="00633635">
        <w:rPr>
          <w:rFonts w:ascii="Arial" w:hAnsi="Arial" w:cs="Arial"/>
        </w:rPr>
        <w:t>and</w:t>
      </w:r>
      <w:r w:rsidR="00CB5979" w:rsidRPr="00633635">
        <w:rPr>
          <w:rFonts w:ascii="Arial" w:hAnsi="Arial" w:cs="Arial"/>
        </w:rPr>
        <w:t xml:space="preserve"> </w:t>
      </w:r>
      <w:r w:rsidRPr="00633635">
        <w:rPr>
          <w:rFonts w:ascii="Arial" w:hAnsi="Arial" w:cs="Arial"/>
        </w:rPr>
        <w:t>the</w:t>
      </w:r>
      <w:r w:rsidR="00DC1A25" w:rsidRPr="00633635">
        <w:rPr>
          <w:rFonts w:ascii="Arial" w:hAnsi="Arial" w:cs="Arial"/>
        </w:rPr>
        <w:t xml:space="preserve"> recent</w:t>
      </w:r>
      <w:r w:rsidRPr="00633635">
        <w:rPr>
          <w:rFonts w:ascii="Arial" w:hAnsi="Arial" w:cs="Arial"/>
        </w:rPr>
        <w:t xml:space="preserve"> development of the dashboard allowing individual licence</w:t>
      </w:r>
      <w:r w:rsidR="00CB5979" w:rsidRPr="00633635">
        <w:rPr>
          <w:rFonts w:ascii="Arial" w:hAnsi="Arial" w:cs="Arial"/>
        </w:rPr>
        <w:t>-</w:t>
      </w:r>
      <w:r w:rsidRPr="00633635">
        <w:rPr>
          <w:rFonts w:ascii="Arial" w:hAnsi="Arial" w:cs="Arial"/>
        </w:rPr>
        <w:t>holder</w:t>
      </w:r>
      <w:r w:rsidR="00CB5979" w:rsidRPr="00633635">
        <w:rPr>
          <w:rFonts w:ascii="Arial" w:hAnsi="Arial" w:cs="Arial"/>
        </w:rPr>
        <w:t>s’</w:t>
      </w:r>
      <w:r w:rsidRPr="00633635">
        <w:rPr>
          <w:rFonts w:ascii="Arial" w:hAnsi="Arial" w:cs="Arial"/>
        </w:rPr>
        <w:t xml:space="preserve"> take to be monitored </w:t>
      </w:r>
      <w:r w:rsidR="00B92245" w:rsidRPr="00633635">
        <w:rPr>
          <w:rFonts w:ascii="Arial" w:hAnsi="Arial" w:cs="Arial"/>
        </w:rPr>
        <w:t>more often</w:t>
      </w:r>
      <w:r w:rsidRPr="00633635">
        <w:rPr>
          <w:rFonts w:ascii="Arial" w:hAnsi="Arial" w:cs="Arial"/>
        </w:rPr>
        <w:t>.</w:t>
      </w:r>
      <w:r w:rsidR="00317496" w:rsidRPr="00633635">
        <w:rPr>
          <w:rFonts w:ascii="Arial" w:hAnsi="Arial" w:cs="Arial"/>
        </w:rPr>
        <w:t xml:space="preserve"> How</w:t>
      </w:r>
      <w:r w:rsidR="009154F7" w:rsidRPr="00633635">
        <w:rPr>
          <w:rFonts w:ascii="Arial" w:hAnsi="Arial" w:cs="Arial"/>
        </w:rPr>
        <w:t>ever,</w:t>
      </w:r>
      <w:r w:rsidRPr="00633635">
        <w:rPr>
          <w:rFonts w:ascii="Arial" w:hAnsi="Arial" w:cs="Arial"/>
        </w:rPr>
        <w:t xml:space="preserve"> </w:t>
      </w:r>
      <w:r w:rsidR="00317496" w:rsidRPr="00633635">
        <w:rPr>
          <w:rFonts w:ascii="Arial" w:hAnsi="Arial" w:cs="Arial"/>
        </w:rPr>
        <w:t xml:space="preserve">there does appear to remain a blurring of </w:t>
      </w:r>
      <w:r w:rsidR="00A57ABD" w:rsidRPr="00633635">
        <w:rPr>
          <w:rFonts w:ascii="Arial" w:hAnsi="Arial" w:cs="Arial"/>
        </w:rPr>
        <w:t xml:space="preserve">the responsibilities </w:t>
      </w:r>
      <w:r w:rsidR="0047212D" w:rsidRPr="00633635">
        <w:rPr>
          <w:rFonts w:ascii="Arial" w:hAnsi="Arial" w:cs="Arial"/>
        </w:rPr>
        <w:t xml:space="preserve">for </w:t>
      </w:r>
      <w:r w:rsidR="007A1DEA">
        <w:rPr>
          <w:rFonts w:ascii="Arial" w:hAnsi="Arial" w:cs="Arial"/>
        </w:rPr>
        <w:t>one</w:t>
      </w:r>
      <w:r w:rsidR="00317496" w:rsidRPr="00633635">
        <w:rPr>
          <w:rFonts w:ascii="Arial" w:hAnsi="Arial" w:cs="Arial"/>
        </w:rPr>
        <w:t xml:space="preserve"> aspect of the compliance function, with WaterNSW </w:t>
      </w:r>
      <w:r w:rsidR="005C7807" w:rsidRPr="00633635">
        <w:rPr>
          <w:rFonts w:ascii="Arial" w:hAnsi="Arial" w:cs="Arial"/>
        </w:rPr>
        <w:t>retaining the respons</w:t>
      </w:r>
      <w:r w:rsidR="009412E0" w:rsidRPr="00633635">
        <w:rPr>
          <w:rFonts w:ascii="Arial" w:hAnsi="Arial" w:cs="Arial"/>
        </w:rPr>
        <w:t xml:space="preserve">ibility for monitoring individual licence holder compliance </w:t>
      </w:r>
      <w:r w:rsidR="001F11D8" w:rsidRPr="00633635">
        <w:rPr>
          <w:rFonts w:ascii="Arial" w:hAnsi="Arial" w:cs="Arial"/>
        </w:rPr>
        <w:t>with take against allocation</w:t>
      </w:r>
      <w:r w:rsidR="00317496" w:rsidRPr="00633635">
        <w:rPr>
          <w:rFonts w:ascii="Arial" w:hAnsi="Arial" w:cs="Arial"/>
        </w:rPr>
        <w:t>.</w:t>
      </w:r>
    </w:p>
    <w:p w14:paraId="5755A9B3" w14:textId="77777777" w:rsidR="00F70A65" w:rsidRPr="00F70A65" w:rsidRDefault="00F70A65" w:rsidP="00F70A65">
      <w:pPr>
        <w:rPr>
          <w:rFonts w:ascii="Arial" w:hAnsi="Arial" w:cs="Arial"/>
        </w:rPr>
      </w:pPr>
      <w:r w:rsidRPr="00F70A65">
        <w:rPr>
          <w:rFonts w:ascii="Arial" w:hAnsi="Arial" w:cs="Arial"/>
        </w:rPr>
        <w:t xml:space="preserve">In addition, until the unconstrained taking of floodplain water is regulated, this will remain a shortcoming of the New South Wales water management framework under the Basin Plan. Until it is regulated, floodplain harvesting water take remains directly unmeasured and both state and commonwealth compliance remains inoperative. </w:t>
      </w:r>
    </w:p>
    <w:p w14:paraId="4345E1E6" w14:textId="7974F9B0" w:rsidR="00F70A65" w:rsidRPr="00F70A65" w:rsidRDefault="00F70A65" w:rsidP="00F70A65">
      <w:pPr>
        <w:rPr>
          <w:rFonts w:ascii="Arial" w:hAnsi="Arial" w:cs="Arial"/>
        </w:rPr>
      </w:pPr>
      <w:r w:rsidRPr="00F70A65">
        <w:rPr>
          <w:rFonts w:ascii="Arial" w:hAnsi="Arial" w:cs="Arial"/>
        </w:rPr>
        <w:t xml:space="preserve">The Inspector-General is responsible for ensuring that all forms of water take are within the Sustainable Diversion Limits set by the Basin Plan. How </w:t>
      </w:r>
      <w:r w:rsidR="009D3B7B">
        <w:rPr>
          <w:rFonts w:ascii="Arial" w:hAnsi="Arial" w:cs="Arial"/>
        </w:rPr>
        <w:t>New South Wales</w:t>
      </w:r>
      <w:r w:rsidRPr="00F70A65">
        <w:rPr>
          <w:rFonts w:ascii="Arial" w:hAnsi="Arial" w:cs="Arial"/>
        </w:rPr>
        <w:t xml:space="preserve"> propose to achieve compliance with sustainable limits, including the take of floodplain water, is a matter for </w:t>
      </w:r>
      <w:r w:rsidR="009D3B7B">
        <w:rPr>
          <w:rFonts w:ascii="Arial" w:hAnsi="Arial" w:cs="Arial"/>
        </w:rPr>
        <w:t>New South Wales</w:t>
      </w:r>
      <w:r w:rsidRPr="00F70A65">
        <w:rPr>
          <w:rFonts w:ascii="Arial" w:hAnsi="Arial" w:cs="Arial"/>
        </w:rPr>
        <w:t xml:space="preserve"> to detail in their submission of Water Resource Plans to the Murray Darling Basin Authority for assessment. Outcomes in this area are well past committed deadlines.</w:t>
      </w:r>
    </w:p>
    <w:p w14:paraId="5CC391E6" w14:textId="0D24C992" w:rsidR="009C25D9" w:rsidRPr="00633635" w:rsidRDefault="009C25D9" w:rsidP="002864E7">
      <w:pPr>
        <w:rPr>
          <w:rFonts w:ascii="Arial" w:hAnsi="Arial" w:cs="Arial"/>
          <w:i/>
          <w:iCs/>
        </w:rPr>
      </w:pPr>
      <w:r w:rsidRPr="00633635">
        <w:rPr>
          <w:rFonts w:ascii="Arial" w:hAnsi="Arial" w:cs="Arial"/>
          <w:i/>
          <w:iCs/>
        </w:rPr>
        <w:br w:type="page"/>
      </w:r>
    </w:p>
    <w:p w14:paraId="1B928071" w14:textId="52744F30" w:rsidR="009C25D9" w:rsidRPr="00633635" w:rsidRDefault="009C25D9" w:rsidP="009C25D9">
      <w:pPr>
        <w:pStyle w:val="Heading2"/>
        <w:rPr>
          <w:rFonts w:ascii="Arial" w:hAnsi="Arial" w:cs="Arial"/>
          <w:u w:val="single"/>
        </w:rPr>
      </w:pPr>
      <w:bookmarkStart w:id="8" w:name="_Toc112142176"/>
      <w:r w:rsidRPr="00633635">
        <w:rPr>
          <w:rFonts w:ascii="Arial" w:hAnsi="Arial" w:cs="Arial"/>
          <w:u w:val="single"/>
        </w:rPr>
        <w:lastRenderedPageBreak/>
        <w:t>Victoria</w:t>
      </w:r>
      <w:bookmarkEnd w:id="8"/>
    </w:p>
    <w:p w14:paraId="530EB9C8" w14:textId="636504AE" w:rsidR="00A02DC8" w:rsidRPr="00633635" w:rsidRDefault="00A02DC8" w:rsidP="00A02DC8">
      <w:pPr>
        <w:jc w:val="center"/>
        <w:rPr>
          <w:rFonts w:ascii="Arial" w:hAnsi="Arial" w:cs="Arial"/>
        </w:rPr>
      </w:pPr>
      <w:r w:rsidRPr="00633635">
        <w:rPr>
          <w:rFonts w:ascii="Arial" w:hAnsi="Arial" w:cs="Arial"/>
          <w:noProof/>
        </w:rPr>
        <w:drawing>
          <wp:inline distT="0" distB="0" distL="0" distR="0" wp14:anchorId="705A8C2D" wp14:editId="6900AB54">
            <wp:extent cx="4572635" cy="2743200"/>
            <wp:effectExtent l="0" t="0" r="0" b="0"/>
            <wp:docPr id="12" name="Picture 12" descr="A graph showing that Victoria accounts for approximately 34% of water taken from the consumptive pool in the Murray Darling Bas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graph showing that Victoria accounts for approximately 34% of water taken from the consumptive pool in the Murray Darling Basin"/>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2635" cy="2743200"/>
                    </a:xfrm>
                    <a:prstGeom prst="rect">
                      <a:avLst/>
                    </a:prstGeom>
                    <a:noFill/>
                  </pic:spPr>
                </pic:pic>
              </a:graphicData>
            </a:graphic>
          </wp:inline>
        </w:drawing>
      </w:r>
    </w:p>
    <w:p w14:paraId="3E10E1A9" w14:textId="77777777" w:rsidR="001026E4" w:rsidRPr="00633635" w:rsidRDefault="001026E4" w:rsidP="001026E4">
      <w:pPr>
        <w:pStyle w:val="Heading3"/>
        <w:rPr>
          <w:rFonts w:ascii="Arial" w:hAnsi="Arial"/>
        </w:rPr>
      </w:pPr>
      <w:r w:rsidRPr="00633635">
        <w:rPr>
          <w:rFonts w:ascii="Arial" w:hAnsi="Arial"/>
        </w:rPr>
        <w:t xml:space="preserve">Overview </w:t>
      </w:r>
    </w:p>
    <w:p w14:paraId="579C2BB8" w14:textId="12462733" w:rsidR="001026E4" w:rsidRPr="00633635" w:rsidRDefault="001026E4" w:rsidP="002864E7">
      <w:pPr>
        <w:rPr>
          <w:rFonts w:ascii="Arial" w:hAnsi="Arial" w:cs="Arial"/>
        </w:rPr>
      </w:pPr>
      <w:r w:rsidRPr="00633635">
        <w:rPr>
          <w:rFonts w:ascii="Arial" w:hAnsi="Arial" w:cs="Arial"/>
        </w:rPr>
        <w:t xml:space="preserve">Victoria is the </w:t>
      </w:r>
      <w:r w:rsidR="00CB5979" w:rsidRPr="00633635">
        <w:rPr>
          <w:rFonts w:ascii="Arial" w:hAnsi="Arial" w:cs="Arial"/>
        </w:rPr>
        <w:t xml:space="preserve">second </w:t>
      </w:r>
      <w:r w:rsidRPr="00633635">
        <w:rPr>
          <w:rFonts w:ascii="Arial" w:hAnsi="Arial" w:cs="Arial"/>
        </w:rPr>
        <w:t xml:space="preserve">largest user of water in the Basin, accounting for </w:t>
      </w:r>
      <w:r w:rsidR="009154F7" w:rsidRPr="00633635">
        <w:rPr>
          <w:rFonts w:ascii="Arial" w:hAnsi="Arial" w:cs="Arial"/>
        </w:rPr>
        <w:t xml:space="preserve">about </w:t>
      </w:r>
      <w:r w:rsidRPr="00633635">
        <w:rPr>
          <w:rFonts w:ascii="Arial" w:hAnsi="Arial" w:cs="Arial"/>
        </w:rPr>
        <w:t>34% of annual actual take in 2020</w:t>
      </w:r>
      <w:r w:rsidR="00CB5979" w:rsidRPr="00633635">
        <w:rPr>
          <w:rFonts w:ascii="Arial" w:hAnsi="Arial" w:cs="Arial"/>
        </w:rPr>
        <w:t>–</w:t>
      </w:r>
      <w:r w:rsidRPr="00633635">
        <w:rPr>
          <w:rFonts w:ascii="Arial" w:hAnsi="Arial" w:cs="Arial"/>
        </w:rPr>
        <w:t xml:space="preserve">21. </w:t>
      </w:r>
      <w:r w:rsidR="009154F7" w:rsidRPr="00633635">
        <w:rPr>
          <w:rFonts w:ascii="Arial" w:hAnsi="Arial" w:cs="Arial"/>
        </w:rPr>
        <w:t xml:space="preserve">About </w:t>
      </w:r>
      <w:r w:rsidR="00E22ECD" w:rsidRPr="00633635">
        <w:rPr>
          <w:rFonts w:ascii="Arial" w:hAnsi="Arial" w:cs="Arial"/>
        </w:rPr>
        <w:t xml:space="preserve">30,000 licenses, covering </w:t>
      </w:r>
      <w:r w:rsidR="009154F7" w:rsidRPr="00633635">
        <w:rPr>
          <w:rFonts w:ascii="Arial" w:hAnsi="Arial" w:cs="Arial"/>
        </w:rPr>
        <w:t xml:space="preserve">about </w:t>
      </w:r>
      <w:r w:rsidR="00E22ECD" w:rsidRPr="00633635">
        <w:rPr>
          <w:rFonts w:ascii="Arial" w:hAnsi="Arial" w:cs="Arial"/>
        </w:rPr>
        <w:t>46,000 service points, are managed in the Murray</w:t>
      </w:r>
      <w:r w:rsidR="00CB5979" w:rsidRPr="00633635">
        <w:rPr>
          <w:rFonts w:ascii="Arial" w:hAnsi="Arial" w:cs="Arial"/>
        </w:rPr>
        <w:t>–</w:t>
      </w:r>
      <w:r w:rsidR="00E22ECD" w:rsidRPr="00633635">
        <w:rPr>
          <w:rFonts w:ascii="Arial" w:hAnsi="Arial" w:cs="Arial"/>
        </w:rPr>
        <w:t xml:space="preserve">Darling Basin </w:t>
      </w:r>
      <w:r w:rsidR="00967EC4" w:rsidRPr="00633635">
        <w:rPr>
          <w:rFonts w:ascii="Arial" w:hAnsi="Arial" w:cs="Arial"/>
        </w:rPr>
        <w:t>area of</w:t>
      </w:r>
      <w:r w:rsidR="00E22ECD" w:rsidRPr="00633635">
        <w:rPr>
          <w:rFonts w:ascii="Arial" w:hAnsi="Arial" w:cs="Arial"/>
        </w:rPr>
        <w:t xml:space="preserve"> Victoria. </w:t>
      </w:r>
    </w:p>
    <w:p w14:paraId="7EEDCA06" w14:textId="192165CD" w:rsidR="00DF3719" w:rsidRPr="00633635" w:rsidRDefault="00DF3719" w:rsidP="002864E7">
      <w:pPr>
        <w:rPr>
          <w:rFonts w:ascii="Arial" w:hAnsi="Arial" w:cs="Arial"/>
        </w:rPr>
      </w:pPr>
      <w:r w:rsidRPr="00633635">
        <w:rPr>
          <w:rFonts w:ascii="Arial" w:hAnsi="Arial" w:cs="Arial"/>
        </w:rPr>
        <w:t>Four water corporations are responsible for managing service delivery to customers in the Murray–Darling Basin area of Victoria: Goulburn Murray Water, Lower Murray Water, Grampians Wimmera Mallee Water and Coliban Water. These water corporations also have responsibility for the compliance and enforcement function, which is delegated to them by the</w:t>
      </w:r>
      <w:r w:rsidR="004D04B0" w:rsidRPr="00633635">
        <w:rPr>
          <w:rFonts w:ascii="Arial" w:hAnsi="Arial" w:cs="Arial"/>
        </w:rPr>
        <w:t xml:space="preserve"> Victorian</w:t>
      </w:r>
      <w:r w:rsidRPr="00633635">
        <w:rPr>
          <w:rFonts w:ascii="Arial" w:hAnsi="Arial" w:cs="Arial"/>
        </w:rPr>
        <w:t xml:space="preserve"> Minister for Water.</w:t>
      </w:r>
    </w:p>
    <w:p w14:paraId="7794E95A" w14:textId="34213ADC" w:rsidR="00423D49" w:rsidRPr="00633635" w:rsidRDefault="00423D49" w:rsidP="002864E7">
      <w:pPr>
        <w:rPr>
          <w:rFonts w:ascii="Arial" w:hAnsi="Arial" w:cs="Arial"/>
        </w:rPr>
      </w:pPr>
      <w:r w:rsidRPr="00633635">
        <w:rPr>
          <w:rFonts w:ascii="Arial" w:hAnsi="Arial" w:cs="Arial"/>
        </w:rPr>
        <w:t xml:space="preserve">The Department of Environment, Land, Water and Planning (DELWP) </w:t>
      </w:r>
      <w:r w:rsidR="00D47950" w:rsidRPr="00633635">
        <w:rPr>
          <w:rFonts w:ascii="Arial" w:hAnsi="Arial" w:cs="Arial"/>
        </w:rPr>
        <w:t xml:space="preserve">is the government agency </w:t>
      </w:r>
      <w:r w:rsidR="00022280" w:rsidRPr="00633635">
        <w:rPr>
          <w:rFonts w:ascii="Arial" w:hAnsi="Arial" w:cs="Arial"/>
        </w:rPr>
        <w:t>with responsibility for</w:t>
      </w:r>
      <w:r w:rsidR="00D47950" w:rsidRPr="00633635">
        <w:rPr>
          <w:rFonts w:ascii="Arial" w:hAnsi="Arial" w:cs="Arial"/>
        </w:rPr>
        <w:t xml:space="preserve"> water management </w:t>
      </w:r>
      <w:r w:rsidR="002C32E5" w:rsidRPr="00633635">
        <w:rPr>
          <w:rFonts w:ascii="Arial" w:hAnsi="Arial" w:cs="Arial"/>
        </w:rPr>
        <w:t>policy and</w:t>
      </w:r>
      <w:r w:rsidR="00D47950" w:rsidRPr="00633635">
        <w:rPr>
          <w:rFonts w:ascii="Arial" w:hAnsi="Arial" w:cs="Arial"/>
        </w:rPr>
        <w:t xml:space="preserve"> oversees</w:t>
      </w:r>
      <w:r w:rsidRPr="00633635">
        <w:rPr>
          <w:rFonts w:ascii="Arial" w:hAnsi="Arial" w:cs="Arial"/>
        </w:rPr>
        <w:t xml:space="preserve"> the performance and appointment of directors to the boards of water corporations.</w:t>
      </w:r>
    </w:p>
    <w:p w14:paraId="49CDDFE9" w14:textId="70DDE2B3" w:rsidR="00A9207A" w:rsidRPr="00633635" w:rsidRDefault="00A9207A" w:rsidP="00A9207A">
      <w:pPr>
        <w:pStyle w:val="Heading3"/>
        <w:rPr>
          <w:rFonts w:ascii="Arial" w:hAnsi="Arial"/>
        </w:rPr>
      </w:pPr>
      <w:r w:rsidRPr="00633635">
        <w:rPr>
          <w:rFonts w:ascii="Arial" w:hAnsi="Arial"/>
        </w:rPr>
        <w:t xml:space="preserve">Metering, </w:t>
      </w:r>
      <w:proofErr w:type="gramStart"/>
      <w:r w:rsidRPr="00633635">
        <w:rPr>
          <w:rFonts w:ascii="Arial" w:hAnsi="Arial"/>
        </w:rPr>
        <w:t>measurement</w:t>
      </w:r>
      <w:proofErr w:type="gramEnd"/>
      <w:r w:rsidRPr="00633635">
        <w:rPr>
          <w:rFonts w:ascii="Arial" w:hAnsi="Arial"/>
        </w:rPr>
        <w:t xml:space="preserve"> and monitoring</w:t>
      </w:r>
    </w:p>
    <w:p w14:paraId="267CF46C" w14:textId="0282CFAF" w:rsidR="00E22ECD" w:rsidRPr="00633635" w:rsidRDefault="00492A67" w:rsidP="00492A67">
      <w:pPr>
        <w:pStyle w:val="Heading4"/>
        <w:rPr>
          <w:rFonts w:ascii="Arial" w:hAnsi="Arial"/>
        </w:rPr>
      </w:pPr>
      <w:r w:rsidRPr="00633635">
        <w:rPr>
          <w:rFonts w:ascii="Arial" w:hAnsi="Arial"/>
        </w:rPr>
        <w:t xml:space="preserve">Metering </w:t>
      </w:r>
      <w:r w:rsidR="008D0592" w:rsidRPr="00633635">
        <w:rPr>
          <w:rFonts w:ascii="Arial" w:hAnsi="Arial"/>
        </w:rPr>
        <w:t>and</w:t>
      </w:r>
      <w:r w:rsidRPr="00633635">
        <w:rPr>
          <w:rFonts w:ascii="Arial" w:hAnsi="Arial"/>
        </w:rPr>
        <w:t xml:space="preserve"> measurement</w:t>
      </w:r>
    </w:p>
    <w:p w14:paraId="55936F62" w14:textId="07C52ECF" w:rsidR="00CB1E26" w:rsidRPr="00633635" w:rsidRDefault="00E22ECD" w:rsidP="002864E7">
      <w:pPr>
        <w:rPr>
          <w:rStyle w:val="None"/>
          <w:rFonts w:ascii="Arial" w:hAnsi="Arial" w:cs="Arial"/>
          <w:sz w:val="22"/>
        </w:rPr>
      </w:pPr>
      <w:r w:rsidRPr="00633635">
        <w:rPr>
          <w:rStyle w:val="None"/>
          <w:rFonts w:ascii="Arial" w:hAnsi="Arial" w:cs="Arial"/>
        </w:rPr>
        <w:t>In 2020–21</w:t>
      </w:r>
      <w:r w:rsidR="00D47950" w:rsidRPr="00633635">
        <w:rPr>
          <w:rStyle w:val="None"/>
          <w:rFonts w:ascii="Arial" w:hAnsi="Arial" w:cs="Arial"/>
        </w:rPr>
        <w:t>,</w:t>
      </w:r>
      <w:r w:rsidRPr="00633635">
        <w:rPr>
          <w:rStyle w:val="None"/>
          <w:rFonts w:ascii="Arial" w:hAnsi="Arial" w:cs="Arial"/>
        </w:rPr>
        <w:t xml:space="preserve"> 9</w:t>
      </w:r>
      <w:r w:rsidR="00FC7C27">
        <w:rPr>
          <w:rStyle w:val="None"/>
          <w:rFonts w:ascii="Arial" w:hAnsi="Arial" w:cs="Arial"/>
        </w:rPr>
        <w:t>6</w:t>
      </w:r>
      <w:r w:rsidRPr="00633635">
        <w:rPr>
          <w:rStyle w:val="None"/>
          <w:rFonts w:ascii="Arial" w:hAnsi="Arial" w:cs="Arial"/>
        </w:rPr>
        <w:t>% of water taken via customer service points in the Murray–Darling Basin area</w:t>
      </w:r>
      <w:r w:rsidR="00D47950" w:rsidRPr="00633635">
        <w:rPr>
          <w:rStyle w:val="None"/>
          <w:rFonts w:ascii="Arial" w:hAnsi="Arial" w:cs="Arial"/>
        </w:rPr>
        <w:t xml:space="preserve"> of Victoria</w:t>
      </w:r>
      <w:r w:rsidRPr="00633635">
        <w:rPr>
          <w:rStyle w:val="None"/>
          <w:rFonts w:ascii="Arial" w:hAnsi="Arial" w:cs="Arial"/>
        </w:rPr>
        <w:t xml:space="preserve"> was metered. </w:t>
      </w:r>
      <w:r w:rsidR="0044122C" w:rsidRPr="00633635">
        <w:rPr>
          <w:rStyle w:val="None"/>
          <w:rFonts w:ascii="Arial" w:hAnsi="Arial" w:cs="Arial"/>
        </w:rPr>
        <w:t xml:space="preserve">A notable feature of the Victorian </w:t>
      </w:r>
      <w:r w:rsidR="00EB419B" w:rsidRPr="00633635">
        <w:rPr>
          <w:rStyle w:val="None"/>
          <w:rFonts w:ascii="Arial" w:hAnsi="Arial" w:cs="Arial"/>
        </w:rPr>
        <w:t>meter fleet</w:t>
      </w:r>
      <w:r w:rsidR="0044122C" w:rsidRPr="00633635">
        <w:rPr>
          <w:rStyle w:val="None"/>
          <w:rFonts w:ascii="Arial" w:hAnsi="Arial" w:cs="Arial"/>
        </w:rPr>
        <w:t xml:space="preserve"> is the significant level</w:t>
      </w:r>
      <w:r w:rsidR="000737A1" w:rsidRPr="00633635">
        <w:rPr>
          <w:rStyle w:val="None"/>
          <w:rFonts w:ascii="Arial" w:hAnsi="Arial" w:cs="Arial"/>
        </w:rPr>
        <w:t xml:space="preserve"> </w:t>
      </w:r>
      <w:r w:rsidR="0044122C" w:rsidRPr="00633635">
        <w:rPr>
          <w:rStyle w:val="None"/>
          <w:rFonts w:ascii="Arial" w:hAnsi="Arial" w:cs="Arial"/>
        </w:rPr>
        <w:t xml:space="preserve">of </w:t>
      </w:r>
      <w:r w:rsidR="000737A1" w:rsidRPr="00633635">
        <w:rPr>
          <w:rStyle w:val="None"/>
          <w:rFonts w:ascii="Arial" w:hAnsi="Arial" w:cs="Arial"/>
        </w:rPr>
        <w:t xml:space="preserve">water taken </w:t>
      </w:r>
      <w:r w:rsidR="008D0592" w:rsidRPr="00633635">
        <w:rPr>
          <w:rStyle w:val="None"/>
          <w:rFonts w:ascii="Arial" w:hAnsi="Arial" w:cs="Arial"/>
        </w:rPr>
        <w:t>–</w:t>
      </w:r>
      <w:r w:rsidR="000737A1" w:rsidRPr="00633635">
        <w:rPr>
          <w:rStyle w:val="None"/>
          <w:rFonts w:ascii="Arial" w:hAnsi="Arial" w:cs="Arial"/>
        </w:rPr>
        <w:t xml:space="preserve"> approximately 70% of total </w:t>
      </w:r>
      <w:r w:rsidR="00CE63BC" w:rsidRPr="00633635">
        <w:rPr>
          <w:rStyle w:val="None"/>
          <w:rFonts w:ascii="Arial" w:hAnsi="Arial" w:cs="Arial"/>
        </w:rPr>
        <w:t xml:space="preserve">metered </w:t>
      </w:r>
      <w:r w:rsidR="000737A1" w:rsidRPr="00633635">
        <w:rPr>
          <w:rStyle w:val="None"/>
          <w:rFonts w:ascii="Arial" w:hAnsi="Arial" w:cs="Arial"/>
        </w:rPr>
        <w:t>volume</w:t>
      </w:r>
      <w:r w:rsidR="00CE63BC" w:rsidRPr="00633635">
        <w:rPr>
          <w:rStyle w:val="None"/>
          <w:rFonts w:ascii="Arial" w:hAnsi="Arial" w:cs="Arial"/>
        </w:rPr>
        <w:t xml:space="preserve"> taken </w:t>
      </w:r>
      <w:r w:rsidR="008D0592" w:rsidRPr="00633635">
        <w:rPr>
          <w:rStyle w:val="None"/>
          <w:rFonts w:ascii="Arial" w:hAnsi="Arial" w:cs="Arial"/>
        </w:rPr>
        <w:t>–</w:t>
      </w:r>
      <w:r w:rsidR="000737A1" w:rsidRPr="00633635">
        <w:rPr>
          <w:rStyle w:val="None"/>
          <w:rFonts w:ascii="Arial" w:hAnsi="Arial" w:cs="Arial"/>
        </w:rPr>
        <w:t xml:space="preserve"> where the meter is fitted with telemetry. </w:t>
      </w:r>
    </w:p>
    <w:p w14:paraId="788173BB" w14:textId="329A7D79" w:rsidR="00492A67" w:rsidRPr="00633635" w:rsidRDefault="00492A67" w:rsidP="00492A67">
      <w:pPr>
        <w:pStyle w:val="Heading4"/>
        <w:rPr>
          <w:rStyle w:val="None"/>
          <w:rFonts w:ascii="Arial" w:hAnsi="Arial"/>
        </w:rPr>
      </w:pPr>
      <w:r w:rsidRPr="00633635">
        <w:rPr>
          <w:rStyle w:val="None"/>
          <w:rFonts w:ascii="Arial" w:hAnsi="Arial"/>
        </w:rPr>
        <w:t>Monit</w:t>
      </w:r>
      <w:r w:rsidR="00610303" w:rsidRPr="00633635">
        <w:rPr>
          <w:rStyle w:val="None"/>
          <w:rFonts w:ascii="Arial" w:hAnsi="Arial"/>
        </w:rPr>
        <w:t>o</w:t>
      </w:r>
      <w:r w:rsidRPr="00633635">
        <w:rPr>
          <w:rStyle w:val="None"/>
          <w:rFonts w:ascii="Arial" w:hAnsi="Arial"/>
        </w:rPr>
        <w:t>ring</w:t>
      </w:r>
    </w:p>
    <w:p w14:paraId="63F33AB0" w14:textId="0B4EE6DD" w:rsidR="00CB1E26" w:rsidRPr="00633635" w:rsidRDefault="006F4948" w:rsidP="002864E7">
      <w:pPr>
        <w:rPr>
          <w:rStyle w:val="None"/>
          <w:rFonts w:ascii="Arial" w:hAnsi="Arial" w:cs="Arial"/>
        </w:rPr>
      </w:pPr>
      <w:r w:rsidRPr="00633635">
        <w:rPr>
          <w:rStyle w:val="None"/>
          <w:rFonts w:ascii="Arial" w:hAnsi="Arial" w:cs="Arial"/>
        </w:rPr>
        <w:t xml:space="preserve">The frequency of meter reads for non-telemetered meters </w:t>
      </w:r>
      <w:r w:rsidR="008D0592" w:rsidRPr="00633635">
        <w:rPr>
          <w:rStyle w:val="None"/>
          <w:rFonts w:ascii="Arial" w:hAnsi="Arial" w:cs="Arial"/>
        </w:rPr>
        <w:t>depends</w:t>
      </w:r>
      <w:r w:rsidRPr="00633635">
        <w:rPr>
          <w:rStyle w:val="None"/>
          <w:rFonts w:ascii="Arial" w:hAnsi="Arial" w:cs="Arial"/>
        </w:rPr>
        <w:t xml:space="preserve"> on risk – meters for low volume allocations may only be read once a year, whilst larger allocations will be subject to at least two meter reads per year.</w:t>
      </w:r>
    </w:p>
    <w:p w14:paraId="50C35ADD" w14:textId="52A3EBE8" w:rsidR="00BF034D" w:rsidRPr="00633635" w:rsidRDefault="00BF034D" w:rsidP="002864E7">
      <w:pPr>
        <w:rPr>
          <w:rStyle w:val="None"/>
          <w:rFonts w:ascii="Arial" w:hAnsi="Arial" w:cs="Arial"/>
        </w:rPr>
      </w:pPr>
      <w:r w:rsidRPr="00633635">
        <w:rPr>
          <w:rFonts w:ascii="Arial" w:hAnsi="Arial" w:cs="Arial"/>
        </w:rPr>
        <w:t>DEL</w:t>
      </w:r>
      <w:r w:rsidRPr="00633635">
        <w:rPr>
          <w:rFonts w:ascii="Arial" w:hAnsi="Arial" w:cs="Arial"/>
          <w:lang w:val="en-US"/>
        </w:rPr>
        <w:t>W</w:t>
      </w:r>
      <w:r w:rsidRPr="00633635">
        <w:rPr>
          <w:rFonts w:ascii="Arial" w:hAnsi="Arial" w:cs="Arial"/>
        </w:rPr>
        <w:t xml:space="preserve">P also </w:t>
      </w:r>
      <w:r w:rsidR="00BB787A" w:rsidRPr="00633635">
        <w:rPr>
          <w:rFonts w:ascii="Arial" w:hAnsi="Arial" w:cs="Arial"/>
        </w:rPr>
        <w:t>oversees</w:t>
      </w:r>
      <w:r w:rsidRPr="00633635">
        <w:rPr>
          <w:rFonts w:ascii="Arial" w:hAnsi="Arial" w:cs="Arial"/>
        </w:rPr>
        <w:t xml:space="preserve"> unauthorised take through a robust reporting framework linked to </w:t>
      </w:r>
      <w:r w:rsidR="00BB787A" w:rsidRPr="00633635">
        <w:rPr>
          <w:rFonts w:ascii="Arial" w:hAnsi="Arial" w:cs="Arial"/>
        </w:rPr>
        <w:t>data</w:t>
      </w:r>
      <w:r w:rsidRPr="00633635">
        <w:rPr>
          <w:rFonts w:ascii="Arial" w:hAnsi="Arial" w:cs="Arial"/>
          <w:lang w:val="en-US"/>
        </w:rPr>
        <w:t xml:space="preserve"> </w:t>
      </w:r>
      <w:r w:rsidR="00BB787A" w:rsidRPr="00633635">
        <w:rPr>
          <w:rFonts w:ascii="Arial" w:hAnsi="Arial" w:cs="Arial"/>
          <w:lang w:val="en-US"/>
        </w:rPr>
        <w:t>provided</w:t>
      </w:r>
      <w:r w:rsidRPr="00633635">
        <w:rPr>
          <w:rFonts w:ascii="Arial" w:hAnsi="Arial" w:cs="Arial"/>
        </w:rPr>
        <w:t xml:space="preserve"> by the water corporations on the Victorian </w:t>
      </w:r>
      <w:r w:rsidR="00BB787A" w:rsidRPr="00633635">
        <w:rPr>
          <w:rFonts w:ascii="Arial" w:hAnsi="Arial" w:cs="Arial"/>
          <w:lang w:val="en-US"/>
        </w:rPr>
        <w:t>Water</w:t>
      </w:r>
      <w:r w:rsidRPr="00633635">
        <w:rPr>
          <w:rFonts w:ascii="Arial" w:hAnsi="Arial" w:cs="Arial"/>
        </w:rPr>
        <w:t xml:space="preserve"> Register. This is supplemented by </w:t>
      </w:r>
      <w:r w:rsidR="00BB787A" w:rsidRPr="00633635">
        <w:rPr>
          <w:rFonts w:ascii="Arial" w:hAnsi="Arial" w:cs="Arial"/>
          <w:lang w:val="en-US"/>
        </w:rPr>
        <w:t>quarterly</w:t>
      </w:r>
      <w:r w:rsidRPr="00633635">
        <w:rPr>
          <w:rFonts w:ascii="Arial" w:hAnsi="Arial" w:cs="Arial"/>
        </w:rPr>
        <w:t xml:space="preserve"> </w:t>
      </w:r>
      <w:r w:rsidR="00BB787A" w:rsidRPr="00633635">
        <w:rPr>
          <w:rFonts w:ascii="Arial" w:hAnsi="Arial" w:cs="Arial"/>
        </w:rPr>
        <w:t>data</w:t>
      </w:r>
      <w:r w:rsidRPr="00633635">
        <w:rPr>
          <w:rFonts w:ascii="Arial" w:hAnsi="Arial" w:cs="Arial"/>
          <w:lang w:val="en-US"/>
        </w:rPr>
        <w:t xml:space="preserve"> </w:t>
      </w:r>
      <w:r w:rsidR="00BB787A" w:rsidRPr="00633635">
        <w:rPr>
          <w:rFonts w:ascii="Arial" w:hAnsi="Arial" w:cs="Arial"/>
          <w:lang w:val="en-US"/>
        </w:rPr>
        <w:t>provided</w:t>
      </w:r>
      <w:r w:rsidRPr="00633635">
        <w:rPr>
          <w:rFonts w:ascii="Arial" w:hAnsi="Arial" w:cs="Arial"/>
        </w:rPr>
        <w:t xml:space="preserve"> by water corporations. This monitoring data is used to track performance. DELWP also </w:t>
      </w:r>
      <w:r w:rsidR="008D0592" w:rsidRPr="00633635">
        <w:rPr>
          <w:rFonts w:ascii="Arial" w:hAnsi="Arial" w:cs="Arial"/>
        </w:rPr>
        <w:t>reports to t</w:t>
      </w:r>
      <w:r w:rsidRPr="00633635">
        <w:rPr>
          <w:rFonts w:ascii="Arial" w:hAnsi="Arial" w:cs="Arial"/>
        </w:rPr>
        <w:t xml:space="preserve">he Minister </w:t>
      </w:r>
      <w:r w:rsidR="00DF3719" w:rsidRPr="00633635">
        <w:rPr>
          <w:rFonts w:ascii="Arial" w:hAnsi="Arial" w:cs="Arial"/>
        </w:rPr>
        <w:t>for Water</w:t>
      </w:r>
      <w:r w:rsidR="00EC0E8D" w:rsidRPr="00633635">
        <w:rPr>
          <w:rFonts w:ascii="Arial" w:hAnsi="Arial" w:cs="Arial"/>
        </w:rPr>
        <w:t xml:space="preserve"> </w:t>
      </w:r>
      <w:r w:rsidRPr="00633635">
        <w:rPr>
          <w:rFonts w:ascii="Arial" w:hAnsi="Arial" w:cs="Arial"/>
        </w:rPr>
        <w:t>quarterly on unauthorised take</w:t>
      </w:r>
      <w:r w:rsidR="008D0592" w:rsidRPr="00633635">
        <w:rPr>
          <w:rFonts w:ascii="Arial" w:hAnsi="Arial" w:cs="Arial"/>
        </w:rPr>
        <w:t>.</w:t>
      </w:r>
      <w:r w:rsidRPr="00633635">
        <w:rPr>
          <w:rFonts w:ascii="Arial" w:hAnsi="Arial" w:cs="Arial"/>
        </w:rPr>
        <w:t xml:space="preserve"> </w:t>
      </w:r>
    </w:p>
    <w:p w14:paraId="387955A7" w14:textId="755DDFAE" w:rsidR="0044122C" w:rsidRPr="00633635" w:rsidRDefault="00D4373B" w:rsidP="002864E7">
      <w:pPr>
        <w:rPr>
          <w:rStyle w:val="None"/>
          <w:rFonts w:ascii="Arial" w:hAnsi="Arial" w:cs="Arial"/>
        </w:rPr>
      </w:pPr>
      <w:r w:rsidRPr="00633635">
        <w:rPr>
          <w:rStyle w:val="None"/>
          <w:rFonts w:ascii="Arial" w:hAnsi="Arial" w:cs="Arial"/>
        </w:rPr>
        <w:t>Mr Pearson’s</w:t>
      </w:r>
      <w:r w:rsidR="00CB1E26" w:rsidRPr="00633635">
        <w:rPr>
          <w:rStyle w:val="None"/>
          <w:rFonts w:ascii="Arial" w:hAnsi="Arial" w:cs="Arial"/>
        </w:rPr>
        <w:t xml:space="preserve"> review noted the effectiveness of Victoria’s monitoring </w:t>
      </w:r>
      <w:r w:rsidR="00EB419B" w:rsidRPr="00633635">
        <w:rPr>
          <w:rStyle w:val="None"/>
          <w:rFonts w:ascii="Arial" w:hAnsi="Arial" w:cs="Arial"/>
        </w:rPr>
        <w:t xml:space="preserve">of water </w:t>
      </w:r>
      <w:proofErr w:type="gramStart"/>
      <w:r w:rsidR="00EB419B" w:rsidRPr="00633635">
        <w:rPr>
          <w:rStyle w:val="None"/>
          <w:rFonts w:ascii="Arial" w:hAnsi="Arial" w:cs="Arial"/>
        </w:rPr>
        <w:t>take</w:t>
      </w:r>
      <w:r w:rsidR="00BB7C72" w:rsidRPr="00633635">
        <w:rPr>
          <w:rStyle w:val="None"/>
          <w:rFonts w:ascii="Arial" w:hAnsi="Arial" w:cs="Arial"/>
        </w:rPr>
        <w:t>:</w:t>
      </w:r>
      <w:proofErr w:type="gramEnd"/>
      <w:r w:rsidR="00CB1E26" w:rsidRPr="00633635">
        <w:rPr>
          <w:rStyle w:val="None"/>
          <w:rFonts w:ascii="Arial" w:hAnsi="Arial" w:cs="Arial"/>
        </w:rPr>
        <w:t xml:space="preserve"> </w:t>
      </w:r>
      <w:r w:rsidR="00CB1E26" w:rsidRPr="00633635">
        <w:rPr>
          <w:rFonts w:ascii="Arial" w:hAnsi="Arial" w:cs="Arial"/>
        </w:rPr>
        <w:t>unauthorised take in the Murray–Darling Basin area of Victoria represent</w:t>
      </w:r>
      <w:r w:rsidR="00BB7C72" w:rsidRPr="00633635">
        <w:rPr>
          <w:rFonts w:ascii="Arial" w:hAnsi="Arial" w:cs="Arial"/>
        </w:rPr>
        <w:t>s only</w:t>
      </w:r>
      <w:r w:rsidR="00CB1E26" w:rsidRPr="00633635">
        <w:rPr>
          <w:rFonts w:ascii="Arial" w:hAnsi="Arial" w:cs="Arial"/>
        </w:rPr>
        <w:t xml:space="preserve"> 0.1% of all water taken under entitlements recorded in the </w:t>
      </w:r>
      <w:hyperlink r:id="rId27" w:history="1">
        <w:r w:rsidR="00CB1E26" w:rsidRPr="00633635">
          <w:rPr>
            <w:rStyle w:val="Hyperlink"/>
            <w:rFonts w:ascii="Arial" w:hAnsi="Arial" w:cs="Arial"/>
          </w:rPr>
          <w:t>Victorian Water Register</w:t>
        </w:r>
      </w:hyperlink>
      <w:r w:rsidR="00CB1E26" w:rsidRPr="00633635">
        <w:rPr>
          <w:rFonts w:ascii="Arial" w:hAnsi="Arial" w:cs="Arial"/>
        </w:rPr>
        <w:t>.</w:t>
      </w:r>
      <w:r w:rsidR="000737A1" w:rsidRPr="00633635">
        <w:rPr>
          <w:rStyle w:val="None"/>
          <w:rFonts w:ascii="Arial" w:hAnsi="Arial" w:cs="Arial"/>
        </w:rPr>
        <w:t xml:space="preserve">  </w:t>
      </w:r>
    </w:p>
    <w:p w14:paraId="5DAC9C18" w14:textId="5DBAD6F8" w:rsidR="00FA6D5B" w:rsidRPr="00633635" w:rsidRDefault="00BB7C72" w:rsidP="00FA6D5B">
      <w:pPr>
        <w:pStyle w:val="Heading3"/>
        <w:rPr>
          <w:rFonts w:ascii="Arial" w:hAnsi="Arial"/>
        </w:rPr>
      </w:pPr>
      <w:r w:rsidRPr="00633635">
        <w:rPr>
          <w:rFonts w:ascii="Arial" w:hAnsi="Arial"/>
        </w:rPr>
        <w:lastRenderedPageBreak/>
        <w:t>Managing</w:t>
      </w:r>
      <w:r w:rsidR="00FA6D5B" w:rsidRPr="00633635">
        <w:rPr>
          <w:rFonts w:ascii="Arial" w:hAnsi="Arial"/>
        </w:rPr>
        <w:t xml:space="preserve"> non-compliance</w:t>
      </w:r>
    </w:p>
    <w:p w14:paraId="158C3B3B" w14:textId="328FB43E" w:rsidR="0044122C" w:rsidRPr="00633635" w:rsidRDefault="00CB1E26" w:rsidP="002864E7">
      <w:pPr>
        <w:rPr>
          <w:rFonts w:ascii="Arial" w:hAnsi="Arial" w:cs="Arial"/>
        </w:rPr>
      </w:pPr>
      <w:r w:rsidRPr="00633635">
        <w:rPr>
          <w:rFonts w:ascii="Arial" w:hAnsi="Arial" w:cs="Arial"/>
        </w:rPr>
        <w:t xml:space="preserve">Victoria </w:t>
      </w:r>
      <w:r w:rsidR="00170142" w:rsidRPr="00633635">
        <w:rPr>
          <w:rFonts w:ascii="Arial" w:hAnsi="Arial" w:cs="Arial"/>
        </w:rPr>
        <w:t>has a publicly stated ‘zero tolerance’ approach to unauthorised water take</w:t>
      </w:r>
      <w:r w:rsidR="00BB7C72" w:rsidRPr="00633635">
        <w:rPr>
          <w:rFonts w:ascii="Arial" w:hAnsi="Arial" w:cs="Arial"/>
        </w:rPr>
        <w:t>. H</w:t>
      </w:r>
      <w:r w:rsidR="00170142" w:rsidRPr="00633635">
        <w:rPr>
          <w:rFonts w:ascii="Arial" w:hAnsi="Arial" w:cs="Arial"/>
        </w:rPr>
        <w:t xml:space="preserve">owever, </w:t>
      </w:r>
      <w:r w:rsidR="00BB7C72" w:rsidRPr="00633635">
        <w:rPr>
          <w:rFonts w:ascii="Arial" w:hAnsi="Arial" w:cs="Arial"/>
        </w:rPr>
        <w:t>the</w:t>
      </w:r>
      <w:r w:rsidR="00170142" w:rsidRPr="00633635">
        <w:rPr>
          <w:rFonts w:ascii="Arial" w:hAnsi="Arial" w:cs="Arial"/>
        </w:rPr>
        <w:t xml:space="preserve"> water corporations do have a number of tools to address non-compliance assessed as ‘low risk’</w:t>
      </w:r>
      <w:r w:rsidR="004425D1" w:rsidRPr="00633635">
        <w:rPr>
          <w:rFonts w:ascii="Arial" w:hAnsi="Arial" w:cs="Arial"/>
        </w:rPr>
        <w:t xml:space="preserve"> </w:t>
      </w:r>
      <w:r w:rsidR="00BB7C72" w:rsidRPr="00633635">
        <w:rPr>
          <w:rFonts w:ascii="Arial" w:hAnsi="Arial" w:cs="Arial"/>
        </w:rPr>
        <w:t>without issuing a penalty –</w:t>
      </w:r>
      <w:r w:rsidR="004425D1" w:rsidRPr="00633635">
        <w:rPr>
          <w:rFonts w:ascii="Arial" w:hAnsi="Arial" w:cs="Arial"/>
        </w:rPr>
        <w:t xml:space="preserve"> </w:t>
      </w:r>
      <w:r w:rsidR="00170142" w:rsidRPr="00633635">
        <w:rPr>
          <w:rFonts w:ascii="Arial" w:hAnsi="Arial" w:cs="Arial"/>
        </w:rPr>
        <w:t>for example</w:t>
      </w:r>
      <w:r w:rsidR="00BB7C72" w:rsidRPr="00633635">
        <w:rPr>
          <w:rFonts w:ascii="Arial" w:hAnsi="Arial" w:cs="Arial"/>
        </w:rPr>
        <w:t>,</w:t>
      </w:r>
      <w:r w:rsidR="00170142" w:rsidRPr="00633635">
        <w:rPr>
          <w:rFonts w:ascii="Arial" w:hAnsi="Arial" w:cs="Arial"/>
        </w:rPr>
        <w:t xml:space="preserve"> where the non-compliance was a </w:t>
      </w:r>
      <w:r w:rsidR="00F523A1" w:rsidRPr="00633635">
        <w:rPr>
          <w:rFonts w:ascii="Arial" w:hAnsi="Arial" w:cs="Arial"/>
        </w:rPr>
        <w:t>first-time</w:t>
      </w:r>
      <w:r w:rsidR="00170142" w:rsidRPr="00633635">
        <w:rPr>
          <w:rFonts w:ascii="Arial" w:hAnsi="Arial" w:cs="Arial"/>
        </w:rPr>
        <w:t xml:space="preserve"> offence a</w:t>
      </w:r>
      <w:r w:rsidR="004425D1" w:rsidRPr="00633635">
        <w:rPr>
          <w:rFonts w:ascii="Arial" w:hAnsi="Arial" w:cs="Arial"/>
        </w:rPr>
        <w:t>nd</w:t>
      </w:r>
      <w:r w:rsidR="00170142" w:rsidRPr="00633635">
        <w:rPr>
          <w:rFonts w:ascii="Arial" w:hAnsi="Arial" w:cs="Arial"/>
        </w:rPr>
        <w:t xml:space="preserve"> assessed as not deliberate.</w:t>
      </w:r>
      <w:r w:rsidR="004425D1" w:rsidRPr="00633635">
        <w:rPr>
          <w:rFonts w:ascii="Arial" w:hAnsi="Arial" w:cs="Arial"/>
        </w:rPr>
        <w:t xml:space="preserve"> In this scenario, advisory or warning letters can be issued to water users to rectify breaches. Advisory letters represented over 60% of all enforcement actions taken during the 20</w:t>
      </w:r>
      <w:r w:rsidR="00452E18" w:rsidRPr="00633635">
        <w:rPr>
          <w:rFonts w:ascii="Arial" w:hAnsi="Arial" w:cs="Arial"/>
        </w:rPr>
        <w:t>20</w:t>
      </w:r>
      <w:r w:rsidR="00BB7C72" w:rsidRPr="00633635">
        <w:rPr>
          <w:rFonts w:ascii="Arial" w:hAnsi="Arial" w:cs="Arial"/>
        </w:rPr>
        <w:t>–</w:t>
      </w:r>
      <w:r w:rsidR="004425D1" w:rsidRPr="00633635">
        <w:rPr>
          <w:rFonts w:ascii="Arial" w:hAnsi="Arial" w:cs="Arial"/>
        </w:rPr>
        <w:t>2</w:t>
      </w:r>
      <w:r w:rsidR="00452E18" w:rsidRPr="00633635">
        <w:rPr>
          <w:rFonts w:ascii="Arial" w:hAnsi="Arial" w:cs="Arial"/>
        </w:rPr>
        <w:t>1</w:t>
      </w:r>
      <w:r w:rsidR="004425D1" w:rsidRPr="00633635">
        <w:rPr>
          <w:rFonts w:ascii="Arial" w:hAnsi="Arial" w:cs="Arial"/>
        </w:rPr>
        <w:t xml:space="preserve"> water year.</w:t>
      </w:r>
      <w:r w:rsidR="004425D1" w:rsidRPr="00633635">
        <w:rPr>
          <w:rStyle w:val="FootnoteReference"/>
          <w:rFonts w:ascii="Arial" w:hAnsi="Arial" w:cs="Arial"/>
        </w:rPr>
        <w:footnoteReference w:id="11"/>
      </w:r>
    </w:p>
    <w:p w14:paraId="4D90B366" w14:textId="127E39DD" w:rsidR="003F4D2E" w:rsidRPr="00633635" w:rsidRDefault="003F4D2E" w:rsidP="002864E7">
      <w:pPr>
        <w:rPr>
          <w:rFonts w:ascii="Arial" w:hAnsi="Arial" w:cs="Arial"/>
        </w:rPr>
      </w:pPr>
      <w:r w:rsidRPr="00633635">
        <w:rPr>
          <w:rFonts w:ascii="Arial" w:hAnsi="Arial" w:cs="Arial"/>
        </w:rPr>
        <w:t xml:space="preserve">Victoria has set </w:t>
      </w:r>
      <w:r w:rsidR="00B81712" w:rsidRPr="00633635">
        <w:rPr>
          <w:rFonts w:ascii="Arial" w:hAnsi="Arial" w:cs="Arial"/>
        </w:rPr>
        <w:t>targets</w:t>
      </w:r>
      <w:r w:rsidRPr="00633635">
        <w:rPr>
          <w:rFonts w:ascii="Arial" w:hAnsi="Arial" w:cs="Arial"/>
        </w:rPr>
        <w:t xml:space="preserve"> for unauthorised take of no more than 1% by total volume, and no more than 3% of accounts having a negative balance. As of 30 June 2021, these benchmarks were being </w:t>
      </w:r>
      <w:proofErr w:type="gramStart"/>
      <w:r w:rsidRPr="00633635">
        <w:rPr>
          <w:rFonts w:ascii="Arial" w:hAnsi="Arial" w:cs="Arial"/>
        </w:rPr>
        <w:t>met</w:t>
      </w:r>
      <w:r w:rsidR="0010789B" w:rsidRPr="00633635">
        <w:rPr>
          <w:rFonts w:ascii="Arial" w:hAnsi="Arial" w:cs="Arial"/>
        </w:rPr>
        <w:t>:</w:t>
      </w:r>
      <w:proofErr w:type="gramEnd"/>
      <w:r w:rsidR="0010789B" w:rsidRPr="00633635">
        <w:rPr>
          <w:rFonts w:ascii="Arial" w:hAnsi="Arial" w:cs="Arial"/>
        </w:rPr>
        <w:t xml:space="preserve"> </w:t>
      </w:r>
      <w:r w:rsidRPr="00633635">
        <w:rPr>
          <w:rFonts w:ascii="Arial" w:hAnsi="Arial" w:cs="Arial"/>
        </w:rPr>
        <w:t xml:space="preserve">unauthorised take </w:t>
      </w:r>
      <w:r w:rsidR="00D47950" w:rsidRPr="00633635">
        <w:rPr>
          <w:rFonts w:ascii="Arial" w:hAnsi="Arial" w:cs="Arial"/>
        </w:rPr>
        <w:t>represent</w:t>
      </w:r>
      <w:r w:rsidR="0010789B" w:rsidRPr="00633635">
        <w:rPr>
          <w:rFonts w:ascii="Arial" w:hAnsi="Arial" w:cs="Arial"/>
        </w:rPr>
        <w:t>ed</w:t>
      </w:r>
      <w:r w:rsidRPr="00633635">
        <w:rPr>
          <w:rFonts w:ascii="Arial" w:hAnsi="Arial" w:cs="Arial"/>
        </w:rPr>
        <w:t xml:space="preserve"> 0.1% of all water taken</w:t>
      </w:r>
      <w:r w:rsidR="0010789B" w:rsidRPr="00633635">
        <w:rPr>
          <w:rFonts w:ascii="Arial" w:hAnsi="Arial" w:cs="Arial"/>
        </w:rPr>
        <w:t>,</w:t>
      </w:r>
      <w:r w:rsidRPr="00633635">
        <w:rPr>
          <w:rFonts w:ascii="Arial" w:hAnsi="Arial" w:cs="Arial"/>
        </w:rPr>
        <w:t xml:space="preserve"> and 2.4% of accounts ha</w:t>
      </w:r>
      <w:r w:rsidR="0010789B" w:rsidRPr="00633635">
        <w:rPr>
          <w:rFonts w:ascii="Arial" w:hAnsi="Arial" w:cs="Arial"/>
        </w:rPr>
        <w:t>d</w:t>
      </w:r>
      <w:r w:rsidRPr="00633635">
        <w:rPr>
          <w:rFonts w:ascii="Arial" w:hAnsi="Arial" w:cs="Arial"/>
        </w:rPr>
        <w:t xml:space="preserve"> a negative balance. </w:t>
      </w:r>
      <w:r w:rsidRPr="00633635">
        <w:rPr>
          <w:rStyle w:val="FootnoteReference"/>
          <w:rFonts w:ascii="Arial" w:hAnsi="Arial" w:cs="Arial"/>
        </w:rPr>
        <w:footnoteReference w:id="12"/>
      </w:r>
    </w:p>
    <w:p w14:paraId="0E925CF6" w14:textId="61CB6DE0" w:rsidR="00316253" w:rsidRPr="00633635" w:rsidRDefault="00316253" w:rsidP="002864E7">
      <w:pPr>
        <w:rPr>
          <w:rFonts w:ascii="Arial" w:hAnsi="Arial" w:cs="Arial"/>
        </w:rPr>
      </w:pPr>
      <w:r w:rsidRPr="00633635">
        <w:rPr>
          <w:rFonts w:ascii="Arial" w:hAnsi="Arial" w:cs="Arial"/>
        </w:rPr>
        <w:t xml:space="preserve">In recent years Victoria has bolstered </w:t>
      </w:r>
      <w:r w:rsidR="00B81712" w:rsidRPr="00633635">
        <w:rPr>
          <w:rFonts w:ascii="Arial" w:hAnsi="Arial" w:cs="Arial"/>
        </w:rPr>
        <w:t xml:space="preserve">its </w:t>
      </w:r>
      <w:r w:rsidRPr="00633635">
        <w:rPr>
          <w:rFonts w:ascii="Arial" w:hAnsi="Arial" w:cs="Arial"/>
        </w:rPr>
        <w:t>enforcement capability through amendments to the</w:t>
      </w:r>
      <w:r w:rsidR="00997872" w:rsidRPr="00633635">
        <w:rPr>
          <w:rFonts w:ascii="Arial" w:hAnsi="Arial" w:cs="Arial"/>
        </w:rPr>
        <w:t xml:space="preserve"> </w:t>
      </w:r>
      <w:r w:rsidR="00E25983" w:rsidRPr="00633635">
        <w:rPr>
          <w:rFonts w:ascii="Arial" w:hAnsi="Arial" w:cs="Arial"/>
          <w:i/>
          <w:iCs/>
        </w:rPr>
        <w:t>Water Act</w:t>
      </w:r>
      <w:r w:rsidR="00D4373B" w:rsidRPr="00633635">
        <w:rPr>
          <w:rFonts w:ascii="Arial" w:hAnsi="Arial" w:cs="Arial"/>
          <w:i/>
          <w:iCs/>
        </w:rPr>
        <w:t xml:space="preserve"> (VIC)</w:t>
      </w:r>
      <w:r w:rsidR="00E25983" w:rsidRPr="00633635">
        <w:rPr>
          <w:rFonts w:ascii="Arial" w:hAnsi="Arial" w:cs="Arial"/>
          <w:i/>
          <w:iCs/>
        </w:rPr>
        <w:t xml:space="preserve"> (1989)</w:t>
      </w:r>
      <w:r w:rsidR="00997872" w:rsidRPr="00633635">
        <w:rPr>
          <w:rFonts w:ascii="Arial" w:hAnsi="Arial" w:cs="Arial"/>
        </w:rPr>
        <w:t>. The amendments</w:t>
      </w:r>
      <w:r w:rsidRPr="00633635">
        <w:rPr>
          <w:rFonts w:ascii="Arial" w:hAnsi="Arial" w:cs="Arial"/>
        </w:rPr>
        <w:t xml:space="preserve"> increased the maximum fine for water theft; </w:t>
      </w:r>
      <w:r w:rsidR="00997872" w:rsidRPr="00633635">
        <w:rPr>
          <w:rFonts w:ascii="Arial" w:hAnsi="Arial" w:cs="Arial"/>
        </w:rPr>
        <w:t xml:space="preserve">gave </w:t>
      </w:r>
      <w:r w:rsidRPr="00633635">
        <w:rPr>
          <w:rFonts w:ascii="Arial" w:hAnsi="Arial" w:cs="Arial"/>
        </w:rPr>
        <w:t>water corporations the option of issuing penalty infringement notices for water theft; and allow</w:t>
      </w:r>
      <w:r w:rsidR="00997872" w:rsidRPr="00633635">
        <w:rPr>
          <w:rFonts w:ascii="Arial" w:hAnsi="Arial" w:cs="Arial"/>
        </w:rPr>
        <w:t>ed</w:t>
      </w:r>
      <w:r w:rsidRPr="00633635">
        <w:rPr>
          <w:rFonts w:ascii="Arial" w:hAnsi="Arial" w:cs="Arial"/>
        </w:rPr>
        <w:t xml:space="preserve"> water to be deducted from those who exceed their allocation.</w:t>
      </w:r>
      <w:r w:rsidR="00E25983" w:rsidRPr="00633635">
        <w:rPr>
          <w:rFonts w:ascii="Arial" w:hAnsi="Arial" w:cs="Arial"/>
        </w:rPr>
        <w:t xml:space="preserve"> Water corporations </w:t>
      </w:r>
      <w:r w:rsidR="00E839B9" w:rsidRPr="00633635">
        <w:rPr>
          <w:rFonts w:ascii="Arial" w:hAnsi="Arial" w:cs="Arial"/>
        </w:rPr>
        <w:t>commenced</w:t>
      </w:r>
      <w:r w:rsidR="00997872" w:rsidRPr="00633635">
        <w:rPr>
          <w:rFonts w:ascii="Arial" w:hAnsi="Arial" w:cs="Arial"/>
        </w:rPr>
        <w:t xml:space="preserve"> </w:t>
      </w:r>
      <w:r w:rsidR="00E25983" w:rsidRPr="00633635">
        <w:rPr>
          <w:rFonts w:ascii="Arial" w:hAnsi="Arial" w:cs="Arial"/>
        </w:rPr>
        <w:t xml:space="preserve">issuing penalty infringement notices in 2022. </w:t>
      </w:r>
    </w:p>
    <w:p w14:paraId="0DE74C16" w14:textId="64707C18" w:rsidR="00D77888" w:rsidRPr="00633635" w:rsidRDefault="00D77888" w:rsidP="00D77888">
      <w:pPr>
        <w:pStyle w:val="Heading3"/>
        <w:rPr>
          <w:rFonts w:ascii="Arial" w:hAnsi="Arial"/>
        </w:rPr>
      </w:pPr>
      <w:r w:rsidRPr="00633635">
        <w:rPr>
          <w:rFonts w:ascii="Arial" w:hAnsi="Arial"/>
        </w:rPr>
        <w:t xml:space="preserve">Public </w:t>
      </w:r>
      <w:r w:rsidR="008F1600" w:rsidRPr="00633635">
        <w:rPr>
          <w:rFonts w:ascii="Arial" w:hAnsi="Arial"/>
        </w:rPr>
        <w:t>r</w:t>
      </w:r>
      <w:r w:rsidRPr="00633635">
        <w:rPr>
          <w:rFonts w:ascii="Arial" w:hAnsi="Arial"/>
        </w:rPr>
        <w:t>eporting</w:t>
      </w:r>
    </w:p>
    <w:p w14:paraId="19D5ED95" w14:textId="0DCFCF16" w:rsidR="00EB419B" w:rsidRPr="00633635" w:rsidRDefault="00316253" w:rsidP="00EB419B">
      <w:pPr>
        <w:rPr>
          <w:rFonts w:ascii="Arial" w:hAnsi="Arial" w:cs="Arial"/>
        </w:rPr>
      </w:pPr>
      <w:r w:rsidRPr="00633635">
        <w:rPr>
          <w:rFonts w:ascii="Arial" w:hAnsi="Arial" w:cs="Arial"/>
        </w:rPr>
        <w:t xml:space="preserve">Water corporations are required to report </w:t>
      </w:r>
      <w:r w:rsidR="00E25983" w:rsidRPr="00633635">
        <w:rPr>
          <w:rFonts w:ascii="Arial" w:hAnsi="Arial" w:cs="Arial"/>
        </w:rPr>
        <w:t>on compliance and enforcement actions in their annual reports.</w:t>
      </w:r>
      <w:r w:rsidR="005A7136" w:rsidRPr="00633635">
        <w:rPr>
          <w:rFonts w:ascii="Arial" w:hAnsi="Arial" w:cs="Arial"/>
        </w:rPr>
        <w:t xml:space="preserve"> </w:t>
      </w:r>
      <w:r w:rsidR="00E25983" w:rsidRPr="00633635">
        <w:rPr>
          <w:rFonts w:ascii="Arial" w:hAnsi="Arial" w:cs="Arial"/>
        </w:rPr>
        <w:t xml:space="preserve">  </w:t>
      </w:r>
    </w:p>
    <w:p w14:paraId="2F7B52F6" w14:textId="2198DF0E" w:rsidR="0044122C" w:rsidRPr="00633635" w:rsidRDefault="00E25983" w:rsidP="0044122C">
      <w:pPr>
        <w:rPr>
          <w:rFonts w:ascii="Arial" w:hAnsi="Arial" w:cs="Arial"/>
        </w:rPr>
      </w:pPr>
      <w:r w:rsidRPr="00633635">
        <w:rPr>
          <w:rFonts w:ascii="Arial" w:hAnsi="Arial" w:cs="Arial"/>
        </w:rPr>
        <w:t>These statistics are then aggregated and reported at a state</w:t>
      </w:r>
      <w:r w:rsidR="00997872" w:rsidRPr="00633635">
        <w:rPr>
          <w:rFonts w:ascii="Arial" w:hAnsi="Arial" w:cs="Arial"/>
        </w:rPr>
        <w:t>-</w:t>
      </w:r>
      <w:r w:rsidRPr="00633635">
        <w:rPr>
          <w:rFonts w:ascii="Arial" w:hAnsi="Arial" w:cs="Arial"/>
        </w:rPr>
        <w:t xml:space="preserve">wide level on the DELWP website as part of </w:t>
      </w:r>
      <w:r w:rsidR="00997872" w:rsidRPr="00633635">
        <w:rPr>
          <w:rFonts w:ascii="Arial" w:hAnsi="Arial" w:cs="Arial"/>
        </w:rPr>
        <w:t xml:space="preserve">its </w:t>
      </w:r>
      <w:r w:rsidRPr="00633635">
        <w:rPr>
          <w:rFonts w:ascii="Arial" w:hAnsi="Arial" w:cs="Arial"/>
        </w:rPr>
        <w:t>annual water compliance reports.</w:t>
      </w:r>
      <w:r w:rsidRPr="00633635">
        <w:rPr>
          <w:rStyle w:val="FootnoteReference"/>
          <w:rFonts w:ascii="Arial" w:hAnsi="Arial" w:cs="Arial"/>
        </w:rPr>
        <w:footnoteReference w:id="13"/>
      </w:r>
      <w:r w:rsidR="005A7136" w:rsidRPr="00633635">
        <w:rPr>
          <w:rFonts w:ascii="Arial" w:hAnsi="Arial" w:cs="Arial"/>
        </w:rPr>
        <w:t xml:space="preserve"> These statistics include further details on finalised prosecutions, including the location of the offence, the specific breach of the Act, and the outcome of the prosecution.</w:t>
      </w:r>
    </w:p>
    <w:p w14:paraId="082C5443" w14:textId="4A559CD4" w:rsidR="00112EBA" w:rsidRPr="00633635" w:rsidRDefault="00112EBA" w:rsidP="00112EBA">
      <w:pPr>
        <w:pStyle w:val="Heading3"/>
        <w:rPr>
          <w:rFonts w:ascii="Arial" w:hAnsi="Arial"/>
        </w:rPr>
      </w:pPr>
      <w:r w:rsidRPr="00633635">
        <w:rPr>
          <w:rFonts w:ascii="Arial" w:hAnsi="Arial"/>
        </w:rPr>
        <w:t xml:space="preserve">Inspector-General </w:t>
      </w:r>
      <w:r w:rsidR="008F1600" w:rsidRPr="00633635">
        <w:rPr>
          <w:rFonts w:ascii="Arial" w:hAnsi="Arial"/>
        </w:rPr>
        <w:t>o</w:t>
      </w:r>
      <w:r w:rsidRPr="00633635">
        <w:rPr>
          <w:rFonts w:ascii="Arial" w:hAnsi="Arial"/>
        </w:rPr>
        <w:t>bservations</w:t>
      </w:r>
    </w:p>
    <w:p w14:paraId="574839DA" w14:textId="26D01678" w:rsidR="00A03C86" w:rsidRPr="00633635" w:rsidRDefault="00FA55C8" w:rsidP="002864E7">
      <w:pPr>
        <w:rPr>
          <w:rFonts w:ascii="Arial" w:hAnsi="Arial" w:cs="Arial"/>
        </w:rPr>
      </w:pPr>
      <w:r w:rsidRPr="00633635">
        <w:rPr>
          <w:rFonts w:ascii="Arial" w:hAnsi="Arial" w:cs="Arial"/>
        </w:rPr>
        <w:t xml:space="preserve">One of the outcomes of </w:t>
      </w:r>
      <w:r w:rsidR="00D4373B" w:rsidRPr="00633635">
        <w:rPr>
          <w:rFonts w:ascii="Arial" w:hAnsi="Arial" w:cs="Arial"/>
        </w:rPr>
        <w:t>Mr Pearson’s review</w:t>
      </w:r>
      <w:r w:rsidR="00997872" w:rsidRPr="00633635">
        <w:rPr>
          <w:rFonts w:ascii="Arial" w:hAnsi="Arial" w:cs="Arial"/>
        </w:rPr>
        <w:t>,</w:t>
      </w:r>
      <w:r w:rsidRPr="00633635">
        <w:rPr>
          <w:rFonts w:ascii="Arial" w:hAnsi="Arial" w:cs="Arial"/>
        </w:rPr>
        <w:t xml:space="preserve"> which reflects similar findings in previous reviews</w:t>
      </w:r>
      <w:r w:rsidR="00997872" w:rsidRPr="00633635">
        <w:rPr>
          <w:rFonts w:ascii="Arial" w:hAnsi="Arial" w:cs="Arial"/>
        </w:rPr>
        <w:t>,</w:t>
      </w:r>
      <w:r w:rsidRPr="00633635">
        <w:rPr>
          <w:rFonts w:ascii="Arial" w:hAnsi="Arial" w:cs="Arial"/>
        </w:rPr>
        <w:t xml:space="preserve"> is that Victoria has a </w:t>
      </w:r>
      <w:r w:rsidR="00BF034D" w:rsidRPr="00633635">
        <w:rPr>
          <w:rFonts w:ascii="Arial" w:hAnsi="Arial" w:cs="Arial"/>
        </w:rPr>
        <w:t xml:space="preserve">clear, </w:t>
      </w:r>
      <w:r w:rsidRPr="00633635">
        <w:rPr>
          <w:rFonts w:ascii="Arial" w:hAnsi="Arial" w:cs="Arial"/>
        </w:rPr>
        <w:t>robust compliance framework complemented by extensive metering coverage, including a high proportion of meters</w:t>
      </w:r>
      <w:r w:rsidR="001A6F08" w:rsidRPr="00633635">
        <w:rPr>
          <w:rFonts w:ascii="Arial" w:hAnsi="Arial" w:cs="Arial"/>
        </w:rPr>
        <w:t xml:space="preserve"> fitted with telemetry</w:t>
      </w:r>
      <w:r w:rsidRPr="00633635">
        <w:rPr>
          <w:rFonts w:ascii="Arial" w:hAnsi="Arial" w:cs="Arial"/>
        </w:rPr>
        <w:t xml:space="preserve">. </w:t>
      </w:r>
    </w:p>
    <w:p w14:paraId="386D7B47" w14:textId="4416FAC1" w:rsidR="00BF034D" w:rsidRPr="00633635" w:rsidRDefault="00FA55C8" w:rsidP="002864E7">
      <w:pPr>
        <w:rPr>
          <w:rFonts w:ascii="Arial" w:hAnsi="Arial" w:cs="Arial"/>
        </w:rPr>
      </w:pPr>
      <w:r w:rsidRPr="00633635">
        <w:rPr>
          <w:rFonts w:ascii="Arial" w:hAnsi="Arial" w:cs="Arial"/>
        </w:rPr>
        <w:t>The rates of non-compliance for unauthorised take are extremely low</w:t>
      </w:r>
      <w:r w:rsidR="00997872" w:rsidRPr="00633635">
        <w:rPr>
          <w:rFonts w:ascii="Arial" w:hAnsi="Arial" w:cs="Arial"/>
        </w:rPr>
        <w:t>. This is</w:t>
      </w:r>
      <w:r w:rsidRPr="00633635">
        <w:rPr>
          <w:rFonts w:ascii="Arial" w:hAnsi="Arial" w:cs="Arial"/>
        </w:rPr>
        <w:t xml:space="preserve"> </w:t>
      </w:r>
      <w:r w:rsidR="00BF034D" w:rsidRPr="00633635">
        <w:rPr>
          <w:rFonts w:ascii="Arial" w:hAnsi="Arial" w:cs="Arial"/>
        </w:rPr>
        <w:t xml:space="preserve">a good indication of the effectiveness of the compliance and monitoring framework. There appears to be a strong compliance culture </w:t>
      </w:r>
      <w:r w:rsidR="00935188" w:rsidRPr="00633635">
        <w:rPr>
          <w:rFonts w:ascii="Arial" w:hAnsi="Arial" w:cs="Arial"/>
        </w:rPr>
        <w:t>in</w:t>
      </w:r>
      <w:r w:rsidR="00BF034D" w:rsidRPr="00633635">
        <w:rPr>
          <w:rFonts w:ascii="Arial" w:hAnsi="Arial" w:cs="Arial"/>
        </w:rPr>
        <w:t xml:space="preserve"> the water corporations, </w:t>
      </w:r>
      <w:r w:rsidR="00373BCD" w:rsidRPr="00633635">
        <w:rPr>
          <w:rFonts w:ascii="Arial" w:hAnsi="Arial" w:cs="Arial"/>
        </w:rPr>
        <w:t xml:space="preserve">underpinned by </w:t>
      </w:r>
      <w:hyperlink r:id="rId28" w:history="1">
        <w:r w:rsidR="00373BCD" w:rsidRPr="00633635">
          <w:rPr>
            <w:rStyle w:val="Hyperlink"/>
            <w:rFonts w:ascii="Arial" w:hAnsi="Arial" w:cs="Arial"/>
          </w:rPr>
          <w:t>strong public messaging</w:t>
        </w:r>
      </w:hyperlink>
      <w:r w:rsidR="00373BCD" w:rsidRPr="00633635">
        <w:rPr>
          <w:rFonts w:ascii="Arial" w:hAnsi="Arial" w:cs="Arial"/>
        </w:rPr>
        <w:t xml:space="preserve"> from the Victorian Government that it takes a ‘zero tolerance’ approach to water theft</w:t>
      </w:r>
      <w:r w:rsidR="00BF034D" w:rsidRPr="00633635">
        <w:rPr>
          <w:rFonts w:ascii="Arial" w:hAnsi="Arial" w:cs="Arial"/>
        </w:rPr>
        <w:t>.</w:t>
      </w:r>
    </w:p>
    <w:p w14:paraId="5F08015D" w14:textId="2DB1DE5C" w:rsidR="009C25D9" w:rsidRPr="00633635" w:rsidRDefault="006F4948" w:rsidP="002864E7">
      <w:pPr>
        <w:rPr>
          <w:rFonts w:ascii="Arial" w:hAnsi="Arial" w:cs="Arial"/>
        </w:rPr>
      </w:pPr>
      <w:r w:rsidRPr="00633635">
        <w:rPr>
          <w:rFonts w:ascii="Arial" w:hAnsi="Arial" w:cs="Arial"/>
        </w:rPr>
        <w:t xml:space="preserve">The </w:t>
      </w:r>
      <w:r w:rsidR="00BF034D" w:rsidRPr="00633635">
        <w:rPr>
          <w:rFonts w:ascii="Arial" w:hAnsi="Arial" w:cs="Arial"/>
        </w:rPr>
        <w:t>Basin</w:t>
      </w:r>
      <w:r w:rsidRPr="00633635">
        <w:rPr>
          <w:rFonts w:ascii="Arial" w:hAnsi="Arial" w:cs="Arial"/>
        </w:rPr>
        <w:t xml:space="preserve"> Compliance Review</w:t>
      </w:r>
      <w:r w:rsidR="00373BCD" w:rsidRPr="00633635">
        <w:rPr>
          <w:rFonts w:ascii="Arial" w:hAnsi="Arial" w:cs="Arial"/>
        </w:rPr>
        <w:t xml:space="preserve"> in 2017</w:t>
      </w:r>
      <w:r w:rsidRPr="00633635">
        <w:rPr>
          <w:rFonts w:ascii="Arial" w:hAnsi="Arial" w:cs="Arial"/>
        </w:rPr>
        <w:t xml:space="preserve"> </w:t>
      </w:r>
      <w:r w:rsidR="002E0209" w:rsidRPr="00633635">
        <w:rPr>
          <w:rFonts w:ascii="Arial" w:hAnsi="Arial" w:cs="Arial"/>
        </w:rPr>
        <w:t>noted Victoria’s</w:t>
      </w:r>
      <w:r w:rsidRPr="00633635">
        <w:rPr>
          <w:rFonts w:ascii="Arial" w:hAnsi="Arial" w:cs="Arial"/>
        </w:rPr>
        <w:t xml:space="preserve"> lack of a full suite of penalties and sanctions, </w:t>
      </w:r>
      <w:r w:rsidR="00935188" w:rsidRPr="00633635">
        <w:rPr>
          <w:rFonts w:ascii="Arial" w:hAnsi="Arial" w:cs="Arial"/>
        </w:rPr>
        <w:t xml:space="preserve">which at that time offered </w:t>
      </w:r>
      <w:r w:rsidRPr="00633635">
        <w:rPr>
          <w:rFonts w:ascii="Arial" w:hAnsi="Arial" w:cs="Arial"/>
        </w:rPr>
        <w:t>no enforcement option between low</w:t>
      </w:r>
      <w:r w:rsidR="00935188" w:rsidRPr="00633635">
        <w:rPr>
          <w:rFonts w:ascii="Arial" w:hAnsi="Arial" w:cs="Arial"/>
        </w:rPr>
        <w:t>-</w:t>
      </w:r>
      <w:r w:rsidRPr="00633635">
        <w:rPr>
          <w:rFonts w:ascii="Arial" w:hAnsi="Arial" w:cs="Arial"/>
        </w:rPr>
        <w:t xml:space="preserve">level warnings </w:t>
      </w:r>
      <w:r w:rsidR="00935188" w:rsidRPr="00633635">
        <w:rPr>
          <w:rFonts w:ascii="Arial" w:hAnsi="Arial" w:cs="Arial"/>
        </w:rPr>
        <w:t xml:space="preserve">and </w:t>
      </w:r>
      <w:r w:rsidRPr="00633635">
        <w:rPr>
          <w:rFonts w:ascii="Arial" w:hAnsi="Arial" w:cs="Arial"/>
        </w:rPr>
        <w:t>criminal prosecution. It is encouraging to see the strengthening of Victoria</w:t>
      </w:r>
      <w:r w:rsidR="00935188" w:rsidRPr="00633635">
        <w:rPr>
          <w:rFonts w:ascii="Arial" w:hAnsi="Arial" w:cs="Arial"/>
        </w:rPr>
        <w:t>’s</w:t>
      </w:r>
      <w:r w:rsidRPr="00633635">
        <w:rPr>
          <w:rFonts w:ascii="Arial" w:hAnsi="Arial" w:cs="Arial"/>
        </w:rPr>
        <w:t xml:space="preserve"> legislative framework in recent years</w:t>
      </w:r>
      <w:r w:rsidR="00935188" w:rsidRPr="00633635">
        <w:rPr>
          <w:rFonts w:ascii="Arial" w:hAnsi="Arial" w:cs="Arial"/>
        </w:rPr>
        <w:t>. The w</w:t>
      </w:r>
      <w:r w:rsidRPr="00633635">
        <w:rPr>
          <w:rFonts w:ascii="Arial" w:hAnsi="Arial" w:cs="Arial"/>
        </w:rPr>
        <w:t>ater corporations</w:t>
      </w:r>
      <w:r w:rsidR="00935188" w:rsidRPr="00633635">
        <w:rPr>
          <w:rFonts w:ascii="Arial" w:hAnsi="Arial" w:cs="Arial"/>
        </w:rPr>
        <w:t xml:space="preserve"> now have</w:t>
      </w:r>
      <w:r w:rsidRPr="00633635">
        <w:rPr>
          <w:rFonts w:ascii="Arial" w:hAnsi="Arial" w:cs="Arial"/>
        </w:rPr>
        <w:t xml:space="preserve"> a full range of enforcement </w:t>
      </w:r>
      <w:r w:rsidR="00BF034D" w:rsidRPr="00633635">
        <w:rPr>
          <w:rFonts w:ascii="Arial" w:hAnsi="Arial" w:cs="Arial"/>
        </w:rPr>
        <w:t>options</w:t>
      </w:r>
      <w:r w:rsidR="00935188" w:rsidRPr="00633635">
        <w:rPr>
          <w:rFonts w:ascii="Arial" w:hAnsi="Arial" w:cs="Arial"/>
        </w:rPr>
        <w:t>, brin</w:t>
      </w:r>
      <w:r w:rsidR="00CB189E" w:rsidRPr="00633635">
        <w:rPr>
          <w:rFonts w:ascii="Arial" w:hAnsi="Arial" w:cs="Arial"/>
        </w:rPr>
        <w:t>g</w:t>
      </w:r>
      <w:r w:rsidR="00935188" w:rsidRPr="00633635">
        <w:rPr>
          <w:rFonts w:ascii="Arial" w:hAnsi="Arial" w:cs="Arial"/>
        </w:rPr>
        <w:t xml:space="preserve">ing </w:t>
      </w:r>
      <w:r w:rsidRPr="00633635">
        <w:rPr>
          <w:rFonts w:ascii="Arial" w:hAnsi="Arial" w:cs="Arial"/>
        </w:rPr>
        <w:t xml:space="preserve">Victoria in line with other </w:t>
      </w:r>
      <w:r w:rsidR="000210F5" w:rsidRPr="00633635">
        <w:rPr>
          <w:rFonts w:ascii="Arial" w:hAnsi="Arial" w:cs="Arial"/>
        </w:rPr>
        <w:t xml:space="preserve">Basin </w:t>
      </w:r>
      <w:r w:rsidR="008F1600" w:rsidRPr="00633635">
        <w:rPr>
          <w:rFonts w:ascii="Arial" w:hAnsi="Arial" w:cs="Arial"/>
        </w:rPr>
        <w:t xml:space="preserve">states </w:t>
      </w:r>
      <w:r w:rsidRPr="00633635">
        <w:rPr>
          <w:rFonts w:ascii="Arial" w:hAnsi="Arial" w:cs="Arial"/>
        </w:rPr>
        <w:t xml:space="preserve">in this regard. </w:t>
      </w:r>
      <w:r w:rsidR="00BF034D" w:rsidRPr="00633635">
        <w:rPr>
          <w:rFonts w:ascii="Arial" w:hAnsi="Arial" w:cs="Arial"/>
        </w:rPr>
        <w:t>These amendments appear to be having the desired effect</w:t>
      </w:r>
      <w:r w:rsidR="00935188" w:rsidRPr="00633635">
        <w:rPr>
          <w:rFonts w:ascii="Arial" w:hAnsi="Arial" w:cs="Arial"/>
        </w:rPr>
        <w:t>:</w:t>
      </w:r>
      <w:r w:rsidR="00BF034D" w:rsidRPr="00633635">
        <w:rPr>
          <w:rFonts w:ascii="Arial" w:hAnsi="Arial" w:cs="Arial"/>
        </w:rPr>
        <w:t xml:space="preserve"> the Pearson </w:t>
      </w:r>
      <w:r w:rsidR="008F1600" w:rsidRPr="00633635">
        <w:rPr>
          <w:rFonts w:ascii="Arial" w:hAnsi="Arial" w:cs="Arial"/>
        </w:rPr>
        <w:t xml:space="preserve">review </w:t>
      </w:r>
      <w:r w:rsidR="00BF034D" w:rsidRPr="00633635">
        <w:rPr>
          <w:rFonts w:ascii="Arial" w:hAnsi="Arial" w:cs="Arial"/>
        </w:rPr>
        <w:t>not</w:t>
      </w:r>
      <w:r w:rsidR="00935188" w:rsidRPr="00633635">
        <w:rPr>
          <w:rFonts w:ascii="Arial" w:hAnsi="Arial" w:cs="Arial"/>
        </w:rPr>
        <w:t>ed</w:t>
      </w:r>
      <w:r w:rsidR="00BF034D" w:rsidRPr="00633635">
        <w:rPr>
          <w:rFonts w:ascii="Arial" w:hAnsi="Arial" w:cs="Arial"/>
        </w:rPr>
        <w:t xml:space="preserve"> that customers are now being more careful to ensure they have positive balances before irrigating and are quickly addressing small negative balances</w:t>
      </w:r>
      <w:r w:rsidR="00935188" w:rsidRPr="00633635">
        <w:rPr>
          <w:rFonts w:ascii="Arial" w:hAnsi="Arial" w:cs="Arial"/>
        </w:rPr>
        <w:t>.</w:t>
      </w:r>
      <w:r w:rsidR="00BF034D" w:rsidRPr="00633635">
        <w:rPr>
          <w:rFonts w:ascii="Arial" w:hAnsi="Arial" w:cs="Arial"/>
        </w:rPr>
        <w:t xml:space="preserve"> </w:t>
      </w:r>
      <w:r w:rsidR="009C25D9" w:rsidRPr="00633635">
        <w:rPr>
          <w:rFonts w:ascii="Arial" w:hAnsi="Arial" w:cs="Arial"/>
        </w:rPr>
        <w:br w:type="page"/>
      </w:r>
    </w:p>
    <w:p w14:paraId="34456815" w14:textId="3571731C" w:rsidR="009C25D9" w:rsidRPr="00633635" w:rsidRDefault="009C25D9" w:rsidP="009C25D9">
      <w:pPr>
        <w:pStyle w:val="Heading2"/>
        <w:rPr>
          <w:rFonts w:ascii="Arial" w:hAnsi="Arial" w:cs="Arial"/>
        </w:rPr>
      </w:pPr>
      <w:bookmarkStart w:id="9" w:name="_Toc112142177"/>
      <w:r w:rsidRPr="00633635">
        <w:rPr>
          <w:rFonts w:ascii="Arial" w:hAnsi="Arial" w:cs="Arial"/>
        </w:rPr>
        <w:lastRenderedPageBreak/>
        <w:t>Queensland</w:t>
      </w:r>
      <w:bookmarkEnd w:id="9"/>
    </w:p>
    <w:p w14:paraId="5C59C23A" w14:textId="54F94914" w:rsidR="00A02DC8" w:rsidRPr="00633635" w:rsidRDefault="00BE7AD4" w:rsidP="00BE7AD4">
      <w:pPr>
        <w:jc w:val="center"/>
        <w:rPr>
          <w:rFonts w:ascii="Arial" w:hAnsi="Arial" w:cs="Arial"/>
        </w:rPr>
      </w:pPr>
      <w:r w:rsidRPr="00633635">
        <w:rPr>
          <w:rFonts w:ascii="Arial" w:hAnsi="Arial" w:cs="Arial"/>
          <w:noProof/>
        </w:rPr>
        <w:drawing>
          <wp:inline distT="0" distB="0" distL="0" distR="0" wp14:anchorId="175061A2" wp14:editId="7CAEAA59">
            <wp:extent cx="4572635" cy="2743200"/>
            <wp:effectExtent l="0" t="0" r="0" b="0"/>
            <wp:docPr id="13" name="Picture 13" descr="A graph showing that Queensland accounts for approximately 11% of water taken from the consumptive pool in the Murray Darling Bas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graph showing that Queensland accounts for approximately 11% of water taken from the consumptive pool in the Murray Darling Basin"/>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635" cy="2743200"/>
                    </a:xfrm>
                    <a:prstGeom prst="rect">
                      <a:avLst/>
                    </a:prstGeom>
                    <a:noFill/>
                  </pic:spPr>
                </pic:pic>
              </a:graphicData>
            </a:graphic>
          </wp:inline>
        </w:drawing>
      </w:r>
    </w:p>
    <w:p w14:paraId="70B0CBE5" w14:textId="1BD1E393" w:rsidR="00745895" w:rsidRPr="00633635" w:rsidRDefault="00745895" w:rsidP="00D82C3F">
      <w:pPr>
        <w:pStyle w:val="Heading3"/>
        <w:rPr>
          <w:rFonts w:ascii="Arial" w:hAnsi="Arial"/>
        </w:rPr>
      </w:pPr>
      <w:r w:rsidRPr="00633635">
        <w:rPr>
          <w:rFonts w:ascii="Arial" w:hAnsi="Arial"/>
        </w:rPr>
        <w:t xml:space="preserve">Overview </w:t>
      </w:r>
    </w:p>
    <w:p w14:paraId="260F2A7F" w14:textId="16F20FE2" w:rsidR="00745895" w:rsidRPr="00633635" w:rsidRDefault="00384124" w:rsidP="00745895">
      <w:pPr>
        <w:rPr>
          <w:rFonts w:ascii="Arial" w:hAnsi="Arial" w:cs="Arial"/>
        </w:rPr>
      </w:pPr>
      <w:r w:rsidRPr="00633635">
        <w:rPr>
          <w:rFonts w:ascii="Arial" w:hAnsi="Arial" w:cs="Arial"/>
        </w:rPr>
        <w:t xml:space="preserve">Queensland is the </w:t>
      </w:r>
      <w:r w:rsidR="00935188" w:rsidRPr="00633635">
        <w:rPr>
          <w:rFonts w:ascii="Arial" w:hAnsi="Arial" w:cs="Arial"/>
        </w:rPr>
        <w:t xml:space="preserve">third </w:t>
      </w:r>
      <w:r w:rsidRPr="00633635">
        <w:rPr>
          <w:rFonts w:ascii="Arial" w:hAnsi="Arial" w:cs="Arial"/>
        </w:rPr>
        <w:t>largest user of water in the Basin, accounting for approximately 11% of total annual actual water take in 2020</w:t>
      </w:r>
      <w:r w:rsidR="00935188" w:rsidRPr="00633635">
        <w:rPr>
          <w:rFonts w:ascii="Arial" w:hAnsi="Arial" w:cs="Arial"/>
        </w:rPr>
        <w:t>–</w:t>
      </w:r>
      <w:r w:rsidRPr="00633635">
        <w:rPr>
          <w:rFonts w:ascii="Arial" w:hAnsi="Arial" w:cs="Arial"/>
        </w:rPr>
        <w:t xml:space="preserve">21. </w:t>
      </w:r>
      <w:r w:rsidR="009E0739" w:rsidRPr="00633635">
        <w:rPr>
          <w:rFonts w:ascii="Arial" w:hAnsi="Arial" w:cs="Arial"/>
        </w:rPr>
        <w:t xml:space="preserve">The </w:t>
      </w:r>
      <w:r w:rsidR="00935188" w:rsidRPr="00633635">
        <w:rPr>
          <w:rFonts w:ascii="Arial" w:hAnsi="Arial" w:cs="Arial"/>
        </w:rPr>
        <w:t xml:space="preserve">Murray–Darling </w:t>
      </w:r>
      <w:r w:rsidR="009E0739" w:rsidRPr="00633635">
        <w:rPr>
          <w:rFonts w:ascii="Arial" w:hAnsi="Arial" w:cs="Arial"/>
        </w:rPr>
        <w:t xml:space="preserve">Basin area represents about 15% of Queensland. </w:t>
      </w:r>
    </w:p>
    <w:p w14:paraId="74ADBF21" w14:textId="0B78B99B" w:rsidR="00745895" w:rsidRPr="00633635" w:rsidRDefault="009E0739" w:rsidP="009E0739">
      <w:pPr>
        <w:rPr>
          <w:rFonts w:ascii="Arial" w:hAnsi="Arial" w:cs="Arial"/>
        </w:rPr>
      </w:pPr>
      <w:r w:rsidRPr="00633635">
        <w:rPr>
          <w:rFonts w:ascii="Arial" w:hAnsi="Arial" w:cs="Arial"/>
        </w:rPr>
        <w:t>The Department of Regional Development, Manufacturing and Water (DRDMW) is the responsible agency for managing the Basin water resources in Queensland. This includes the compliance and enforcement function.</w:t>
      </w:r>
    </w:p>
    <w:p w14:paraId="7A13B99E" w14:textId="440DC120" w:rsidR="00A9207A" w:rsidRPr="00633635" w:rsidRDefault="00A9207A" w:rsidP="00A9207A">
      <w:pPr>
        <w:pStyle w:val="Heading3"/>
        <w:rPr>
          <w:rFonts w:ascii="Arial" w:hAnsi="Arial"/>
        </w:rPr>
      </w:pPr>
      <w:r w:rsidRPr="00633635">
        <w:rPr>
          <w:rFonts w:ascii="Arial" w:hAnsi="Arial"/>
        </w:rPr>
        <w:t xml:space="preserve">Metering, </w:t>
      </w:r>
      <w:proofErr w:type="gramStart"/>
      <w:r w:rsidRPr="00633635">
        <w:rPr>
          <w:rFonts w:ascii="Arial" w:hAnsi="Arial"/>
        </w:rPr>
        <w:t>measurement</w:t>
      </w:r>
      <w:proofErr w:type="gramEnd"/>
      <w:r w:rsidRPr="00633635">
        <w:rPr>
          <w:rFonts w:ascii="Arial" w:hAnsi="Arial"/>
        </w:rPr>
        <w:t xml:space="preserve"> and monitoring</w:t>
      </w:r>
    </w:p>
    <w:p w14:paraId="729B075F" w14:textId="701291C6" w:rsidR="00ED7266" w:rsidRPr="00633635" w:rsidRDefault="00657B4C" w:rsidP="00ED7266">
      <w:pPr>
        <w:rPr>
          <w:rFonts w:ascii="Arial" w:hAnsi="Arial" w:cs="Arial"/>
        </w:rPr>
      </w:pPr>
      <w:r w:rsidRPr="00633635">
        <w:rPr>
          <w:rFonts w:ascii="Arial" w:hAnsi="Arial" w:cs="Arial"/>
        </w:rPr>
        <w:t>Like</w:t>
      </w:r>
      <w:r w:rsidR="00ED7266" w:rsidRPr="00633635">
        <w:rPr>
          <w:rFonts w:ascii="Arial" w:hAnsi="Arial" w:cs="Arial"/>
        </w:rPr>
        <w:t xml:space="preserve"> </w:t>
      </w:r>
      <w:r w:rsidR="008507F0" w:rsidRPr="00633635">
        <w:rPr>
          <w:rFonts w:ascii="Arial" w:hAnsi="Arial" w:cs="Arial"/>
        </w:rPr>
        <w:t>New South Wales</w:t>
      </w:r>
      <w:r w:rsidR="00ED7266" w:rsidRPr="00633635">
        <w:rPr>
          <w:rFonts w:ascii="Arial" w:hAnsi="Arial" w:cs="Arial"/>
        </w:rPr>
        <w:t xml:space="preserve">, </w:t>
      </w:r>
      <w:r w:rsidR="008507F0" w:rsidRPr="00633635">
        <w:rPr>
          <w:rFonts w:ascii="Arial" w:hAnsi="Arial" w:cs="Arial"/>
        </w:rPr>
        <w:t xml:space="preserve">Queensland </w:t>
      </w:r>
      <w:r w:rsidR="00ED7266" w:rsidRPr="00633635">
        <w:rPr>
          <w:rFonts w:ascii="Arial" w:hAnsi="Arial" w:cs="Arial"/>
        </w:rPr>
        <w:t>faces some challenges in monitoring water take, notably the significant volume of water that is unsupplemented (</w:t>
      </w:r>
      <w:r w:rsidR="00CA7D86" w:rsidRPr="00633635">
        <w:rPr>
          <w:rFonts w:ascii="Arial" w:hAnsi="Arial" w:cs="Arial"/>
        </w:rPr>
        <w:t xml:space="preserve">referred to as </w:t>
      </w:r>
      <w:r w:rsidR="00ED7266" w:rsidRPr="00633635">
        <w:rPr>
          <w:rFonts w:ascii="Arial" w:hAnsi="Arial" w:cs="Arial"/>
        </w:rPr>
        <w:t>unregulated</w:t>
      </w:r>
      <w:r w:rsidR="00CA7D86" w:rsidRPr="00633635">
        <w:rPr>
          <w:rFonts w:ascii="Arial" w:hAnsi="Arial" w:cs="Arial"/>
        </w:rPr>
        <w:t xml:space="preserve"> in NSW</w:t>
      </w:r>
      <w:r w:rsidR="00ED7266" w:rsidRPr="00633635">
        <w:rPr>
          <w:rFonts w:ascii="Arial" w:hAnsi="Arial" w:cs="Arial"/>
        </w:rPr>
        <w:t xml:space="preserve">), as well as the vast geographical distances that </w:t>
      </w:r>
      <w:r w:rsidR="008507F0" w:rsidRPr="00633635">
        <w:rPr>
          <w:rFonts w:ascii="Arial" w:hAnsi="Arial" w:cs="Arial"/>
        </w:rPr>
        <w:t>the Queensland Murray–Darling Basin</w:t>
      </w:r>
      <w:r w:rsidR="00ED7266" w:rsidRPr="00633635">
        <w:rPr>
          <w:rFonts w:ascii="Arial" w:hAnsi="Arial" w:cs="Arial"/>
        </w:rPr>
        <w:t xml:space="preserve"> covers. </w:t>
      </w:r>
    </w:p>
    <w:p w14:paraId="53A5531A" w14:textId="2E0DD515" w:rsidR="00492A67" w:rsidRPr="00633635" w:rsidRDefault="00492A67" w:rsidP="00492A67">
      <w:pPr>
        <w:pStyle w:val="Heading4"/>
        <w:rPr>
          <w:rFonts w:ascii="Arial" w:hAnsi="Arial"/>
        </w:rPr>
      </w:pPr>
      <w:r w:rsidRPr="00633635">
        <w:rPr>
          <w:rFonts w:ascii="Arial" w:hAnsi="Arial"/>
        </w:rPr>
        <w:t xml:space="preserve">Metering </w:t>
      </w:r>
      <w:r w:rsidR="008507F0" w:rsidRPr="00633635">
        <w:rPr>
          <w:rFonts w:ascii="Arial" w:hAnsi="Arial"/>
        </w:rPr>
        <w:t>and</w:t>
      </w:r>
      <w:r w:rsidRPr="00633635">
        <w:rPr>
          <w:rFonts w:ascii="Arial" w:hAnsi="Arial"/>
        </w:rPr>
        <w:t xml:space="preserve"> measurement</w:t>
      </w:r>
    </w:p>
    <w:p w14:paraId="16F37B5E" w14:textId="5EB6C96E" w:rsidR="00B9591F" w:rsidRPr="00633635" w:rsidRDefault="0000531C" w:rsidP="00B9591F">
      <w:pPr>
        <w:rPr>
          <w:rStyle w:val="None"/>
          <w:rFonts w:ascii="Arial" w:hAnsi="Arial" w:cs="Arial"/>
        </w:rPr>
      </w:pPr>
      <w:r w:rsidRPr="00633635">
        <w:rPr>
          <w:rFonts w:ascii="Arial" w:hAnsi="Arial" w:cs="Arial"/>
        </w:rPr>
        <w:t xml:space="preserve">Meter coverage and accuracy in Queensland is not as </w:t>
      </w:r>
      <w:r w:rsidR="00821285" w:rsidRPr="00633635">
        <w:rPr>
          <w:rFonts w:ascii="Arial" w:hAnsi="Arial" w:cs="Arial"/>
        </w:rPr>
        <w:t>high</w:t>
      </w:r>
      <w:r w:rsidRPr="00633635">
        <w:rPr>
          <w:rFonts w:ascii="Arial" w:hAnsi="Arial" w:cs="Arial"/>
        </w:rPr>
        <w:t xml:space="preserve"> as</w:t>
      </w:r>
      <w:r w:rsidR="008507F0" w:rsidRPr="00633635">
        <w:rPr>
          <w:rFonts w:ascii="Arial" w:hAnsi="Arial" w:cs="Arial"/>
        </w:rPr>
        <w:t xml:space="preserve"> in</w:t>
      </w:r>
      <w:r w:rsidRPr="00633635">
        <w:rPr>
          <w:rFonts w:ascii="Arial" w:hAnsi="Arial" w:cs="Arial"/>
        </w:rPr>
        <w:t xml:space="preserve"> other </w:t>
      </w:r>
      <w:r w:rsidR="000210F5" w:rsidRPr="00633635">
        <w:rPr>
          <w:rFonts w:ascii="Arial" w:hAnsi="Arial" w:cs="Arial"/>
        </w:rPr>
        <w:t xml:space="preserve">Basin </w:t>
      </w:r>
      <w:r w:rsidR="008F1600" w:rsidRPr="00633635">
        <w:rPr>
          <w:rFonts w:ascii="Arial" w:hAnsi="Arial" w:cs="Arial"/>
        </w:rPr>
        <w:t>s</w:t>
      </w:r>
      <w:r w:rsidR="000210F5" w:rsidRPr="00633635">
        <w:rPr>
          <w:rFonts w:ascii="Arial" w:hAnsi="Arial" w:cs="Arial"/>
        </w:rPr>
        <w:t>tates</w:t>
      </w:r>
      <w:r w:rsidRPr="00633635">
        <w:rPr>
          <w:rFonts w:ascii="Arial" w:hAnsi="Arial" w:cs="Arial"/>
        </w:rPr>
        <w:t xml:space="preserve">. </w:t>
      </w:r>
      <w:r w:rsidR="00B9591F" w:rsidRPr="00633635">
        <w:rPr>
          <w:rStyle w:val="None"/>
          <w:rFonts w:ascii="Arial" w:hAnsi="Arial" w:cs="Arial"/>
        </w:rPr>
        <w:t>In the Queensland Murray–Darling Basin</w:t>
      </w:r>
      <w:r w:rsidR="00CA7D86" w:rsidRPr="00633635">
        <w:rPr>
          <w:rStyle w:val="None"/>
          <w:rFonts w:ascii="Arial" w:hAnsi="Arial" w:cs="Arial"/>
        </w:rPr>
        <w:t xml:space="preserve"> area</w:t>
      </w:r>
      <w:r w:rsidR="00B9591F" w:rsidRPr="00633635">
        <w:rPr>
          <w:rStyle w:val="None"/>
          <w:rFonts w:ascii="Arial" w:hAnsi="Arial" w:cs="Arial"/>
        </w:rPr>
        <w:t xml:space="preserve"> there are 5,945 entitlements, of which 2,730 (representing 74% of total volume) are metered.</w:t>
      </w:r>
      <w:r w:rsidR="00B9591F" w:rsidRPr="00633635">
        <w:rPr>
          <w:rFonts w:ascii="Arial" w:hAnsi="Arial" w:cs="Arial"/>
        </w:rPr>
        <w:t xml:space="preserve"> </w:t>
      </w:r>
      <w:r w:rsidR="00B9591F" w:rsidRPr="00633635">
        <w:rPr>
          <w:rStyle w:val="None"/>
          <w:rFonts w:ascii="Arial" w:hAnsi="Arial" w:cs="Arial"/>
        </w:rPr>
        <w:t>For the 26% of take that is not metered</w:t>
      </w:r>
      <w:r w:rsidR="008507F0" w:rsidRPr="00633635">
        <w:rPr>
          <w:rStyle w:val="None"/>
          <w:rFonts w:ascii="Arial" w:hAnsi="Arial" w:cs="Arial"/>
        </w:rPr>
        <w:t>,</w:t>
      </w:r>
      <w:r w:rsidR="00B9591F" w:rsidRPr="00633635">
        <w:rPr>
          <w:rStyle w:val="None"/>
          <w:rFonts w:ascii="Arial" w:hAnsi="Arial" w:cs="Arial"/>
        </w:rPr>
        <w:t xml:space="preserve"> a risk-based approach to monitoring is adopted. These entitlements are </w:t>
      </w:r>
      <w:r w:rsidR="00595BCE" w:rsidRPr="00633635">
        <w:rPr>
          <w:rStyle w:val="None"/>
          <w:rFonts w:ascii="Arial" w:hAnsi="Arial" w:cs="Arial"/>
        </w:rPr>
        <w:t>relatively</w:t>
      </w:r>
      <w:r w:rsidR="00B9591F" w:rsidRPr="00633635">
        <w:rPr>
          <w:rStyle w:val="None"/>
          <w:rFonts w:ascii="Arial" w:hAnsi="Arial" w:cs="Arial"/>
        </w:rPr>
        <w:t xml:space="preserve"> smaller volume, groundwater entitlements.</w:t>
      </w:r>
    </w:p>
    <w:p w14:paraId="14CEB032" w14:textId="67CCE048" w:rsidR="009E0739" w:rsidRPr="00633635" w:rsidRDefault="0000531C" w:rsidP="00D82C3F">
      <w:pPr>
        <w:rPr>
          <w:rFonts w:ascii="Arial" w:hAnsi="Arial" w:cs="Arial"/>
        </w:rPr>
      </w:pPr>
      <w:r w:rsidRPr="00633635">
        <w:rPr>
          <w:rFonts w:ascii="Arial" w:hAnsi="Arial" w:cs="Arial"/>
        </w:rPr>
        <w:t>Queensland is currently developing a strengthened non-urban water measurement policy</w:t>
      </w:r>
      <w:r w:rsidR="008507F0" w:rsidRPr="00633635">
        <w:rPr>
          <w:rFonts w:ascii="Arial" w:hAnsi="Arial" w:cs="Arial"/>
        </w:rPr>
        <w:t>,</w:t>
      </w:r>
      <w:r w:rsidRPr="00633635">
        <w:rPr>
          <w:rFonts w:ascii="Arial" w:hAnsi="Arial" w:cs="Arial"/>
        </w:rPr>
        <w:t xml:space="preserve"> which </w:t>
      </w:r>
      <w:r w:rsidR="008507F0" w:rsidRPr="00633635">
        <w:rPr>
          <w:rFonts w:ascii="Arial" w:hAnsi="Arial" w:cs="Arial"/>
        </w:rPr>
        <w:t>aims to improve</w:t>
      </w:r>
      <w:r w:rsidRPr="00633635">
        <w:rPr>
          <w:rFonts w:ascii="Arial" w:hAnsi="Arial" w:cs="Arial"/>
        </w:rPr>
        <w:t xml:space="preserve"> the standard and coverage of non-urban metering. </w:t>
      </w:r>
    </w:p>
    <w:p w14:paraId="1B9ED62D" w14:textId="037C207D" w:rsidR="00610303" w:rsidRPr="00633635" w:rsidRDefault="00610303" w:rsidP="00D82C3F">
      <w:pPr>
        <w:rPr>
          <w:rFonts w:ascii="Arial" w:hAnsi="Arial" w:cs="Arial"/>
        </w:rPr>
      </w:pPr>
      <w:r w:rsidRPr="00633635">
        <w:rPr>
          <w:rStyle w:val="None"/>
          <w:rFonts w:ascii="Arial" w:hAnsi="Arial" w:cs="Arial"/>
        </w:rPr>
        <w:t>Licensing of overland flow works has been completed for the Lower Balonne sub-catchment area.</w:t>
      </w:r>
      <w:r w:rsidRPr="00633635">
        <w:rPr>
          <w:rStyle w:val="FootnoteReference"/>
          <w:rFonts w:ascii="Arial" w:hAnsi="Arial" w:cs="Arial"/>
        </w:rPr>
        <w:footnoteReference w:id="14"/>
      </w:r>
      <w:r w:rsidRPr="00633635">
        <w:rPr>
          <w:rStyle w:val="None"/>
          <w:rFonts w:ascii="Arial" w:hAnsi="Arial" w:cs="Arial"/>
        </w:rPr>
        <w:t xml:space="preserve"> As part of the </w:t>
      </w:r>
      <w:r w:rsidRPr="00633635">
        <w:rPr>
          <w:rFonts w:ascii="Arial" w:hAnsi="Arial" w:cs="Arial"/>
          <w:i/>
          <w:iCs/>
        </w:rPr>
        <w:t>Rural Water Futures</w:t>
      </w:r>
      <w:r w:rsidRPr="00633635">
        <w:rPr>
          <w:rFonts w:ascii="Arial" w:hAnsi="Arial" w:cs="Arial"/>
        </w:rPr>
        <w:t xml:space="preserve"> (RWF) </w:t>
      </w:r>
      <w:r w:rsidR="00595BCE" w:rsidRPr="00633635">
        <w:rPr>
          <w:rFonts w:ascii="Arial" w:hAnsi="Arial" w:cs="Arial"/>
        </w:rPr>
        <w:t>p</w:t>
      </w:r>
      <w:r w:rsidRPr="00633635">
        <w:rPr>
          <w:rFonts w:ascii="Arial" w:hAnsi="Arial" w:cs="Arial"/>
        </w:rPr>
        <w:t>rogram</w:t>
      </w:r>
      <w:r w:rsidR="00595BCE" w:rsidRPr="00633635">
        <w:rPr>
          <w:rStyle w:val="FootnoteReference"/>
          <w:rFonts w:ascii="Arial" w:hAnsi="Arial" w:cs="Arial"/>
        </w:rPr>
        <w:footnoteReference w:id="15"/>
      </w:r>
      <w:r w:rsidRPr="00633635">
        <w:rPr>
          <w:rStyle w:val="None"/>
          <w:rFonts w:ascii="Arial" w:hAnsi="Arial" w:cs="Arial"/>
        </w:rPr>
        <w:t xml:space="preserve"> there is a program of works underway to </w:t>
      </w:r>
      <w:r w:rsidRPr="00633635">
        <w:rPr>
          <w:rFonts w:ascii="Arial" w:hAnsi="Arial" w:cs="Arial"/>
        </w:rPr>
        <w:t xml:space="preserve">improve measurement and monitoring of the </w:t>
      </w:r>
      <w:r w:rsidR="00C20072" w:rsidRPr="00633635">
        <w:rPr>
          <w:rFonts w:ascii="Arial" w:hAnsi="Arial" w:cs="Arial"/>
        </w:rPr>
        <w:t xml:space="preserve">take of </w:t>
      </w:r>
      <w:r w:rsidRPr="00633635">
        <w:rPr>
          <w:rFonts w:ascii="Arial" w:hAnsi="Arial" w:cs="Arial"/>
        </w:rPr>
        <w:t>overland flow</w:t>
      </w:r>
      <w:r w:rsidR="00C20072" w:rsidRPr="00633635">
        <w:rPr>
          <w:rFonts w:ascii="Arial" w:hAnsi="Arial" w:cs="Arial"/>
        </w:rPr>
        <w:t xml:space="preserve"> water</w:t>
      </w:r>
      <w:r w:rsidRPr="00633635">
        <w:rPr>
          <w:rFonts w:ascii="Arial" w:hAnsi="Arial" w:cs="Arial"/>
        </w:rPr>
        <w:t xml:space="preserve">. Queensland has also committed to the </w:t>
      </w:r>
      <w:r w:rsidR="00C20072" w:rsidRPr="00633635">
        <w:rPr>
          <w:rFonts w:ascii="Arial" w:hAnsi="Arial" w:cs="Arial"/>
        </w:rPr>
        <w:t>revalidation of existing measurement in the Lower Balonne; and licensing</w:t>
      </w:r>
      <w:r w:rsidRPr="00633635">
        <w:rPr>
          <w:rFonts w:ascii="Arial" w:hAnsi="Arial" w:cs="Arial"/>
        </w:rPr>
        <w:t xml:space="preserve"> of the Border Rivers and Moonie floodplains by end of 2022.</w:t>
      </w:r>
    </w:p>
    <w:p w14:paraId="4FC7F7EA" w14:textId="137B0D1A" w:rsidR="00492A67" w:rsidRPr="00633635" w:rsidRDefault="00492A67" w:rsidP="00492A67">
      <w:pPr>
        <w:pStyle w:val="Heading4"/>
        <w:rPr>
          <w:rFonts w:ascii="Arial" w:hAnsi="Arial"/>
        </w:rPr>
      </w:pPr>
      <w:r w:rsidRPr="00633635">
        <w:rPr>
          <w:rFonts w:ascii="Arial" w:hAnsi="Arial"/>
        </w:rPr>
        <w:t>Monitoring</w:t>
      </w:r>
    </w:p>
    <w:p w14:paraId="5FE845F0" w14:textId="1118C04E" w:rsidR="00821285" w:rsidRPr="00633635" w:rsidRDefault="001A3047" w:rsidP="00D82C3F">
      <w:pPr>
        <w:rPr>
          <w:rStyle w:val="None"/>
          <w:rFonts w:ascii="Arial" w:hAnsi="Arial" w:cs="Arial"/>
        </w:rPr>
      </w:pPr>
      <w:r w:rsidRPr="00633635">
        <w:rPr>
          <w:rFonts w:ascii="Arial" w:hAnsi="Arial" w:cs="Arial"/>
        </w:rPr>
        <w:t xml:space="preserve">Meter reading requirements range from </w:t>
      </w:r>
      <w:r w:rsidRPr="00633635">
        <w:rPr>
          <w:rStyle w:val="None"/>
          <w:rFonts w:ascii="Arial" w:hAnsi="Arial" w:cs="Arial"/>
        </w:rPr>
        <w:t>annually for some unsupplemented take; during and after flow events for water harvesting; six-monthly for groundwater; and quarterly or monthly for supplemented take.</w:t>
      </w:r>
      <w:r w:rsidRPr="00633635">
        <w:rPr>
          <w:rStyle w:val="Strong"/>
          <w:rFonts w:ascii="Arial" w:hAnsi="Arial" w:cs="Arial"/>
        </w:rPr>
        <w:t xml:space="preserve"> </w:t>
      </w:r>
      <w:r w:rsidR="00821285" w:rsidRPr="00633635">
        <w:rPr>
          <w:rStyle w:val="None"/>
          <w:rFonts w:ascii="Arial" w:hAnsi="Arial" w:cs="Arial"/>
        </w:rPr>
        <w:lastRenderedPageBreak/>
        <w:t>Reconciliation of water use against entitlements is generally undertaken at the end of each water year.</w:t>
      </w:r>
      <w:r w:rsidR="001C0526" w:rsidRPr="00633635">
        <w:rPr>
          <w:rFonts w:ascii="Arial" w:hAnsi="Arial" w:cs="Arial"/>
        </w:rPr>
        <w:t xml:space="preserve"> Queensland’s water accounting process is largely done manually using spreadsheets.</w:t>
      </w:r>
    </w:p>
    <w:p w14:paraId="1EE3015C" w14:textId="6BEF8C5A" w:rsidR="00D82C3F" w:rsidRPr="00633635" w:rsidRDefault="00D82C3F" w:rsidP="00D82C3F">
      <w:pPr>
        <w:rPr>
          <w:rFonts w:ascii="Arial" w:hAnsi="Arial" w:cs="Arial"/>
        </w:rPr>
      </w:pPr>
      <w:r w:rsidRPr="00633635">
        <w:rPr>
          <w:rFonts w:ascii="Arial" w:hAnsi="Arial" w:cs="Arial"/>
        </w:rPr>
        <w:t xml:space="preserve">Overland flow harvesting is read during and after each flow event where licensing and measurement is in place – currently this is limited to the Lower Balonne catchment and 60% of the Border Rivers floodplain. </w:t>
      </w:r>
    </w:p>
    <w:p w14:paraId="41ED3BA1" w14:textId="111E78CF" w:rsidR="00FA6D5B" w:rsidRPr="00633635" w:rsidRDefault="008B4697" w:rsidP="00FA6D5B">
      <w:pPr>
        <w:pStyle w:val="Heading3"/>
        <w:rPr>
          <w:rFonts w:ascii="Arial" w:hAnsi="Arial"/>
        </w:rPr>
      </w:pPr>
      <w:r w:rsidRPr="00633635">
        <w:rPr>
          <w:rFonts w:ascii="Arial" w:hAnsi="Arial"/>
        </w:rPr>
        <w:t>Managing</w:t>
      </w:r>
      <w:r w:rsidR="00FA6D5B" w:rsidRPr="00633635">
        <w:rPr>
          <w:rFonts w:ascii="Arial" w:hAnsi="Arial"/>
        </w:rPr>
        <w:t xml:space="preserve"> non-compliance</w:t>
      </w:r>
    </w:p>
    <w:p w14:paraId="5D5FF2DA" w14:textId="7465AF78" w:rsidR="00B9591F" w:rsidRPr="00633635" w:rsidRDefault="00B9591F" w:rsidP="002864E7">
      <w:pPr>
        <w:rPr>
          <w:rFonts w:ascii="Arial" w:hAnsi="Arial" w:cs="Arial"/>
        </w:rPr>
      </w:pPr>
      <w:r w:rsidRPr="00633635">
        <w:rPr>
          <w:rFonts w:ascii="Arial" w:hAnsi="Arial" w:cs="Arial"/>
        </w:rPr>
        <w:t xml:space="preserve">The Pearson </w:t>
      </w:r>
      <w:r w:rsidR="008F1600" w:rsidRPr="00633635">
        <w:rPr>
          <w:rFonts w:ascii="Arial" w:hAnsi="Arial" w:cs="Arial"/>
        </w:rPr>
        <w:t xml:space="preserve">review </w:t>
      </w:r>
      <w:r w:rsidRPr="00633635">
        <w:rPr>
          <w:rFonts w:ascii="Arial" w:hAnsi="Arial" w:cs="Arial"/>
        </w:rPr>
        <w:t>noted that in 2020</w:t>
      </w:r>
      <w:r w:rsidR="008B4697" w:rsidRPr="00633635">
        <w:rPr>
          <w:rFonts w:ascii="Arial" w:hAnsi="Arial" w:cs="Arial"/>
        </w:rPr>
        <w:t>–</w:t>
      </w:r>
      <w:r w:rsidRPr="00633635">
        <w:rPr>
          <w:rFonts w:ascii="Arial" w:hAnsi="Arial" w:cs="Arial"/>
        </w:rPr>
        <w:t>21, 1,734 audits of meter reads</w:t>
      </w:r>
      <w:r w:rsidR="00CA7D86" w:rsidRPr="00633635">
        <w:rPr>
          <w:rFonts w:ascii="Arial" w:hAnsi="Arial" w:cs="Arial"/>
        </w:rPr>
        <w:t xml:space="preserve"> (where meter readings are checked against entitlements)</w:t>
      </w:r>
      <w:r w:rsidRPr="00633635">
        <w:rPr>
          <w:rFonts w:ascii="Arial" w:hAnsi="Arial" w:cs="Arial"/>
        </w:rPr>
        <w:t xml:space="preserve"> were completed, resulting in a compliance rate of 95%</w:t>
      </w:r>
      <w:r w:rsidR="008B4697" w:rsidRPr="00633635">
        <w:rPr>
          <w:rFonts w:ascii="Arial" w:hAnsi="Arial" w:cs="Arial"/>
        </w:rPr>
        <w:t xml:space="preserve">. This shows </w:t>
      </w:r>
      <w:r w:rsidRPr="00633635">
        <w:rPr>
          <w:rFonts w:ascii="Arial" w:hAnsi="Arial" w:cs="Arial"/>
        </w:rPr>
        <w:t xml:space="preserve">that where water take is metered, compliance rates for take against allocation are comparable with other </w:t>
      </w:r>
      <w:r w:rsidR="000210F5" w:rsidRPr="00633635">
        <w:rPr>
          <w:rFonts w:ascii="Arial" w:hAnsi="Arial" w:cs="Arial"/>
        </w:rPr>
        <w:t xml:space="preserve">Basin </w:t>
      </w:r>
      <w:r w:rsidR="008F1600" w:rsidRPr="00633635">
        <w:rPr>
          <w:rFonts w:ascii="Arial" w:hAnsi="Arial" w:cs="Arial"/>
        </w:rPr>
        <w:t>s</w:t>
      </w:r>
      <w:r w:rsidR="000210F5" w:rsidRPr="00633635">
        <w:rPr>
          <w:rFonts w:ascii="Arial" w:hAnsi="Arial" w:cs="Arial"/>
        </w:rPr>
        <w:t>tates</w:t>
      </w:r>
      <w:r w:rsidRPr="00633635">
        <w:rPr>
          <w:rFonts w:ascii="Arial" w:hAnsi="Arial" w:cs="Arial"/>
        </w:rPr>
        <w:t>.</w:t>
      </w:r>
    </w:p>
    <w:p w14:paraId="60E066F0" w14:textId="18304402" w:rsidR="002E0209" w:rsidRPr="00633635" w:rsidRDefault="002E0209" w:rsidP="008F1600">
      <w:pPr>
        <w:rPr>
          <w:rStyle w:val="None"/>
          <w:rFonts w:ascii="Arial" w:hAnsi="Arial" w:cs="Arial"/>
        </w:rPr>
      </w:pPr>
      <w:r w:rsidRPr="00633635">
        <w:rPr>
          <w:rStyle w:val="None"/>
          <w:rFonts w:ascii="Arial" w:hAnsi="Arial" w:cs="Arial"/>
        </w:rPr>
        <w:t>Meter readings received are audited against the allocated volumes annually. On a risk basis, some are subject to mid-year checks (usually in March), with exceptions addressed case by case.</w:t>
      </w:r>
    </w:p>
    <w:p w14:paraId="0EADCAC2" w14:textId="61E016AB" w:rsidR="002E0209" w:rsidRPr="00633635" w:rsidRDefault="002E0209" w:rsidP="002E0209">
      <w:pPr>
        <w:rPr>
          <w:rStyle w:val="None"/>
          <w:rFonts w:ascii="Arial" w:hAnsi="Arial" w:cs="Arial"/>
        </w:rPr>
      </w:pPr>
      <w:r w:rsidRPr="00633635">
        <w:rPr>
          <w:rStyle w:val="None"/>
          <w:rFonts w:ascii="Arial" w:hAnsi="Arial" w:cs="Arial"/>
        </w:rPr>
        <w:t xml:space="preserve">DRDMW uses a risk-based and proportionate approach to managing detected non-compliance. Like other </w:t>
      </w:r>
      <w:r w:rsidR="000210F5" w:rsidRPr="00633635">
        <w:rPr>
          <w:rStyle w:val="None"/>
          <w:rFonts w:ascii="Arial" w:hAnsi="Arial" w:cs="Arial"/>
        </w:rPr>
        <w:t xml:space="preserve">Basin </w:t>
      </w:r>
      <w:r w:rsidR="008F1600" w:rsidRPr="00633635">
        <w:rPr>
          <w:rStyle w:val="None"/>
          <w:rFonts w:ascii="Arial" w:hAnsi="Arial" w:cs="Arial"/>
        </w:rPr>
        <w:t>states</w:t>
      </w:r>
      <w:r w:rsidRPr="00633635">
        <w:rPr>
          <w:rStyle w:val="None"/>
          <w:rFonts w:ascii="Arial" w:hAnsi="Arial" w:cs="Arial"/>
        </w:rPr>
        <w:t xml:space="preserve">, </w:t>
      </w:r>
      <w:r w:rsidR="008F1600" w:rsidRPr="00633635">
        <w:rPr>
          <w:rStyle w:val="None"/>
          <w:rFonts w:ascii="Arial" w:hAnsi="Arial" w:cs="Arial"/>
        </w:rPr>
        <w:t xml:space="preserve">Queensland </w:t>
      </w:r>
      <w:r w:rsidRPr="00633635">
        <w:rPr>
          <w:rStyle w:val="None"/>
          <w:rFonts w:ascii="Arial" w:hAnsi="Arial" w:cs="Arial"/>
        </w:rPr>
        <w:t xml:space="preserve">has a range of enforcement tools available to use depending on the severity of the offence. </w:t>
      </w:r>
      <w:r w:rsidR="001113D2" w:rsidRPr="00633635">
        <w:rPr>
          <w:rStyle w:val="None"/>
          <w:rFonts w:ascii="Arial" w:hAnsi="Arial" w:cs="Arial"/>
        </w:rPr>
        <w:t>The</w:t>
      </w:r>
      <w:r w:rsidR="00C20072" w:rsidRPr="00633635">
        <w:rPr>
          <w:rStyle w:val="None"/>
          <w:rFonts w:ascii="Arial" w:hAnsi="Arial" w:cs="Arial"/>
        </w:rPr>
        <w:t>re</w:t>
      </w:r>
      <w:r w:rsidR="001113D2" w:rsidRPr="00633635">
        <w:rPr>
          <w:rStyle w:val="None"/>
          <w:rFonts w:ascii="Arial" w:hAnsi="Arial" w:cs="Arial"/>
        </w:rPr>
        <w:t xml:space="preserve"> was a noted increase in enforcement activities during </w:t>
      </w:r>
      <w:hyperlink r:id="rId30" w:history="1">
        <w:r w:rsidR="001113D2" w:rsidRPr="00633635">
          <w:rPr>
            <w:rStyle w:val="Hyperlink"/>
            <w:rFonts w:ascii="Arial" w:hAnsi="Arial" w:cs="Arial"/>
          </w:rPr>
          <w:t>2020-21</w:t>
        </w:r>
      </w:hyperlink>
      <w:r w:rsidR="001113D2" w:rsidRPr="00633635">
        <w:rPr>
          <w:rStyle w:val="None"/>
          <w:rFonts w:ascii="Arial" w:hAnsi="Arial" w:cs="Arial"/>
        </w:rPr>
        <w:t xml:space="preserve"> compared with preceding years. </w:t>
      </w:r>
      <w:r w:rsidRPr="00633635">
        <w:rPr>
          <w:rStyle w:val="None"/>
          <w:rFonts w:ascii="Arial" w:hAnsi="Arial" w:cs="Arial"/>
        </w:rPr>
        <w:t xml:space="preserve"> </w:t>
      </w:r>
    </w:p>
    <w:p w14:paraId="0821D898" w14:textId="1133B448" w:rsidR="006D5579" w:rsidRPr="00633635" w:rsidRDefault="006D5579" w:rsidP="006D5579">
      <w:pPr>
        <w:pStyle w:val="Heading3"/>
        <w:rPr>
          <w:rFonts w:ascii="Arial" w:hAnsi="Arial"/>
        </w:rPr>
      </w:pPr>
      <w:r w:rsidRPr="00633635">
        <w:rPr>
          <w:rFonts w:ascii="Arial" w:hAnsi="Arial"/>
        </w:rPr>
        <w:t xml:space="preserve">Public </w:t>
      </w:r>
      <w:r w:rsidR="008F1600" w:rsidRPr="00633635">
        <w:rPr>
          <w:rFonts w:ascii="Arial" w:hAnsi="Arial"/>
        </w:rPr>
        <w:t>reporting</w:t>
      </w:r>
    </w:p>
    <w:p w14:paraId="2EDE3ADA" w14:textId="79A4A40C" w:rsidR="00F42AFD" w:rsidRPr="00633635" w:rsidRDefault="00D77888" w:rsidP="002864E7">
      <w:pPr>
        <w:rPr>
          <w:rFonts w:ascii="Arial" w:hAnsi="Arial" w:cs="Arial"/>
        </w:rPr>
      </w:pPr>
      <w:r w:rsidRPr="00633635">
        <w:rPr>
          <w:rFonts w:ascii="Arial" w:hAnsi="Arial" w:cs="Arial"/>
        </w:rPr>
        <w:t xml:space="preserve">Queensland publishes an annual report on its DRDMW website which gives an overview of compliance and enforcement actions undertaken in the </w:t>
      </w:r>
      <w:r w:rsidR="008B4697" w:rsidRPr="00633635">
        <w:rPr>
          <w:rFonts w:ascii="Arial" w:hAnsi="Arial" w:cs="Arial"/>
        </w:rPr>
        <w:t xml:space="preserve">Queensland </w:t>
      </w:r>
      <w:r w:rsidRPr="00633635">
        <w:rPr>
          <w:rFonts w:ascii="Arial" w:hAnsi="Arial" w:cs="Arial"/>
        </w:rPr>
        <w:t>Murray</w:t>
      </w:r>
      <w:r w:rsidR="008B4697" w:rsidRPr="00633635">
        <w:rPr>
          <w:rFonts w:ascii="Arial" w:hAnsi="Arial" w:cs="Arial"/>
        </w:rPr>
        <w:t>–</w:t>
      </w:r>
      <w:r w:rsidRPr="00633635">
        <w:rPr>
          <w:rFonts w:ascii="Arial" w:hAnsi="Arial" w:cs="Arial"/>
        </w:rPr>
        <w:t>Darling Basin</w:t>
      </w:r>
      <w:r w:rsidR="008B4697" w:rsidRPr="00633635">
        <w:rPr>
          <w:rFonts w:ascii="Arial" w:hAnsi="Arial" w:cs="Arial"/>
        </w:rPr>
        <w:t>,</w:t>
      </w:r>
      <w:r w:rsidRPr="00633635">
        <w:rPr>
          <w:rFonts w:ascii="Arial" w:hAnsi="Arial" w:cs="Arial"/>
        </w:rPr>
        <w:t xml:space="preserve"> including property audits, warning notices, penalty infringement notices, and prosecutions. </w:t>
      </w:r>
    </w:p>
    <w:p w14:paraId="630CB678" w14:textId="414F5153" w:rsidR="00266EC6" w:rsidRPr="00633635" w:rsidRDefault="00266EC6" w:rsidP="002864E7">
      <w:pPr>
        <w:rPr>
          <w:rFonts w:ascii="Arial" w:hAnsi="Arial" w:cs="Arial"/>
        </w:rPr>
      </w:pPr>
      <w:r w:rsidRPr="00633635">
        <w:rPr>
          <w:rFonts w:ascii="Arial" w:hAnsi="Arial" w:cs="Arial"/>
        </w:rPr>
        <w:t xml:space="preserve">The </w:t>
      </w:r>
      <w:hyperlink r:id="rId31" w:history="1">
        <w:r w:rsidR="00DA3810" w:rsidRPr="00633635">
          <w:rPr>
            <w:rStyle w:val="Hyperlink"/>
            <w:rFonts w:ascii="Arial" w:hAnsi="Arial" w:cs="Arial"/>
          </w:rPr>
          <w:t>2020-21 version</w:t>
        </w:r>
      </w:hyperlink>
      <w:r w:rsidR="00DA3810" w:rsidRPr="00633635">
        <w:rPr>
          <w:rStyle w:val="Hyperlink"/>
          <w:rFonts w:ascii="Arial" w:hAnsi="Arial" w:cs="Arial"/>
          <w:u w:val="none"/>
        </w:rPr>
        <w:t xml:space="preserve"> </w:t>
      </w:r>
      <w:r w:rsidRPr="00633635">
        <w:rPr>
          <w:rFonts w:ascii="Arial" w:hAnsi="Arial" w:cs="Arial"/>
        </w:rPr>
        <w:t xml:space="preserve">of this report has improved markedly from the </w:t>
      </w:r>
      <w:hyperlink r:id="rId32" w:history="1">
        <w:r w:rsidRPr="00633635">
          <w:rPr>
            <w:rStyle w:val="Hyperlink"/>
            <w:rFonts w:ascii="Arial" w:hAnsi="Arial" w:cs="Arial"/>
            <w:color w:val="1F3C48" w:themeColor="accent3" w:themeShade="40"/>
          </w:rPr>
          <w:t>previous version</w:t>
        </w:r>
      </w:hyperlink>
      <w:r w:rsidR="008B4697" w:rsidRPr="00633635">
        <w:rPr>
          <w:rFonts w:ascii="Arial" w:hAnsi="Arial" w:cs="Arial"/>
        </w:rPr>
        <w:t>.</w:t>
      </w:r>
      <w:r w:rsidRPr="00633635">
        <w:rPr>
          <w:rFonts w:ascii="Arial" w:hAnsi="Arial" w:cs="Arial"/>
        </w:rPr>
        <w:t xml:space="preserve"> </w:t>
      </w:r>
      <w:r w:rsidR="008B4697" w:rsidRPr="00633635">
        <w:rPr>
          <w:rFonts w:ascii="Arial" w:hAnsi="Arial" w:cs="Arial"/>
        </w:rPr>
        <w:t>It now reports</w:t>
      </w:r>
      <w:r w:rsidRPr="00633635">
        <w:rPr>
          <w:rFonts w:ascii="Arial" w:hAnsi="Arial" w:cs="Arial"/>
        </w:rPr>
        <w:t xml:space="preserve"> on activities by water resource plan area, as well as providing information on the time taken to finalise investigations. </w:t>
      </w:r>
    </w:p>
    <w:p w14:paraId="27A94065" w14:textId="0797ECA6" w:rsidR="00112EBA" w:rsidRPr="00633635" w:rsidRDefault="00112EBA" w:rsidP="00112EBA">
      <w:pPr>
        <w:pStyle w:val="Heading3"/>
        <w:rPr>
          <w:rFonts w:ascii="Arial" w:hAnsi="Arial"/>
        </w:rPr>
      </w:pPr>
      <w:r w:rsidRPr="00633635">
        <w:rPr>
          <w:rFonts w:ascii="Arial" w:hAnsi="Arial"/>
        </w:rPr>
        <w:t xml:space="preserve">Inspector-General </w:t>
      </w:r>
      <w:r w:rsidR="005921F2" w:rsidRPr="00633635">
        <w:rPr>
          <w:rFonts w:ascii="Arial" w:hAnsi="Arial"/>
        </w:rPr>
        <w:t>o</w:t>
      </w:r>
      <w:r w:rsidRPr="00633635">
        <w:rPr>
          <w:rFonts w:ascii="Arial" w:hAnsi="Arial"/>
        </w:rPr>
        <w:t>bservations</w:t>
      </w:r>
    </w:p>
    <w:p w14:paraId="013E524E" w14:textId="00B4B86F" w:rsidR="00983025" w:rsidRPr="00633635" w:rsidRDefault="008B4697" w:rsidP="002864E7">
      <w:pPr>
        <w:rPr>
          <w:rFonts w:ascii="Arial" w:hAnsi="Arial" w:cs="Arial"/>
        </w:rPr>
      </w:pPr>
      <w:r w:rsidRPr="00633635">
        <w:rPr>
          <w:rFonts w:ascii="Arial" w:hAnsi="Arial" w:cs="Arial"/>
        </w:rPr>
        <w:t xml:space="preserve">The </w:t>
      </w:r>
      <w:r w:rsidR="001B7C5F" w:rsidRPr="00633635">
        <w:rPr>
          <w:rFonts w:ascii="Arial" w:hAnsi="Arial" w:cs="Arial"/>
        </w:rPr>
        <w:t>Inspector-General</w:t>
      </w:r>
      <w:r w:rsidRPr="00633635">
        <w:rPr>
          <w:rFonts w:ascii="Arial" w:hAnsi="Arial" w:cs="Arial"/>
        </w:rPr>
        <w:t xml:space="preserve"> commends Queensland for establishing the</w:t>
      </w:r>
      <w:r w:rsidR="00266EC6" w:rsidRPr="00633635">
        <w:rPr>
          <w:rFonts w:ascii="Arial" w:hAnsi="Arial" w:cs="Arial"/>
        </w:rPr>
        <w:t xml:space="preserve"> Rural Water Futures program following the independent audit of non-urban </w:t>
      </w:r>
      <w:r w:rsidRPr="00633635">
        <w:rPr>
          <w:rFonts w:ascii="Arial" w:hAnsi="Arial" w:cs="Arial"/>
        </w:rPr>
        <w:t xml:space="preserve">water </w:t>
      </w:r>
      <w:r w:rsidR="00266EC6" w:rsidRPr="00633635">
        <w:rPr>
          <w:rFonts w:ascii="Arial" w:hAnsi="Arial" w:cs="Arial"/>
        </w:rPr>
        <w:t>measurement and compliance</w:t>
      </w:r>
      <w:r w:rsidR="001B7C5F" w:rsidRPr="00633635">
        <w:rPr>
          <w:rFonts w:ascii="Arial" w:hAnsi="Arial" w:cs="Arial"/>
        </w:rPr>
        <w:t xml:space="preserve"> in 2018</w:t>
      </w:r>
      <w:r w:rsidR="00C7400D" w:rsidRPr="00633635">
        <w:rPr>
          <w:rFonts w:ascii="Arial" w:hAnsi="Arial" w:cs="Arial"/>
        </w:rPr>
        <w:t>.</w:t>
      </w:r>
      <w:r w:rsidR="007B2CA5" w:rsidRPr="00633635">
        <w:rPr>
          <w:rFonts w:ascii="Arial" w:hAnsi="Arial" w:cs="Arial"/>
        </w:rPr>
        <w:t xml:space="preserve"> </w:t>
      </w:r>
      <w:r w:rsidR="00C7400D" w:rsidRPr="00633635">
        <w:rPr>
          <w:rFonts w:ascii="Arial" w:hAnsi="Arial" w:cs="Arial"/>
        </w:rPr>
        <w:t xml:space="preserve">However, </w:t>
      </w:r>
      <w:r w:rsidR="00B106BD" w:rsidRPr="00633635">
        <w:rPr>
          <w:rFonts w:ascii="Arial" w:hAnsi="Arial" w:cs="Arial"/>
        </w:rPr>
        <w:t>four years on, we note the urgency with which the key outcomes from this program need to be delivered in full</w:t>
      </w:r>
      <w:r w:rsidR="007B2CA5" w:rsidRPr="00633635">
        <w:rPr>
          <w:rFonts w:ascii="Arial" w:hAnsi="Arial" w:cs="Arial"/>
        </w:rPr>
        <w:t>.</w:t>
      </w:r>
    </w:p>
    <w:p w14:paraId="1C53FF20" w14:textId="72B75D32" w:rsidR="00752418" w:rsidRPr="00633635" w:rsidRDefault="001B7C5F" w:rsidP="002864E7">
      <w:pPr>
        <w:rPr>
          <w:rFonts w:ascii="Arial" w:hAnsi="Arial" w:cs="Arial"/>
        </w:rPr>
      </w:pPr>
      <w:r w:rsidRPr="00633635">
        <w:rPr>
          <w:rFonts w:ascii="Arial" w:hAnsi="Arial" w:cs="Arial"/>
        </w:rPr>
        <w:t xml:space="preserve">Mr </w:t>
      </w:r>
      <w:r w:rsidR="00983025" w:rsidRPr="00633635">
        <w:rPr>
          <w:rFonts w:ascii="Arial" w:hAnsi="Arial" w:cs="Arial"/>
        </w:rPr>
        <w:t>Pearson</w:t>
      </w:r>
      <w:r w:rsidRPr="00633635">
        <w:rPr>
          <w:rFonts w:ascii="Arial" w:hAnsi="Arial" w:cs="Arial"/>
        </w:rPr>
        <w:t>’s</w:t>
      </w:r>
      <w:r w:rsidR="00983025" w:rsidRPr="00633635">
        <w:rPr>
          <w:rFonts w:ascii="Arial" w:hAnsi="Arial" w:cs="Arial"/>
        </w:rPr>
        <w:t xml:space="preserve"> </w:t>
      </w:r>
      <w:r w:rsidRPr="00633635">
        <w:rPr>
          <w:rFonts w:ascii="Arial" w:hAnsi="Arial" w:cs="Arial"/>
        </w:rPr>
        <w:t>review</w:t>
      </w:r>
      <w:r w:rsidR="00983025" w:rsidRPr="00633635">
        <w:rPr>
          <w:rFonts w:ascii="Arial" w:hAnsi="Arial" w:cs="Arial"/>
        </w:rPr>
        <w:t xml:space="preserve"> noted the willingness of Queensland to work collaboratively with </w:t>
      </w:r>
      <w:r w:rsidR="000210F5" w:rsidRPr="00633635">
        <w:rPr>
          <w:rFonts w:ascii="Arial" w:hAnsi="Arial" w:cs="Arial"/>
        </w:rPr>
        <w:t xml:space="preserve">Basin </w:t>
      </w:r>
      <w:r w:rsidR="005921F2" w:rsidRPr="00633635">
        <w:rPr>
          <w:rFonts w:ascii="Arial" w:hAnsi="Arial" w:cs="Arial"/>
        </w:rPr>
        <w:t>states</w:t>
      </w:r>
      <w:r w:rsidR="00983025" w:rsidRPr="00633635">
        <w:rPr>
          <w:rFonts w:ascii="Arial" w:hAnsi="Arial" w:cs="Arial"/>
        </w:rPr>
        <w:t xml:space="preserve">, particularly </w:t>
      </w:r>
      <w:r w:rsidR="005921F2" w:rsidRPr="00633635">
        <w:rPr>
          <w:rFonts w:ascii="Arial" w:hAnsi="Arial" w:cs="Arial"/>
        </w:rPr>
        <w:t>New South Wales</w:t>
      </w:r>
      <w:r w:rsidR="00983025" w:rsidRPr="00633635">
        <w:rPr>
          <w:rFonts w:ascii="Arial" w:hAnsi="Arial" w:cs="Arial"/>
        </w:rPr>
        <w:t xml:space="preserve">, to achieve better compliance outcomes for the Basin. A good example of this is the </w:t>
      </w:r>
      <w:hyperlink r:id="rId33" w:history="1">
        <w:r w:rsidR="00983025" w:rsidRPr="00633635">
          <w:rPr>
            <w:rStyle w:val="Hyperlink"/>
            <w:rFonts w:ascii="Arial" w:hAnsi="Arial" w:cs="Arial"/>
          </w:rPr>
          <w:t>Hydrometric Networks and Remote Sensing Program</w:t>
        </w:r>
      </w:hyperlink>
      <w:r w:rsidR="00983025" w:rsidRPr="00633635">
        <w:rPr>
          <w:rFonts w:ascii="Arial" w:hAnsi="Arial" w:cs="Arial"/>
        </w:rPr>
        <w:t xml:space="preserve">. </w:t>
      </w:r>
      <w:r w:rsidR="00752418" w:rsidRPr="00633635">
        <w:rPr>
          <w:rFonts w:ascii="Arial" w:hAnsi="Arial" w:cs="Arial"/>
        </w:rPr>
        <w:t xml:space="preserve">DRDMW </w:t>
      </w:r>
      <w:r w:rsidR="00937058" w:rsidRPr="00633635">
        <w:rPr>
          <w:rFonts w:ascii="Arial" w:hAnsi="Arial" w:cs="Arial"/>
        </w:rPr>
        <w:t xml:space="preserve">has </w:t>
      </w:r>
      <w:r w:rsidR="00752418" w:rsidRPr="00633635">
        <w:rPr>
          <w:rFonts w:ascii="Arial" w:hAnsi="Arial" w:cs="Arial"/>
        </w:rPr>
        <w:t>been working closely with</w:t>
      </w:r>
      <w:r w:rsidR="005921F2" w:rsidRPr="00633635">
        <w:rPr>
          <w:rFonts w:ascii="Arial" w:hAnsi="Arial" w:cs="Arial"/>
        </w:rPr>
        <w:t xml:space="preserve"> the New South Wales</w:t>
      </w:r>
      <w:r w:rsidR="00752418" w:rsidRPr="00633635">
        <w:rPr>
          <w:rFonts w:ascii="Arial" w:hAnsi="Arial" w:cs="Arial"/>
        </w:rPr>
        <w:t xml:space="preserve"> NRAR to further develop their remote sensing and satellite imagery analysis capabilities. This sort of cross-jurisdiction collaboration generally leads to improved outcomes for the Basin as a whole</w:t>
      </w:r>
      <w:r w:rsidRPr="00633635">
        <w:rPr>
          <w:rFonts w:ascii="Arial" w:hAnsi="Arial" w:cs="Arial"/>
        </w:rPr>
        <w:t xml:space="preserve"> </w:t>
      </w:r>
      <w:r w:rsidR="005921F2" w:rsidRPr="00633635">
        <w:rPr>
          <w:rFonts w:ascii="Arial" w:hAnsi="Arial" w:cs="Arial"/>
        </w:rPr>
        <w:t>–</w:t>
      </w:r>
      <w:r w:rsidRPr="00633635">
        <w:rPr>
          <w:rFonts w:ascii="Arial" w:hAnsi="Arial" w:cs="Arial"/>
        </w:rPr>
        <w:t xml:space="preserve"> </w:t>
      </w:r>
      <w:r w:rsidR="00752418" w:rsidRPr="00633635">
        <w:rPr>
          <w:rFonts w:ascii="Arial" w:hAnsi="Arial" w:cs="Arial"/>
        </w:rPr>
        <w:t xml:space="preserve">something </w:t>
      </w:r>
      <w:r w:rsidRPr="00633635">
        <w:rPr>
          <w:rFonts w:ascii="Arial" w:hAnsi="Arial" w:cs="Arial"/>
        </w:rPr>
        <w:t>the Inspector-General</w:t>
      </w:r>
      <w:r w:rsidR="00752418" w:rsidRPr="00633635">
        <w:rPr>
          <w:rFonts w:ascii="Arial" w:hAnsi="Arial" w:cs="Arial"/>
        </w:rPr>
        <w:t xml:space="preserve"> would like to see more of</w:t>
      </w:r>
      <w:r w:rsidR="005921F2" w:rsidRPr="00633635">
        <w:rPr>
          <w:rFonts w:ascii="Arial" w:hAnsi="Arial" w:cs="Arial"/>
        </w:rPr>
        <w:t>,</w:t>
      </w:r>
      <w:r w:rsidRPr="00633635">
        <w:rPr>
          <w:rFonts w:ascii="Arial" w:hAnsi="Arial" w:cs="Arial"/>
        </w:rPr>
        <w:t xml:space="preserve"> as it can lead to innovation and efficiencies in current processes. </w:t>
      </w:r>
    </w:p>
    <w:p w14:paraId="39445141" w14:textId="4D18E258" w:rsidR="009C25D9" w:rsidRPr="00633635" w:rsidRDefault="007B2CA5" w:rsidP="002864E7">
      <w:pPr>
        <w:rPr>
          <w:rFonts w:ascii="Arial" w:hAnsi="Arial" w:cs="Arial"/>
        </w:rPr>
      </w:pPr>
      <w:r w:rsidRPr="00633635">
        <w:rPr>
          <w:rFonts w:ascii="Arial" w:hAnsi="Arial" w:cs="Arial"/>
        </w:rPr>
        <w:t>T</w:t>
      </w:r>
      <w:r w:rsidR="00752418" w:rsidRPr="00633635">
        <w:rPr>
          <w:rFonts w:ascii="Arial" w:hAnsi="Arial" w:cs="Arial"/>
        </w:rPr>
        <w:t xml:space="preserve">he quality and coverage of metering in Queensland is still an area where improvement is needed to ensure consistency across the Basin. We would hope to see the </w:t>
      </w:r>
      <w:hyperlink r:id="rId34" w:history="1">
        <w:r w:rsidR="00752418" w:rsidRPr="00633635">
          <w:rPr>
            <w:rStyle w:val="Hyperlink"/>
            <w:rFonts w:ascii="Arial" w:hAnsi="Arial" w:cs="Arial"/>
          </w:rPr>
          <w:t>current projects</w:t>
        </w:r>
      </w:hyperlink>
      <w:r w:rsidR="00752418" w:rsidRPr="00633635">
        <w:rPr>
          <w:rFonts w:ascii="Arial" w:hAnsi="Arial" w:cs="Arial"/>
        </w:rPr>
        <w:t xml:space="preserve"> underway in this space finalised without further delay, particularly the finalisation of a strengthened non-urban measurement policy.  </w:t>
      </w:r>
      <w:r w:rsidR="009C25D9" w:rsidRPr="00633635">
        <w:rPr>
          <w:rFonts w:ascii="Arial" w:hAnsi="Arial" w:cs="Arial"/>
        </w:rPr>
        <w:br w:type="page"/>
      </w:r>
    </w:p>
    <w:p w14:paraId="23139D78" w14:textId="7A756691" w:rsidR="009C25D9" w:rsidRPr="00633635" w:rsidRDefault="009C25D9" w:rsidP="009C25D9">
      <w:pPr>
        <w:pStyle w:val="Heading2"/>
        <w:rPr>
          <w:rFonts w:ascii="Arial" w:hAnsi="Arial" w:cs="Arial"/>
        </w:rPr>
      </w:pPr>
      <w:bookmarkStart w:id="10" w:name="_Toc112142178"/>
      <w:r w:rsidRPr="00633635">
        <w:rPr>
          <w:rFonts w:ascii="Arial" w:hAnsi="Arial" w:cs="Arial"/>
        </w:rPr>
        <w:lastRenderedPageBreak/>
        <w:t>South Australia</w:t>
      </w:r>
      <w:bookmarkEnd w:id="10"/>
    </w:p>
    <w:p w14:paraId="04ECD4DF" w14:textId="55996049" w:rsidR="00BE7AD4" w:rsidRPr="00633635" w:rsidRDefault="00BE7AD4" w:rsidP="00BE7AD4">
      <w:pPr>
        <w:jc w:val="center"/>
        <w:rPr>
          <w:rFonts w:ascii="Arial" w:hAnsi="Arial" w:cs="Arial"/>
        </w:rPr>
      </w:pPr>
      <w:r w:rsidRPr="00633635">
        <w:rPr>
          <w:rFonts w:ascii="Arial" w:hAnsi="Arial" w:cs="Arial"/>
          <w:noProof/>
        </w:rPr>
        <w:drawing>
          <wp:inline distT="0" distB="0" distL="0" distR="0" wp14:anchorId="5F7358A1" wp14:editId="112A20F6">
            <wp:extent cx="4572635" cy="2743200"/>
            <wp:effectExtent l="0" t="0" r="0" b="0"/>
            <wp:docPr id="14" name="Picture 14" descr="A graph showing that South Australia accounts for approximately 5% of water taken from the consumptive pool in the Murray Darling Bas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graph showing that South Australia accounts for approximately 5% of water taken from the consumptive pool in the Murray Darling Basin"/>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72635" cy="2743200"/>
                    </a:xfrm>
                    <a:prstGeom prst="rect">
                      <a:avLst/>
                    </a:prstGeom>
                    <a:noFill/>
                  </pic:spPr>
                </pic:pic>
              </a:graphicData>
            </a:graphic>
          </wp:inline>
        </w:drawing>
      </w:r>
    </w:p>
    <w:p w14:paraId="4E64E07F" w14:textId="77777777" w:rsidR="006D5579" w:rsidRPr="00633635" w:rsidRDefault="006D5579" w:rsidP="006D5579">
      <w:pPr>
        <w:pStyle w:val="Heading3"/>
        <w:rPr>
          <w:rFonts w:ascii="Arial" w:hAnsi="Arial"/>
        </w:rPr>
      </w:pPr>
      <w:r w:rsidRPr="00633635">
        <w:rPr>
          <w:rFonts w:ascii="Arial" w:hAnsi="Arial"/>
        </w:rPr>
        <w:t xml:space="preserve">Overview </w:t>
      </w:r>
    </w:p>
    <w:p w14:paraId="5EC6EF65" w14:textId="1119B5EB" w:rsidR="0096706F" w:rsidRPr="00633635" w:rsidRDefault="0096706F" w:rsidP="006D5579">
      <w:pPr>
        <w:rPr>
          <w:rFonts w:ascii="Arial" w:hAnsi="Arial" w:cs="Arial"/>
        </w:rPr>
      </w:pPr>
      <w:r w:rsidRPr="00633635">
        <w:rPr>
          <w:rFonts w:ascii="Arial" w:hAnsi="Arial" w:cs="Arial"/>
        </w:rPr>
        <w:t>The South Australian portion of the Basin extends from the Mount Lofty Ranges to the borders with Victoria and New South Wales</w:t>
      </w:r>
      <w:r w:rsidR="00976217" w:rsidRPr="00633635">
        <w:rPr>
          <w:rFonts w:ascii="Arial" w:hAnsi="Arial" w:cs="Arial"/>
        </w:rPr>
        <w:t>. T</w:t>
      </w:r>
      <w:r w:rsidRPr="00633635">
        <w:rPr>
          <w:rFonts w:ascii="Arial" w:hAnsi="Arial" w:cs="Arial"/>
        </w:rPr>
        <w:t xml:space="preserve">he Murray River </w:t>
      </w:r>
      <w:r w:rsidR="00976217" w:rsidRPr="00633635">
        <w:rPr>
          <w:rFonts w:ascii="Arial" w:hAnsi="Arial" w:cs="Arial"/>
        </w:rPr>
        <w:t xml:space="preserve">is </w:t>
      </w:r>
      <w:r w:rsidRPr="00633635">
        <w:rPr>
          <w:rFonts w:ascii="Arial" w:hAnsi="Arial" w:cs="Arial"/>
        </w:rPr>
        <w:t xml:space="preserve">the most significant water resource and supply of water for the </w:t>
      </w:r>
      <w:r w:rsidR="00976217" w:rsidRPr="00633635">
        <w:rPr>
          <w:rFonts w:ascii="Arial" w:hAnsi="Arial" w:cs="Arial"/>
        </w:rPr>
        <w:t>s</w:t>
      </w:r>
      <w:r w:rsidRPr="00633635">
        <w:rPr>
          <w:rFonts w:ascii="Arial" w:hAnsi="Arial" w:cs="Arial"/>
        </w:rPr>
        <w:t xml:space="preserve">tate. </w:t>
      </w:r>
      <w:r w:rsidR="00981855" w:rsidRPr="00633635">
        <w:rPr>
          <w:rFonts w:ascii="Arial" w:hAnsi="Arial" w:cs="Arial"/>
        </w:rPr>
        <w:t>South Australia is the fourth largest user of water in the Basin, accounting for approximately 5% of annual actual take in 2020</w:t>
      </w:r>
      <w:r w:rsidR="00976217" w:rsidRPr="00633635">
        <w:rPr>
          <w:rFonts w:ascii="Arial" w:hAnsi="Arial" w:cs="Arial"/>
        </w:rPr>
        <w:t>–</w:t>
      </w:r>
      <w:r w:rsidR="00981855" w:rsidRPr="00633635">
        <w:rPr>
          <w:rFonts w:ascii="Arial" w:hAnsi="Arial" w:cs="Arial"/>
        </w:rPr>
        <w:t>21.</w:t>
      </w:r>
      <w:r w:rsidR="00976217" w:rsidRPr="00633635">
        <w:rPr>
          <w:rFonts w:ascii="Arial" w:hAnsi="Arial" w:cs="Arial"/>
        </w:rPr>
        <w:t xml:space="preserve"> T</w:t>
      </w:r>
      <w:r w:rsidR="003E2BCA" w:rsidRPr="00633635">
        <w:rPr>
          <w:rFonts w:ascii="Arial" w:hAnsi="Arial" w:cs="Arial"/>
        </w:rPr>
        <w:t>here are 14,029 water licenses throughout South Australia</w:t>
      </w:r>
      <w:r w:rsidR="005921F2" w:rsidRPr="00633635">
        <w:rPr>
          <w:rFonts w:ascii="Arial" w:hAnsi="Arial" w:cs="Arial"/>
        </w:rPr>
        <w:t>. About</w:t>
      </w:r>
      <w:r w:rsidR="001113D2" w:rsidRPr="00633635">
        <w:rPr>
          <w:rFonts w:ascii="Arial" w:hAnsi="Arial" w:cs="Arial"/>
        </w:rPr>
        <w:t xml:space="preserve"> 5,000 of these licenses</w:t>
      </w:r>
      <w:r w:rsidR="005921F2" w:rsidRPr="00633635">
        <w:rPr>
          <w:rFonts w:ascii="Arial" w:hAnsi="Arial" w:cs="Arial"/>
        </w:rPr>
        <w:t xml:space="preserve"> are</w:t>
      </w:r>
      <w:r w:rsidR="001113D2" w:rsidRPr="00633635">
        <w:rPr>
          <w:rFonts w:ascii="Arial" w:hAnsi="Arial" w:cs="Arial"/>
        </w:rPr>
        <w:t xml:space="preserve"> located within the Murray-Darling Basin</w:t>
      </w:r>
      <w:r w:rsidR="003E2BCA" w:rsidRPr="00633635">
        <w:rPr>
          <w:rFonts w:ascii="Arial" w:hAnsi="Arial" w:cs="Arial"/>
        </w:rPr>
        <w:t>.</w:t>
      </w:r>
      <w:r w:rsidR="003E2BCA" w:rsidRPr="00633635">
        <w:rPr>
          <w:rStyle w:val="FootnoteReference"/>
          <w:rFonts w:ascii="Arial" w:hAnsi="Arial" w:cs="Arial"/>
        </w:rPr>
        <w:footnoteReference w:id="16"/>
      </w:r>
    </w:p>
    <w:p w14:paraId="0F0550E4" w14:textId="330FCB21" w:rsidR="006D5579" w:rsidRPr="00633635" w:rsidRDefault="0096706F" w:rsidP="006D5579">
      <w:pPr>
        <w:rPr>
          <w:rFonts w:ascii="Arial" w:hAnsi="Arial" w:cs="Arial"/>
        </w:rPr>
      </w:pPr>
      <w:r w:rsidRPr="00633635">
        <w:rPr>
          <w:rFonts w:ascii="Arial" w:hAnsi="Arial" w:cs="Arial"/>
        </w:rPr>
        <w:t>In South Australia the water resources of the Murray</w:t>
      </w:r>
      <w:r w:rsidR="00976217" w:rsidRPr="00633635">
        <w:rPr>
          <w:rFonts w:ascii="Arial" w:hAnsi="Arial" w:cs="Arial"/>
        </w:rPr>
        <w:t>–</w:t>
      </w:r>
      <w:r w:rsidRPr="00633635">
        <w:rPr>
          <w:rFonts w:ascii="Arial" w:hAnsi="Arial" w:cs="Arial"/>
        </w:rPr>
        <w:t xml:space="preserve">Darling Basin are managed by the Department </w:t>
      </w:r>
      <w:r w:rsidR="00E445C4" w:rsidRPr="00633635">
        <w:rPr>
          <w:rFonts w:ascii="Arial" w:hAnsi="Arial" w:cs="Arial"/>
        </w:rPr>
        <w:t xml:space="preserve">for </w:t>
      </w:r>
      <w:r w:rsidRPr="00633635">
        <w:rPr>
          <w:rFonts w:ascii="Arial" w:hAnsi="Arial" w:cs="Arial"/>
        </w:rPr>
        <w:t>Environment and Water (DEW). This agency is responsible for both setting the policy regarding water management</w:t>
      </w:r>
      <w:r w:rsidR="00E445C4" w:rsidRPr="00633635">
        <w:rPr>
          <w:rFonts w:ascii="Arial" w:hAnsi="Arial" w:cs="Arial"/>
        </w:rPr>
        <w:t xml:space="preserve"> and</w:t>
      </w:r>
      <w:r w:rsidRPr="00633635">
        <w:rPr>
          <w:rFonts w:ascii="Arial" w:hAnsi="Arial" w:cs="Arial"/>
        </w:rPr>
        <w:t xml:space="preserve"> monitoring and enforcing compliance. </w:t>
      </w:r>
    </w:p>
    <w:p w14:paraId="61C4E9A4" w14:textId="2264B750" w:rsidR="00A9207A" w:rsidRPr="00633635" w:rsidRDefault="00A9207A" w:rsidP="00A9207A">
      <w:pPr>
        <w:pStyle w:val="Heading3"/>
        <w:rPr>
          <w:rFonts w:ascii="Arial" w:hAnsi="Arial"/>
        </w:rPr>
      </w:pPr>
      <w:r w:rsidRPr="00633635">
        <w:rPr>
          <w:rFonts w:ascii="Arial" w:hAnsi="Arial"/>
        </w:rPr>
        <w:t xml:space="preserve">Metering, </w:t>
      </w:r>
      <w:proofErr w:type="gramStart"/>
      <w:r w:rsidRPr="00633635">
        <w:rPr>
          <w:rFonts w:ascii="Arial" w:hAnsi="Arial"/>
        </w:rPr>
        <w:t>measurement</w:t>
      </w:r>
      <w:proofErr w:type="gramEnd"/>
      <w:r w:rsidRPr="00633635">
        <w:rPr>
          <w:rFonts w:ascii="Arial" w:hAnsi="Arial"/>
        </w:rPr>
        <w:t xml:space="preserve"> and monitoring</w:t>
      </w:r>
    </w:p>
    <w:p w14:paraId="780FB030" w14:textId="19E161AE" w:rsidR="00492A67" w:rsidRPr="00633635" w:rsidRDefault="00492A67" w:rsidP="00492A67">
      <w:pPr>
        <w:pStyle w:val="Heading4"/>
        <w:rPr>
          <w:rFonts w:ascii="Arial" w:hAnsi="Arial"/>
        </w:rPr>
      </w:pPr>
      <w:r w:rsidRPr="00633635">
        <w:rPr>
          <w:rFonts w:ascii="Arial" w:hAnsi="Arial"/>
        </w:rPr>
        <w:t xml:space="preserve">Metering </w:t>
      </w:r>
      <w:r w:rsidR="00E445C4" w:rsidRPr="00633635">
        <w:rPr>
          <w:rFonts w:ascii="Arial" w:hAnsi="Arial"/>
        </w:rPr>
        <w:t xml:space="preserve">and </w:t>
      </w:r>
      <w:r w:rsidRPr="00633635">
        <w:rPr>
          <w:rFonts w:ascii="Arial" w:hAnsi="Arial"/>
        </w:rPr>
        <w:t>measurement</w:t>
      </w:r>
    </w:p>
    <w:p w14:paraId="6D291A45" w14:textId="052B6839" w:rsidR="004232AC" w:rsidRPr="00633635" w:rsidRDefault="004232AC" w:rsidP="004232AC">
      <w:pPr>
        <w:rPr>
          <w:rFonts w:ascii="Arial" w:hAnsi="Arial" w:cs="Arial"/>
        </w:rPr>
      </w:pPr>
      <w:r w:rsidRPr="00633635">
        <w:rPr>
          <w:rFonts w:ascii="Arial" w:hAnsi="Arial" w:cs="Arial"/>
        </w:rPr>
        <w:t xml:space="preserve">Under the </w:t>
      </w:r>
      <w:hyperlink r:id="rId36" w:history="1">
        <w:r w:rsidRPr="00633635">
          <w:rPr>
            <w:rStyle w:val="Hyperlink"/>
            <w:rFonts w:ascii="Arial" w:hAnsi="Arial" w:cs="Arial"/>
          </w:rPr>
          <w:t xml:space="preserve">South Australian </w:t>
        </w:r>
        <w:r w:rsidR="003D75D9" w:rsidRPr="00633635">
          <w:rPr>
            <w:rStyle w:val="Hyperlink"/>
            <w:rFonts w:ascii="Arial" w:hAnsi="Arial" w:cs="Arial"/>
          </w:rPr>
          <w:t xml:space="preserve">non-urban </w:t>
        </w:r>
        <w:r w:rsidRPr="00633635">
          <w:rPr>
            <w:rStyle w:val="Hyperlink"/>
            <w:rFonts w:ascii="Arial" w:hAnsi="Arial" w:cs="Arial"/>
          </w:rPr>
          <w:t>metering policy</w:t>
        </w:r>
      </w:hyperlink>
      <w:r w:rsidRPr="00633635">
        <w:rPr>
          <w:rFonts w:ascii="Arial" w:hAnsi="Arial" w:cs="Arial"/>
        </w:rPr>
        <w:t xml:space="preserve">, all licensed take must be metered. Exemptions are made only in low-risk scenarios, which account for about 1.2% of take in the </w:t>
      </w:r>
      <w:r w:rsidR="003D75D9" w:rsidRPr="00633635">
        <w:rPr>
          <w:rFonts w:ascii="Arial" w:hAnsi="Arial" w:cs="Arial"/>
        </w:rPr>
        <w:t xml:space="preserve">South Australian </w:t>
      </w:r>
      <w:r w:rsidRPr="00633635">
        <w:rPr>
          <w:rFonts w:ascii="Arial" w:hAnsi="Arial" w:cs="Arial"/>
        </w:rPr>
        <w:t>Murray–Darling Basin area. Exemptions to the requirements are defined in meter implementation plans for each water resource area and are published on the department’s website. South Australia is transitioning from government owned meters to privately owned, with all new meters to be replaced at the owner’s expense.</w:t>
      </w:r>
    </w:p>
    <w:p w14:paraId="17B5A860" w14:textId="3E21CD1D" w:rsidR="002D3197" w:rsidRPr="00633635" w:rsidRDefault="00276722" w:rsidP="004232AC">
      <w:pPr>
        <w:rPr>
          <w:rFonts w:ascii="Arial" w:hAnsi="Arial" w:cs="Arial"/>
        </w:rPr>
      </w:pPr>
      <w:r w:rsidRPr="00633635">
        <w:rPr>
          <w:rFonts w:ascii="Arial" w:hAnsi="Arial" w:cs="Arial"/>
        </w:rPr>
        <w:t>Whilst South Australia does have high metering rates, o</w:t>
      </w:r>
      <w:r w:rsidR="002D3197" w:rsidRPr="00633635">
        <w:rPr>
          <w:rFonts w:ascii="Arial" w:hAnsi="Arial" w:cs="Arial"/>
        </w:rPr>
        <w:t>ne area of metering</w:t>
      </w:r>
      <w:r w:rsidRPr="00633635">
        <w:rPr>
          <w:rFonts w:ascii="Arial" w:hAnsi="Arial" w:cs="Arial"/>
        </w:rPr>
        <w:t xml:space="preserve"> and monitoring</w:t>
      </w:r>
      <w:r w:rsidR="002D3197" w:rsidRPr="00633635">
        <w:rPr>
          <w:rFonts w:ascii="Arial" w:hAnsi="Arial" w:cs="Arial"/>
        </w:rPr>
        <w:t xml:space="preserve"> where South Australia does </w:t>
      </w:r>
      <w:r w:rsidR="00ED5FA8" w:rsidRPr="00633635">
        <w:rPr>
          <w:rFonts w:ascii="Arial" w:hAnsi="Arial" w:cs="Arial"/>
        </w:rPr>
        <w:t xml:space="preserve">lag </w:t>
      </w:r>
      <w:r w:rsidR="002D3197" w:rsidRPr="00633635">
        <w:rPr>
          <w:rFonts w:ascii="Arial" w:hAnsi="Arial" w:cs="Arial"/>
        </w:rPr>
        <w:t xml:space="preserve">some other </w:t>
      </w:r>
      <w:r w:rsidR="000210F5" w:rsidRPr="00633635">
        <w:rPr>
          <w:rFonts w:ascii="Arial" w:hAnsi="Arial" w:cs="Arial"/>
        </w:rPr>
        <w:t xml:space="preserve">Basin </w:t>
      </w:r>
      <w:r w:rsidR="005921F2" w:rsidRPr="00633635">
        <w:rPr>
          <w:rFonts w:ascii="Arial" w:hAnsi="Arial" w:cs="Arial"/>
        </w:rPr>
        <w:t xml:space="preserve">states </w:t>
      </w:r>
      <w:r w:rsidR="002D3197" w:rsidRPr="00633635">
        <w:rPr>
          <w:rFonts w:ascii="Arial" w:hAnsi="Arial" w:cs="Arial"/>
        </w:rPr>
        <w:t>is telemetry fitted to meters on high</w:t>
      </w:r>
      <w:r w:rsidR="00E445C4" w:rsidRPr="00633635">
        <w:rPr>
          <w:rFonts w:ascii="Arial" w:hAnsi="Arial" w:cs="Arial"/>
        </w:rPr>
        <w:t>-</w:t>
      </w:r>
      <w:r w:rsidR="002D3197" w:rsidRPr="00633635">
        <w:rPr>
          <w:rFonts w:ascii="Arial" w:hAnsi="Arial" w:cs="Arial"/>
        </w:rPr>
        <w:t xml:space="preserve">risk extractions. South Australia </w:t>
      </w:r>
      <w:r w:rsidR="00E445C4" w:rsidRPr="00633635">
        <w:rPr>
          <w:rFonts w:ascii="Arial" w:hAnsi="Arial" w:cs="Arial"/>
        </w:rPr>
        <w:t xml:space="preserve">has </w:t>
      </w:r>
      <w:r w:rsidR="002D3197" w:rsidRPr="00633635">
        <w:rPr>
          <w:rFonts w:ascii="Arial" w:hAnsi="Arial" w:cs="Arial"/>
        </w:rPr>
        <w:t xml:space="preserve">maintained </w:t>
      </w:r>
      <w:r w:rsidR="00595BCE" w:rsidRPr="00633635">
        <w:rPr>
          <w:rFonts w:ascii="Arial" w:hAnsi="Arial" w:cs="Arial"/>
        </w:rPr>
        <w:t>a formal public</w:t>
      </w:r>
      <w:r w:rsidR="002D3197" w:rsidRPr="00633635">
        <w:rPr>
          <w:rFonts w:ascii="Arial" w:hAnsi="Arial" w:cs="Arial"/>
        </w:rPr>
        <w:t xml:space="preserve"> position for </w:t>
      </w:r>
      <w:r w:rsidR="00ED5FA8" w:rsidRPr="00633635">
        <w:rPr>
          <w:rFonts w:ascii="Arial" w:hAnsi="Arial" w:cs="Arial"/>
        </w:rPr>
        <w:t>several</w:t>
      </w:r>
      <w:r w:rsidR="002D3197" w:rsidRPr="00633635">
        <w:rPr>
          <w:rFonts w:ascii="Arial" w:hAnsi="Arial" w:cs="Arial"/>
        </w:rPr>
        <w:t xml:space="preserve"> years that a telemetry rollout</w:t>
      </w:r>
      <w:r w:rsidRPr="00633635">
        <w:rPr>
          <w:rFonts w:ascii="Arial" w:hAnsi="Arial" w:cs="Arial"/>
        </w:rPr>
        <w:t xml:space="preserve"> for high-risk extractions</w:t>
      </w:r>
      <w:r w:rsidR="002D3197" w:rsidRPr="00633635">
        <w:rPr>
          <w:rFonts w:ascii="Arial" w:hAnsi="Arial" w:cs="Arial"/>
        </w:rPr>
        <w:t xml:space="preserve"> is subject to funding. Importantly</w:t>
      </w:r>
      <w:r w:rsidR="005921F2" w:rsidRPr="00633635">
        <w:rPr>
          <w:rFonts w:ascii="Arial" w:hAnsi="Arial" w:cs="Arial"/>
        </w:rPr>
        <w:t>,</w:t>
      </w:r>
      <w:r w:rsidR="00B34BB1" w:rsidRPr="00633635">
        <w:rPr>
          <w:rFonts w:ascii="Arial" w:hAnsi="Arial" w:cs="Arial"/>
        </w:rPr>
        <w:t xml:space="preserve"> however</w:t>
      </w:r>
      <w:r w:rsidR="00E445C4" w:rsidRPr="00633635">
        <w:rPr>
          <w:rFonts w:ascii="Arial" w:hAnsi="Arial" w:cs="Arial"/>
        </w:rPr>
        <w:t>,</w:t>
      </w:r>
      <w:r w:rsidR="002D3197" w:rsidRPr="00633635">
        <w:rPr>
          <w:rFonts w:ascii="Arial" w:hAnsi="Arial" w:cs="Arial"/>
        </w:rPr>
        <w:t xml:space="preserve"> South Australia </w:t>
      </w:r>
      <w:r w:rsidR="00E445C4" w:rsidRPr="00633635">
        <w:rPr>
          <w:rFonts w:ascii="Arial" w:hAnsi="Arial" w:cs="Arial"/>
        </w:rPr>
        <w:t xml:space="preserve">has </w:t>
      </w:r>
      <w:r w:rsidR="002D3197" w:rsidRPr="00633635">
        <w:rPr>
          <w:rFonts w:ascii="Arial" w:hAnsi="Arial" w:cs="Arial"/>
        </w:rPr>
        <w:t xml:space="preserve">laid the groundwork for the introduction of telemetry, with a policy that states that </w:t>
      </w:r>
      <w:r w:rsidR="00CA1342" w:rsidRPr="00633635">
        <w:rPr>
          <w:rFonts w:ascii="Arial" w:hAnsi="Arial" w:cs="Arial"/>
        </w:rPr>
        <w:t xml:space="preserve">all meters must be </w:t>
      </w:r>
      <w:r w:rsidR="00492A67" w:rsidRPr="00633635">
        <w:rPr>
          <w:rFonts w:ascii="Arial" w:hAnsi="Arial" w:cs="Arial"/>
        </w:rPr>
        <w:t>capable</w:t>
      </w:r>
      <w:r w:rsidR="00CA1342" w:rsidRPr="00633635">
        <w:rPr>
          <w:rFonts w:ascii="Arial" w:hAnsi="Arial" w:cs="Arial"/>
        </w:rPr>
        <w:t xml:space="preserve"> of being fitted with an electronic output device.</w:t>
      </w:r>
      <w:r w:rsidR="00CA1342" w:rsidRPr="00633635">
        <w:rPr>
          <w:rStyle w:val="FootnoteReference"/>
          <w:rFonts w:ascii="Arial" w:hAnsi="Arial" w:cs="Arial"/>
        </w:rPr>
        <w:footnoteReference w:id="17"/>
      </w:r>
      <w:r w:rsidR="001A3992" w:rsidRPr="00633635">
        <w:rPr>
          <w:rFonts w:ascii="Arial" w:hAnsi="Arial" w:cs="Arial"/>
        </w:rPr>
        <w:t xml:space="preserve"> Funding has also been made available for telemetry trials to be undertaken in the near future.</w:t>
      </w:r>
    </w:p>
    <w:p w14:paraId="79B4EEF9" w14:textId="5AEA2A6A" w:rsidR="00492A67" w:rsidRPr="00633635" w:rsidRDefault="00492A67" w:rsidP="00492A67">
      <w:pPr>
        <w:pStyle w:val="Heading4"/>
        <w:rPr>
          <w:rFonts w:ascii="Arial" w:hAnsi="Arial"/>
        </w:rPr>
      </w:pPr>
      <w:r w:rsidRPr="00633635">
        <w:rPr>
          <w:rFonts w:ascii="Arial" w:hAnsi="Arial"/>
        </w:rPr>
        <w:t>Monitoring</w:t>
      </w:r>
    </w:p>
    <w:p w14:paraId="151FAA3B" w14:textId="4352593F" w:rsidR="003E2BCA" w:rsidRPr="00633635" w:rsidRDefault="003E2BCA" w:rsidP="004232AC">
      <w:pPr>
        <w:rPr>
          <w:rFonts w:ascii="Arial" w:hAnsi="Arial" w:cs="Arial"/>
        </w:rPr>
      </w:pPr>
      <w:r w:rsidRPr="00633635">
        <w:rPr>
          <w:rFonts w:ascii="Arial" w:hAnsi="Arial" w:cs="Arial"/>
        </w:rPr>
        <w:t xml:space="preserve">72% of </w:t>
      </w:r>
      <w:r w:rsidR="00E445C4" w:rsidRPr="00633635">
        <w:rPr>
          <w:rFonts w:ascii="Arial" w:hAnsi="Arial" w:cs="Arial"/>
        </w:rPr>
        <w:t>South Australian</w:t>
      </w:r>
      <w:r w:rsidR="00492A67" w:rsidRPr="00633635">
        <w:rPr>
          <w:rFonts w:ascii="Arial" w:hAnsi="Arial" w:cs="Arial"/>
        </w:rPr>
        <w:t xml:space="preserve"> water </w:t>
      </w:r>
      <w:r w:rsidRPr="00633635">
        <w:rPr>
          <w:rFonts w:ascii="Arial" w:hAnsi="Arial" w:cs="Arial"/>
        </w:rPr>
        <w:t>licence holders are required to submit a quarterly meter reading (representing 87% of total volume taken). The remaining 28%</w:t>
      </w:r>
      <w:r w:rsidR="001B23FB" w:rsidRPr="00633635">
        <w:rPr>
          <w:rFonts w:ascii="Arial" w:hAnsi="Arial" w:cs="Arial"/>
        </w:rPr>
        <w:t xml:space="preserve"> are subject to annual meter reads. </w:t>
      </w:r>
      <w:r w:rsidR="00276722" w:rsidRPr="00633635">
        <w:rPr>
          <w:rFonts w:ascii="Arial" w:hAnsi="Arial" w:cs="Arial"/>
        </w:rPr>
        <w:t xml:space="preserve">All meter reads are validated by DEW. </w:t>
      </w:r>
      <w:r w:rsidR="001B23FB" w:rsidRPr="00633635">
        <w:rPr>
          <w:rFonts w:ascii="Arial" w:hAnsi="Arial" w:cs="Arial"/>
        </w:rPr>
        <w:t>Complementing this is an annual program of site visits</w:t>
      </w:r>
      <w:r w:rsidR="00276722" w:rsidRPr="00633635">
        <w:rPr>
          <w:rFonts w:ascii="Arial" w:hAnsi="Arial" w:cs="Arial"/>
        </w:rPr>
        <w:t xml:space="preserve"> where a minimum of 10% of </w:t>
      </w:r>
      <w:r w:rsidR="00276722" w:rsidRPr="00633635">
        <w:rPr>
          <w:rFonts w:ascii="Arial" w:hAnsi="Arial" w:cs="Arial"/>
        </w:rPr>
        <w:lastRenderedPageBreak/>
        <w:t>licensed sites are visited each year.</w:t>
      </w:r>
      <w:r w:rsidR="001B23FB" w:rsidRPr="00633635">
        <w:rPr>
          <w:rFonts w:ascii="Arial" w:hAnsi="Arial" w:cs="Arial"/>
        </w:rPr>
        <w:t xml:space="preserve"> </w:t>
      </w:r>
      <w:r w:rsidR="00E445C4" w:rsidRPr="00633635">
        <w:rPr>
          <w:rFonts w:ascii="Arial" w:hAnsi="Arial" w:cs="Arial"/>
        </w:rPr>
        <w:t>I</w:t>
      </w:r>
      <w:r w:rsidR="001B23FB" w:rsidRPr="00633635">
        <w:rPr>
          <w:rFonts w:ascii="Arial" w:hAnsi="Arial" w:cs="Arial"/>
        </w:rPr>
        <w:t>n 2020</w:t>
      </w:r>
      <w:r w:rsidR="00E445C4" w:rsidRPr="00633635">
        <w:rPr>
          <w:rFonts w:ascii="Arial" w:hAnsi="Arial" w:cs="Arial"/>
        </w:rPr>
        <w:t>–</w:t>
      </w:r>
      <w:r w:rsidR="001B23FB" w:rsidRPr="00633635">
        <w:rPr>
          <w:rFonts w:ascii="Arial" w:hAnsi="Arial" w:cs="Arial"/>
        </w:rPr>
        <w:t>21, 21% of water licences in SA received a site visit to conduct a compliance check, which includes taking an authorised meter reading.</w:t>
      </w:r>
    </w:p>
    <w:p w14:paraId="45157371" w14:textId="1AC3D0D4" w:rsidR="00FA6D5B" w:rsidRPr="00633635" w:rsidRDefault="00E445C4" w:rsidP="00FA6D5B">
      <w:pPr>
        <w:pStyle w:val="Heading3"/>
        <w:rPr>
          <w:rFonts w:ascii="Arial" w:hAnsi="Arial"/>
        </w:rPr>
      </w:pPr>
      <w:r w:rsidRPr="00633635">
        <w:rPr>
          <w:rFonts w:ascii="Arial" w:hAnsi="Arial"/>
        </w:rPr>
        <w:t>Managing</w:t>
      </w:r>
      <w:r w:rsidR="00FA6D5B" w:rsidRPr="00633635">
        <w:rPr>
          <w:rFonts w:ascii="Arial" w:hAnsi="Arial"/>
        </w:rPr>
        <w:t xml:space="preserve"> non-compliance</w:t>
      </w:r>
    </w:p>
    <w:p w14:paraId="4C3F8D7F" w14:textId="14F75A35" w:rsidR="003E2BCA" w:rsidRPr="00633635" w:rsidRDefault="00D47950" w:rsidP="003E2BCA">
      <w:pPr>
        <w:rPr>
          <w:rFonts w:ascii="Arial" w:hAnsi="Arial" w:cs="Arial"/>
        </w:rPr>
      </w:pPr>
      <w:r w:rsidRPr="00633635">
        <w:rPr>
          <w:rFonts w:ascii="Arial" w:hAnsi="Arial" w:cs="Arial"/>
        </w:rPr>
        <w:t>South Australia</w:t>
      </w:r>
      <w:r w:rsidR="00E445C4" w:rsidRPr="00633635">
        <w:rPr>
          <w:rFonts w:ascii="Arial" w:hAnsi="Arial" w:cs="Arial"/>
        </w:rPr>
        <w:t>, like Victoria,</w:t>
      </w:r>
      <w:r w:rsidRPr="00633635">
        <w:rPr>
          <w:rFonts w:ascii="Arial" w:hAnsi="Arial" w:cs="Arial"/>
        </w:rPr>
        <w:t xml:space="preserve"> has a zero-tolerance approach to unauthorised take</w:t>
      </w:r>
      <w:r w:rsidR="00276722" w:rsidRPr="00633635">
        <w:rPr>
          <w:rFonts w:ascii="Arial" w:hAnsi="Arial" w:cs="Arial"/>
        </w:rPr>
        <w:t xml:space="preserve"> and applies mandatory penalties regardless of volume</w:t>
      </w:r>
      <w:r w:rsidRPr="00633635">
        <w:rPr>
          <w:rFonts w:ascii="Arial" w:hAnsi="Arial" w:cs="Arial"/>
        </w:rPr>
        <w:t xml:space="preserve">. </w:t>
      </w:r>
      <w:r w:rsidR="003E2BCA" w:rsidRPr="00633635">
        <w:rPr>
          <w:rFonts w:ascii="Arial" w:hAnsi="Arial" w:cs="Arial"/>
        </w:rPr>
        <w:t xml:space="preserve">In July 2019, a quarterly reconciliation process was introduced for </w:t>
      </w:r>
      <w:r w:rsidR="00ED5FA8" w:rsidRPr="00633635">
        <w:rPr>
          <w:rFonts w:ascii="Arial" w:hAnsi="Arial" w:cs="Arial"/>
        </w:rPr>
        <w:t>licence holders</w:t>
      </w:r>
      <w:r w:rsidR="003E2BCA" w:rsidRPr="00633635">
        <w:rPr>
          <w:rFonts w:ascii="Arial" w:hAnsi="Arial" w:cs="Arial"/>
        </w:rPr>
        <w:t xml:space="preserve"> in the </w:t>
      </w:r>
      <w:r w:rsidR="00E445C4" w:rsidRPr="00633635">
        <w:rPr>
          <w:rFonts w:ascii="Arial" w:hAnsi="Arial" w:cs="Arial"/>
        </w:rPr>
        <w:t>South Australian</w:t>
      </w:r>
      <w:r w:rsidR="003E2BCA" w:rsidRPr="00633635">
        <w:rPr>
          <w:rFonts w:ascii="Arial" w:hAnsi="Arial" w:cs="Arial"/>
        </w:rPr>
        <w:t xml:space="preserve"> River Murray</w:t>
      </w:r>
      <w:r w:rsidR="00E445C4" w:rsidRPr="00633635">
        <w:rPr>
          <w:rFonts w:ascii="Arial" w:hAnsi="Arial" w:cs="Arial"/>
        </w:rPr>
        <w:t>. I</w:t>
      </w:r>
      <w:r w:rsidR="003E2BCA" w:rsidRPr="00633635">
        <w:rPr>
          <w:rFonts w:ascii="Arial" w:hAnsi="Arial" w:cs="Arial"/>
        </w:rPr>
        <w:t xml:space="preserve">mportantly, the penalty regime </w:t>
      </w:r>
      <w:r w:rsidR="00E445C4" w:rsidRPr="00633635">
        <w:rPr>
          <w:rFonts w:ascii="Arial" w:hAnsi="Arial" w:cs="Arial"/>
        </w:rPr>
        <w:t xml:space="preserve">also </w:t>
      </w:r>
      <w:r w:rsidR="003E2BCA" w:rsidRPr="00633635">
        <w:rPr>
          <w:rFonts w:ascii="Arial" w:hAnsi="Arial" w:cs="Arial"/>
        </w:rPr>
        <w:t xml:space="preserve">shifted from annual to quarterly </w:t>
      </w:r>
      <w:r w:rsidR="00E445C4" w:rsidRPr="00633635">
        <w:rPr>
          <w:rFonts w:ascii="Arial" w:hAnsi="Arial" w:cs="Arial"/>
        </w:rPr>
        <w:t>reconciliation</w:t>
      </w:r>
      <w:r w:rsidR="003E2BCA" w:rsidRPr="00633635">
        <w:rPr>
          <w:rFonts w:ascii="Arial" w:hAnsi="Arial" w:cs="Arial"/>
        </w:rPr>
        <w:t xml:space="preserve">. This </w:t>
      </w:r>
      <w:r w:rsidR="00E445C4" w:rsidRPr="00633635">
        <w:rPr>
          <w:rFonts w:ascii="Arial" w:hAnsi="Arial" w:cs="Arial"/>
        </w:rPr>
        <w:t>means</w:t>
      </w:r>
      <w:r w:rsidR="003E2BCA" w:rsidRPr="00633635">
        <w:rPr>
          <w:rFonts w:ascii="Arial" w:hAnsi="Arial" w:cs="Arial"/>
        </w:rPr>
        <w:t xml:space="preserve"> that a mandatory financial penalty is applied to</w:t>
      </w:r>
      <w:r w:rsidR="00E445C4" w:rsidRPr="00633635">
        <w:rPr>
          <w:rFonts w:ascii="Arial" w:hAnsi="Arial" w:cs="Arial"/>
        </w:rPr>
        <w:t xml:space="preserve"> </w:t>
      </w:r>
      <w:r w:rsidR="00BB52D9" w:rsidRPr="00633635">
        <w:rPr>
          <w:rFonts w:ascii="Arial" w:hAnsi="Arial" w:cs="Arial"/>
        </w:rPr>
        <w:t>a</w:t>
      </w:r>
      <w:r w:rsidR="003E2BCA" w:rsidRPr="00633635">
        <w:rPr>
          <w:rFonts w:ascii="Arial" w:hAnsi="Arial" w:cs="Arial"/>
        </w:rPr>
        <w:t xml:space="preserve"> licence holder who has taken more water than was allocated to them for the quarter. This policy</w:t>
      </w:r>
      <w:r w:rsidR="00595BCE" w:rsidRPr="00633635">
        <w:rPr>
          <w:rFonts w:ascii="Arial" w:hAnsi="Arial" w:cs="Arial"/>
        </w:rPr>
        <w:t xml:space="preserve"> improves</w:t>
      </w:r>
      <w:r w:rsidR="003E2BCA" w:rsidRPr="00633635">
        <w:rPr>
          <w:rFonts w:ascii="Arial" w:hAnsi="Arial" w:cs="Arial"/>
        </w:rPr>
        <w:t xml:space="preserve"> </w:t>
      </w:r>
      <w:r w:rsidR="00BB52D9" w:rsidRPr="00633635">
        <w:rPr>
          <w:rFonts w:ascii="Arial" w:hAnsi="Arial" w:cs="Arial"/>
        </w:rPr>
        <w:t>deter</w:t>
      </w:r>
      <w:r w:rsidR="00595BCE" w:rsidRPr="00633635">
        <w:rPr>
          <w:rFonts w:ascii="Arial" w:hAnsi="Arial" w:cs="Arial"/>
        </w:rPr>
        <w:t>rence of</w:t>
      </w:r>
      <w:r w:rsidR="003E2BCA" w:rsidRPr="00633635">
        <w:rPr>
          <w:rFonts w:ascii="Arial" w:hAnsi="Arial" w:cs="Arial"/>
        </w:rPr>
        <w:t xml:space="preserve"> unauthorised water take</w:t>
      </w:r>
      <w:r w:rsidR="00BB52D9" w:rsidRPr="00633635">
        <w:rPr>
          <w:rFonts w:ascii="Arial" w:hAnsi="Arial" w:cs="Arial"/>
        </w:rPr>
        <w:t>.</w:t>
      </w:r>
      <w:r w:rsidR="003E2BCA" w:rsidRPr="00633635">
        <w:rPr>
          <w:rFonts w:ascii="Arial" w:hAnsi="Arial" w:cs="Arial"/>
        </w:rPr>
        <w:t xml:space="preserve"> </w:t>
      </w:r>
      <w:r w:rsidR="00BB52D9" w:rsidRPr="00633635">
        <w:rPr>
          <w:rFonts w:ascii="Arial" w:hAnsi="Arial" w:cs="Arial"/>
        </w:rPr>
        <w:t>i</w:t>
      </w:r>
      <w:r w:rsidR="003E2BCA" w:rsidRPr="00633635">
        <w:rPr>
          <w:rFonts w:ascii="Arial" w:hAnsi="Arial" w:cs="Arial"/>
        </w:rPr>
        <w:t>n 2020</w:t>
      </w:r>
      <w:r w:rsidR="00BB52D9" w:rsidRPr="00633635">
        <w:rPr>
          <w:rFonts w:ascii="Arial" w:hAnsi="Arial" w:cs="Arial"/>
        </w:rPr>
        <w:t>–</w:t>
      </w:r>
      <w:r w:rsidR="003E2BCA" w:rsidRPr="00633635">
        <w:rPr>
          <w:rFonts w:ascii="Arial" w:hAnsi="Arial" w:cs="Arial"/>
        </w:rPr>
        <w:t>21, 72 (about 1.4% of) licensees were subject to this penalty charge.</w:t>
      </w:r>
    </w:p>
    <w:p w14:paraId="0D6A0FED" w14:textId="55AC9AF4" w:rsidR="002D3197" w:rsidRPr="00633635" w:rsidRDefault="00276722" w:rsidP="003E2BCA">
      <w:pPr>
        <w:rPr>
          <w:rFonts w:ascii="Arial" w:hAnsi="Arial" w:cs="Arial"/>
        </w:rPr>
      </w:pPr>
      <w:r w:rsidRPr="00633635">
        <w:rPr>
          <w:rFonts w:ascii="Arial" w:hAnsi="Arial" w:cs="Arial"/>
        </w:rPr>
        <w:t xml:space="preserve">In addition to mandatory penalties for unauthorised take, South Australia also has a range of other compliance options available, including expiations, directions, licence variation, suspension and cancellation, and prosecution. </w:t>
      </w:r>
      <w:r w:rsidR="00BB52D9" w:rsidRPr="00633635">
        <w:rPr>
          <w:rFonts w:ascii="Arial" w:hAnsi="Arial" w:cs="Arial"/>
        </w:rPr>
        <w:t>Like</w:t>
      </w:r>
      <w:r w:rsidR="002D3197" w:rsidRPr="00633635">
        <w:rPr>
          <w:rFonts w:ascii="Arial" w:hAnsi="Arial" w:cs="Arial"/>
        </w:rPr>
        <w:t xml:space="preserve"> other </w:t>
      </w:r>
      <w:r w:rsidR="000210F5" w:rsidRPr="00633635">
        <w:rPr>
          <w:rFonts w:ascii="Arial" w:hAnsi="Arial" w:cs="Arial"/>
        </w:rPr>
        <w:t xml:space="preserve">Basin </w:t>
      </w:r>
      <w:r w:rsidR="005921F2" w:rsidRPr="00633635">
        <w:rPr>
          <w:rFonts w:ascii="Arial" w:hAnsi="Arial" w:cs="Arial"/>
        </w:rPr>
        <w:t>states</w:t>
      </w:r>
      <w:r w:rsidR="002D3197" w:rsidRPr="00633635">
        <w:rPr>
          <w:rFonts w:ascii="Arial" w:hAnsi="Arial" w:cs="Arial"/>
        </w:rPr>
        <w:t>, South Australia</w:t>
      </w:r>
      <w:r w:rsidR="002D3197" w:rsidRPr="00633635">
        <w:rPr>
          <w:rFonts w:ascii="Arial" w:hAnsi="Arial" w:cs="Arial"/>
          <w:lang w:val="en-US"/>
        </w:rPr>
        <w:t xml:space="preserve"> aim</w:t>
      </w:r>
      <w:r w:rsidR="002D3197" w:rsidRPr="00633635">
        <w:rPr>
          <w:rFonts w:ascii="Arial" w:hAnsi="Arial" w:cs="Arial"/>
        </w:rPr>
        <w:t>s to educate customers about their water licensing obligations</w:t>
      </w:r>
      <w:r w:rsidRPr="00633635">
        <w:rPr>
          <w:rFonts w:ascii="Arial" w:hAnsi="Arial" w:cs="Arial"/>
        </w:rPr>
        <w:t>, including providing a tool to enable licencees to access information on usage against allocation to facilitate v</w:t>
      </w:r>
      <w:r w:rsidR="002D3197" w:rsidRPr="00633635">
        <w:rPr>
          <w:rFonts w:ascii="Arial" w:hAnsi="Arial" w:cs="Arial"/>
        </w:rPr>
        <w:t xml:space="preserve">oluntary compliance. </w:t>
      </w:r>
    </w:p>
    <w:p w14:paraId="5EC5D8AC" w14:textId="6B69A150" w:rsidR="006D5579" w:rsidRPr="00633635" w:rsidRDefault="006D5579" w:rsidP="006D5579">
      <w:pPr>
        <w:pStyle w:val="Heading3"/>
        <w:rPr>
          <w:rFonts w:ascii="Arial" w:hAnsi="Arial"/>
        </w:rPr>
      </w:pPr>
      <w:r w:rsidRPr="00633635">
        <w:rPr>
          <w:rFonts w:ascii="Arial" w:hAnsi="Arial"/>
        </w:rPr>
        <w:t xml:space="preserve">Public </w:t>
      </w:r>
      <w:r w:rsidR="005921F2" w:rsidRPr="00633635">
        <w:rPr>
          <w:rFonts w:ascii="Arial" w:hAnsi="Arial"/>
        </w:rPr>
        <w:t>reporting</w:t>
      </w:r>
    </w:p>
    <w:p w14:paraId="73787B9D" w14:textId="4E5E6596" w:rsidR="000245E8" w:rsidRPr="00633635" w:rsidRDefault="007861AA" w:rsidP="002864E7">
      <w:pPr>
        <w:rPr>
          <w:rFonts w:ascii="Arial" w:hAnsi="Arial" w:cs="Arial"/>
        </w:rPr>
      </w:pPr>
      <w:r w:rsidRPr="00633635">
        <w:rPr>
          <w:rFonts w:ascii="Arial" w:hAnsi="Arial" w:cs="Arial"/>
        </w:rPr>
        <w:t xml:space="preserve">South Australia </w:t>
      </w:r>
      <w:r w:rsidR="00BB52D9" w:rsidRPr="00633635">
        <w:rPr>
          <w:rFonts w:ascii="Arial" w:hAnsi="Arial" w:cs="Arial"/>
        </w:rPr>
        <w:t>has published an annual report on its water compliance activities on its website since</w:t>
      </w:r>
      <w:r w:rsidR="00BF5EE1" w:rsidRPr="00633635">
        <w:rPr>
          <w:rFonts w:ascii="Arial" w:hAnsi="Arial" w:cs="Arial"/>
        </w:rPr>
        <w:t xml:space="preserve"> 2013</w:t>
      </w:r>
      <w:r w:rsidR="00BB52D9" w:rsidRPr="00633635">
        <w:rPr>
          <w:rFonts w:ascii="Arial" w:hAnsi="Arial" w:cs="Arial"/>
        </w:rPr>
        <w:t>–</w:t>
      </w:r>
      <w:r w:rsidR="00BF5EE1" w:rsidRPr="00633635">
        <w:rPr>
          <w:rFonts w:ascii="Arial" w:hAnsi="Arial" w:cs="Arial"/>
        </w:rPr>
        <w:t>14.</w:t>
      </w:r>
      <w:r w:rsidR="00BF5EE1" w:rsidRPr="00633635">
        <w:rPr>
          <w:rStyle w:val="FootnoteReference"/>
          <w:rFonts w:ascii="Arial" w:hAnsi="Arial" w:cs="Arial"/>
        </w:rPr>
        <w:footnoteReference w:id="18"/>
      </w:r>
      <w:r w:rsidR="00BF5EE1" w:rsidRPr="00633635">
        <w:rPr>
          <w:rFonts w:ascii="Arial" w:hAnsi="Arial" w:cs="Arial"/>
        </w:rPr>
        <w:t xml:space="preserve"> South Australia was singled out for praise in the 2017 </w:t>
      </w:r>
      <w:r w:rsidR="00BB52D9" w:rsidRPr="00633635">
        <w:rPr>
          <w:rFonts w:ascii="Arial" w:hAnsi="Arial" w:cs="Arial"/>
        </w:rPr>
        <w:t xml:space="preserve">Murray–Darling Basin </w:t>
      </w:r>
      <w:r w:rsidR="00BF5EE1" w:rsidRPr="00633635">
        <w:rPr>
          <w:rFonts w:ascii="Arial" w:hAnsi="Arial" w:cs="Arial"/>
        </w:rPr>
        <w:t>Compliance Review for its reporting and transparency</w:t>
      </w:r>
      <w:r w:rsidR="00BB52D9" w:rsidRPr="00633635">
        <w:rPr>
          <w:rFonts w:ascii="Arial" w:hAnsi="Arial" w:cs="Arial"/>
        </w:rPr>
        <w:t xml:space="preserve">. At that </w:t>
      </w:r>
      <w:proofErr w:type="gramStart"/>
      <w:r w:rsidR="00BB52D9" w:rsidRPr="00633635">
        <w:rPr>
          <w:rFonts w:ascii="Arial" w:hAnsi="Arial" w:cs="Arial"/>
        </w:rPr>
        <w:t>time</w:t>
      </w:r>
      <w:proofErr w:type="gramEnd"/>
      <w:r w:rsidR="00BB52D9" w:rsidRPr="00633635">
        <w:rPr>
          <w:rFonts w:ascii="Arial" w:hAnsi="Arial" w:cs="Arial"/>
        </w:rPr>
        <w:t xml:space="preserve"> it was</w:t>
      </w:r>
      <w:r w:rsidR="00BF5EE1" w:rsidRPr="00633635">
        <w:rPr>
          <w:rFonts w:ascii="Arial" w:hAnsi="Arial" w:cs="Arial"/>
        </w:rPr>
        <w:t xml:space="preserve"> the only Basin state to provide publicly available reporting on compliance strategy and compliance activities.</w:t>
      </w:r>
    </w:p>
    <w:p w14:paraId="45B28990" w14:textId="166BF826" w:rsidR="000245E8" w:rsidRPr="00633635" w:rsidRDefault="001113D2" w:rsidP="002864E7">
      <w:pPr>
        <w:rPr>
          <w:rFonts w:ascii="Arial" w:hAnsi="Arial" w:cs="Arial"/>
        </w:rPr>
      </w:pPr>
      <w:r w:rsidRPr="00633635">
        <w:rPr>
          <w:rFonts w:ascii="Arial" w:hAnsi="Arial" w:cs="Arial"/>
        </w:rPr>
        <w:t>South Australia continues to provide annual reports on its website of compliance and enforcement activities undertaken during the year, with a breakdown showing the type of activity and the location where the non-compliance occurred.</w:t>
      </w:r>
    </w:p>
    <w:p w14:paraId="2318230F" w14:textId="471B7650" w:rsidR="00112EBA" w:rsidRPr="00633635" w:rsidRDefault="00112EBA" w:rsidP="00112EBA">
      <w:pPr>
        <w:pStyle w:val="Heading3"/>
        <w:rPr>
          <w:rFonts w:ascii="Arial" w:hAnsi="Arial"/>
        </w:rPr>
      </w:pPr>
      <w:r w:rsidRPr="00633635">
        <w:rPr>
          <w:rFonts w:ascii="Arial" w:hAnsi="Arial"/>
        </w:rPr>
        <w:t xml:space="preserve">Inspector-General </w:t>
      </w:r>
      <w:r w:rsidR="006174B2" w:rsidRPr="00633635">
        <w:rPr>
          <w:rFonts w:ascii="Arial" w:hAnsi="Arial"/>
        </w:rPr>
        <w:t>observations</w:t>
      </w:r>
    </w:p>
    <w:p w14:paraId="683BE744" w14:textId="1DD12379" w:rsidR="000245E8" w:rsidRPr="00633635" w:rsidRDefault="000245E8" w:rsidP="002864E7">
      <w:pPr>
        <w:rPr>
          <w:rFonts w:ascii="Arial" w:hAnsi="Arial" w:cs="Arial"/>
        </w:rPr>
      </w:pPr>
      <w:r w:rsidRPr="00633635">
        <w:rPr>
          <w:rFonts w:ascii="Arial" w:hAnsi="Arial" w:cs="Arial"/>
        </w:rPr>
        <w:t xml:space="preserve">South Australia has </w:t>
      </w:r>
      <w:r w:rsidR="004F4506" w:rsidRPr="00633635">
        <w:rPr>
          <w:rFonts w:ascii="Arial" w:hAnsi="Arial" w:cs="Arial"/>
        </w:rPr>
        <w:t>had</w:t>
      </w:r>
      <w:r w:rsidRPr="00633635">
        <w:rPr>
          <w:rFonts w:ascii="Arial" w:hAnsi="Arial" w:cs="Arial"/>
        </w:rPr>
        <w:t xml:space="preserve"> a strong compliance framework </w:t>
      </w:r>
      <w:r w:rsidR="004F4506" w:rsidRPr="00633635">
        <w:rPr>
          <w:rFonts w:ascii="Arial" w:hAnsi="Arial" w:cs="Arial"/>
        </w:rPr>
        <w:t>for</w:t>
      </w:r>
      <w:r w:rsidRPr="00633635">
        <w:rPr>
          <w:rFonts w:ascii="Arial" w:hAnsi="Arial" w:cs="Arial"/>
        </w:rPr>
        <w:t xml:space="preserve"> many years</w:t>
      </w:r>
      <w:r w:rsidR="004F4506" w:rsidRPr="00633635">
        <w:rPr>
          <w:rFonts w:ascii="Arial" w:hAnsi="Arial" w:cs="Arial"/>
        </w:rPr>
        <w:t xml:space="preserve">. </w:t>
      </w:r>
      <w:r w:rsidR="00ED5FA8" w:rsidRPr="00633635">
        <w:rPr>
          <w:rFonts w:ascii="Arial" w:hAnsi="Arial" w:cs="Arial"/>
        </w:rPr>
        <w:t>Mr Pearson’s review</w:t>
      </w:r>
      <w:r w:rsidRPr="00633635">
        <w:rPr>
          <w:rFonts w:ascii="Arial" w:hAnsi="Arial" w:cs="Arial"/>
        </w:rPr>
        <w:t xml:space="preserve"> concluded that the South Australian compliance framework is operating efficiently and effectively, with clear guidelines and policies </w:t>
      </w:r>
      <w:r w:rsidR="004F4506" w:rsidRPr="00633635">
        <w:rPr>
          <w:rFonts w:ascii="Arial" w:hAnsi="Arial" w:cs="Arial"/>
        </w:rPr>
        <w:t>that</w:t>
      </w:r>
      <w:r w:rsidRPr="00633635">
        <w:rPr>
          <w:rFonts w:ascii="Arial" w:hAnsi="Arial" w:cs="Arial"/>
        </w:rPr>
        <w:t xml:space="preserve"> inform water users of their obligations and </w:t>
      </w:r>
      <w:r w:rsidR="004F4506" w:rsidRPr="00633635">
        <w:rPr>
          <w:rFonts w:ascii="Arial" w:hAnsi="Arial" w:cs="Arial"/>
        </w:rPr>
        <w:t>deter</w:t>
      </w:r>
      <w:r w:rsidRPr="00633635">
        <w:rPr>
          <w:rFonts w:ascii="Arial" w:hAnsi="Arial" w:cs="Arial"/>
        </w:rPr>
        <w:t xml:space="preserve"> water theft. </w:t>
      </w:r>
    </w:p>
    <w:p w14:paraId="0BE83DB7" w14:textId="1D51E556" w:rsidR="006C4867" w:rsidRPr="00633635" w:rsidRDefault="00ED5FA8" w:rsidP="002864E7">
      <w:pPr>
        <w:rPr>
          <w:rFonts w:ascii="Arial" w:hAnsi="Arial" w:cs="Arial"/>
        </w:rPr>
      </w:pPr>
      <w:r w:rsidRPr="00633635">
        <w:rPr>
          <w:rFonts w:ascii="Arial" w:hAnsi="Arial" w:cs="Arial"/>
        </w:rPr>
        <w:t>The Inspector-General</w:t>
      </w:r>
      <w:r w:rsidR="000245E8" w:rsidRPr="00633635">
        <w:rPr>
          <w:rFonts w:ascii="Arial" w:hAnsi="Arial" w:cs="Arial"/>
        </w:rPr>
        <w:t xml:space="preserve"> </w:t>
      </w:r>
      <w:r w:rsidR="00B34BB1" w:rsidRPr="00633635">
        <w:rPr>
          <w:rFonts w:ascii="Arial" w:hAnsi="Arial" w:cs="Arial"/>
        </w:rPr>
        <w:t>is encouraged by the progress South Australia continues to make towards the implementation of telemetry for high-risk extractions</w:t>
      </w:r>
      <w:r w:rsidR="000245E8" w:rsidRPr="00633635">
        <w:rPr>
          <w:rFonts w:ascii="Arial" w:hAnsi="Arial" w:cs="Arial"/>
        </w:rPr>
        <w:t>.</w:t>
      </w:r>
      <w:r w:rsidR="00796D34" w:rsidRPr="00633635">
        <w:rPr>
          <w:rFonts w:ascii="Arial" w:hAnsi="Arial" w:cs="Arial"/>
        </w:rPr>
        <w:t xml:space="preserve"> It is important for South Australia to remain contemporary in this regard, and</w:t>
      </w:r>
      <w:r w:rsidR="000245E8" w:rsidRPr="00633635">
        <w:rPr>
          <w:rFonts w:ascii="Arial" w:hAnsi="Arial" w:cs="Arial"/>
        </w:rPr>
        <w:t xml:space="preserve"> </w:t>
      </w:r>
      <w:r w:rsidR="00796D34" w:rsidRPr="00633635">
        <w:rPr>
          <w:rFonts w:ascii="Arial" w:hAnsi="Arial" w:cs="Arial"/>
        </w:rPr>
        <w:t>m</w:t>
      </w:r>
      <w:r w:rsidR="000245E8" w:rsidRPr="00633635">
        <w:rPr>
          <w:rFonts w:ascii="Arial" w:hAnsi="Arial" w:cs="Arial"/>
        </w:rPr>
        <w:t>andating telemetry for high-risk extractions will align South Australia with best practice metering frameworks in the Basin</w:t>
      </w:r>
      <w:r w:rsidR="004F4506" w:rsidRPr="00633635">
        <w:rPr>
          <w:rFonts w:ascii="Arial" w:hAnsi="Arial" w:cs="Arial"/>
        </w:rPr>
        <w:t xml:space="preserve">. </w:t>
      </w:r>
      <w:r w:rsidR="00796D34" w:rsidRPr="00633635">
        <w:rPr>
          <w:rFonts w:ascii="Arial" w:hAnsi="Arial" w:cs="Arial"/>
        </w:rPr>
        <w:t>This</w:t>
      </w:r>
      <w:r w:rsidR="004F4506" w:rsidRPr="00633635">
        <w:rPr>
          <w:rFonts w:ascii="Arial" w:hAnsi="Arial" w:cs="Arial"/>
        </w:rPr>
        <w:t xml:space="preserve"> will</w:t>
      </w:r>
      <w:r w:rsidR="000245E8" w:rsidRPr="00633635">
        <w:rPr>
          <w:rFonts w:ascii="Arial" w:hAnsi="Arial" w:cs="Arial"/>
        </w:rPr>
        <w:t xml:space="preserve"> help ensure </w:t>
      </w:r>
      <w:r w:rsidR="004F4506" w:rsidRPr="00633635">
        <w:rPr>
          <w:rFonts w:ascii="Arial" w:hAnsi="Arial" w:cs="Arial"/>
        </w:rPr>
        <w:t xml:space="preserve">that South Australia’s </w:t>
      </w:r>
      <w:r w:rsidR="000245E8" w:rsidRPr="00633635">
        <w:rPr>
          <w:rFonts w:ascii="Arial" w:hAnsi="Arial" w:cs="Arial"/>
        </w:rPr>
        <w:t xml:space="preserve">strong record of </w:t>
      </w:r>
      <w:r w:rsidR="00EC43CA" w:rsidRPr="00633635">
        <w:rPr>
          <w:rFonts w:ascii="Arial" w:hAnsi="Arial" w:cs="Arial"/>
        </w:rPr>
        <w:t xml:space="preserve">low non-compliance continues. </w:t>
      </w:r>
      <w:r w:rsidR="006C4867" w:rsidRPr="00633635">
        <w:rPr>
          <w:rFonts w:ascii="Arial" w:hAnsi="Arial" w:cs="Arial"/>
        </w:rPr>
        <w:br w:type="page"/>
      </w:r>
    </w:p>
    <w:p w14:paraId="3D6F5FCF" w14:textId="780FA9E8" w:rsidR="009C25D9" w:rsidRPr="00633635" w:rsidRDefault="009C25D9" w:rsidP="009C25D9">
      <w:pPr>
        <w:pStyle w:val="Heading2"/>
        <w:rPr>
          <w:rFonts w:ascii="Arial" w:hAnsi="Arial" w:cs="Arial"/>
        </w:rPr>
      </w:pPr>
      <w:bookmarkStart w:id="11" w:name="_Toc112142179"/>
      <w:r w:rsidRPr="00633635">
        <w:rPr>
          <w:rFonts w:ascii="Arial" w:hAnsi="Arial" w:cs="Arial"/>
        </w:rPr>
        <w:lastRenderedPageBreak/>
        <w:t>Australian Capital Territory</w:t>
      </w:r>
      <w:bookmarkEnd w:id="11"/>
    </w:p>
    <w:p w14:paraId="0BF61DE0" w14:textId="204F2CA7" w:rsidR="00BE7AD4" w:rsidRPr="00633635" w:rsidRDefault="00BE7AD4" w:rsidP="00BE7AD4">
      <w:pPr>
        <w:jc w:val="center"/>
        <w:rPr>
          <w:rFonts w:ascii="Arial" w:hAnsi="Arial" w:cs="Arial"/>
        </w:rPr>
      </w:pPr>
      <w:r w:rsidRPr="00633635">
        <w:rPr>
          <w:rFonts w:ascii="Arial" w:hAnsi="Arial" w:cs="Arial"/>
          <w:noProof/>
        </w:rPr>
        <w:drawing>
          <wp:inline distT="0" distB="0" distL="0" distR="0" wp14:anchorId="119D8E2F" wp14:editId="6C38C65C">
            <wp:extent cx="4572635" cy="2743200"/>
            <wp:effectExtent l="0" t="0" r="0" b="0"/>
            <wp:docPr id="15" name="Picture 15" descr="A graph showing that the ACT accounts for approximately 0.2% of water taken from the consumptive pool in the Murray Darling Bas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graph showing that the ACT accounts for approximately 0.2% of water taken from the consumptive pool in the Murray Darling Basin"/>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572635" cy="2743200"/>
                    </a:xfrm>
                    <a:prstGeom prst="rect">
                      <a:avLst/>
                    </a:prstGeom>
                    <a:noFill/>
                  </pic:spPr>
                </pic:pic>
              </a:graphicData>
            </a:graphic>
          </wp:inline>
        </w:drawing>
      </w:r>
    </w:p>
    <w:p w14:paraId="14AE2D4E" w14:textId="77777777" w:rsidR="006D5579" w:rsidRPr="00633635" w:rsidRDefault="006D5579" w:rsidP="006D5579">
      <w:pPr>
        <w:pStyle w:val="Heading3"/>
        <w:rPr>
          <w:rFonts w:ascii="Arial" w:hAnsi="Arial"/>
        </w:rPr>
      </w:pPr>
      <w:r w:rsidRPr="00633635">
        <w:rPr>
          <w:rFonts w:ascii="Arial" w:hAnsi="Arial"/>
        </w:rPr>
        <w:t xml:space="preserve">Overview </w:t>
      </w:r>
    </w:p>
    <w:p w14:paraId="790CBDB5" w14:textId="1FEA4A30" w:rsidR="006D5579" w:rsidRPr="00633635" w:rsidRDefault="00D16377" w:rsidP="006D5579">
      <w:pPr>
        <w:rPr>
          <w:rFonts w:ascii="Arial" w:hAnsi="Arial" w:cs="Arial"/>
        </w:rPr>
      </w:pPr>
      <w:r w:rsidRPr="00633635">
        <w:rPr>
          <w:rFonts w:ascii="Arial" w:hAnsi="Arial" w:cs="Arial"/>
        </w:rPr>
        <w:t>The ACT is the smallest jurisdiction in the Basin, both in terms of geographical size and the amount of water it extracts, representing less than 1% of actual take in 2020</w:t>
      </w:r>
      <w:r w:rsidR="004F4506" w:rsidRPr="00633635">
        <w:rPr>
          <w:rFonts w:ascii="Arial" w:hAnsi="Arial" w:cs="Arial"/>
        </w:rPr>
        <w:t>–</w:t>
      </w:r>
      <w:r w:rsidRPr="00633635">
        <w:rPr>
          <w:rFonts w:ascii="Arial" w:hAnsi="Arial" w:cs="Arial"/>
        </w:rPr>
        <w:t xml:space="preserve">21. </w:t>
      </w:r>
    </w:p>
    <w:p w14:paraId="3DBFCA7E" w14:textId="428DB109" w:rsidR="00BA2DEB" w:rsidRPr="00633635" w:rsidRDefault="51BB0136" w:rsidP="006D5579">
      <w:pPr>
        <w:rPr>
          <w:rFonts w:ascii="Arial" w:hAnsi="Arial" w:cs="Arial"/>
        </w:rPr>
      </w:pPr>
      <w:r w:rsidRPr="00633635">
        <w:rPr>
          <w:rFonts w:ascii="Arial" w:hAnsi="Arial" w:cs="Arial"/>
        </w:rPr>
        <w:t>Urban water comprises a significant proportion of total use</w:t>
      </w:r>
      <w:r w:rsidR="645A4FFA" w:rsidRPr="00633635">
        <w:rPr>
          <w:rFonts w:ascii="Arial" w:hAnsi="Arial" w:cs="Arial"/>
        </w:rPr>
        <w:t>: the ACT has</w:t>
      </w:r>
      <w:r w:rsidRPr="00633635">
        <w:rPr>
          <w:rFonts w:ascii="Arial" w:hAnsi="Arial" w:cs="Arial"/>
        </w:rPr>
        <w:t xml:space="preserve"> the largest urban area within the Basin</w:t>
      </w:r>
      <w:r w:rsidR="645A4FFA" w:rsidRPr="00633635">
        <w:rPr>
          <w:rFonts w:ascii="Arial" w:hAnsi="Arial" w:cs="Arial"/>
        </w:rPr>
        <w:t xml:space="preserve"> and </w:t>
      </w:r>
      <w:r w:rsidRPr="00633635">
        <w:rPr>
          <w:rFonts w:ascii="Arial" w:hAnsi="Arial" w:cs="Arial"/>
        </w:rPr>
        <w:t>limited agriculture. The ACT contains several major storages used for urban water</w:t>
      </w:r>
      <w:r w:rsidR="5A4060F9" w:rsidRPr="00633635">
        <w:rPr>
          <w:rFonts w:ascii="Arial" w:hAnsi="Arial" w:cs="Arial"/>
        </w:rPr>
        <w:t xml:space="preserve">, such as the </w:t>
      </w:r>
      <w:proofErr w:type="spellStart"/>
      <w:r w:rsidR="5A4060F9" w:rsidRPr="00633635">
        <w:rPr>
          <w:rFonts w:ascii="Arial" w:hAnsi="Arial" w:cs="Arial"/>
        </w:rPr>
        <w:t>Corin</w:t>
      </w:r>
      <w:proofErr w:type="spellEnd"/>
      <w:r w:rsidR="5A4060F9" w:rsidRPr="00633635">
        <w:rPr>
          <w:rFonts w:ascii="Arial" w:hAnsi="Arial" w:cs="Arial"/>
        </w:rPr>
        <w:t xml:space="preserve">, </w:t>
      </w:r>
      <w:proofErr w:type="spellStart"/>
      <w:r w:rsidR="5A4060F9" w:rsidRPr="00633635">
        <w:rPr>
          <w:rFonts w:ascii="Arial" w:hAnsi="Arial" w:cs="Arial"/>
        </w:rPr>
        <w:t>Bendora</w:t>
      </w:r>
      <w:proofErr w:type="spellEnd"/>
      <w:r w:rsidR="5A4060F9" w:rsidRPr="00633635">
        <w:rPr>
          <w:rFonts w:ascii="Arial" w:hAnsi="Arial" w:cs="Arial"/>
        </w:rPr>
        <w:t xml:space="preserve"> and Cotter reservoirs.</w:t>
      </w:r>
    </w:p>
    <w:p w14:paraId="1A00EC8D" w14:textId="21B3F5F1" w:rsidR="003F739D" w:rsidRPr="00633635" w:rsidRDefault="00BA2DEB" w:rsidP="002864E7">
      <w:pPr>
        <w:rPr>
          <w:rFonts w:ascii="Arial" w:hAnsi="Arial" w:cs="Arial"/>
        </w:rPr>
      </w:pPr>
      <w:r w:rsidRPr="00633635">
        <w:rPr>
          <w:rFonts w:ascii="Arial" w:hAnsi="Arial" w:cs="Arial"/>
        </w:rPr>
        <w:t xml:space="preserve">The </w:t>
      </w:r>
      <w:r w:rsidRPr="00633635">
        <w:rPr>
          <w:rFonts w:ascii="Arial" w:hAnsi="Arial" w:cs="Arial"/>
          <w:i/>
          <w:iCs/>
        </w:rPr>
        <w:t xml:space="preserve">Water Resources Act </w:t>
      </w:r>
      <w:r w:rsidR="00796D34" w:rsidRPr="00633635">
        <w:rPr>
          <w:rFonts w:ascii="Arial" w:hAnsi="Arial" w:cs="Arial"/>
          <w:i/>
          <w:iCs/>
        </w:rPr>
        <w:t xml:space="preserve">(ACT) </w:t>
      </w:r>
      <w:r w:rsidRPr="00633635">
        <w:rPr>
          <w:rFonts w:ascii="Arial" w:hAnsi="Arial" w:cs="Arial"/>
          <w:i/>
          <w:iCs/>
        </w:rPr>
        <w:t>(2007)</w:t>
      </w:r>
      <w:r w:rsidRPr="00633635">
        <w:rPr>
          <w:rFonts w:ascii="Arial" w:hAnsi="Arial" w:cs="Arial"/>
        </w:rPr>
        <w:t xml:space="preserve"> is the governing legislation for managing water resources in the ACT. The ACT Environment Protection Authority (EPA) </w:t>
      </w:r>
      <w:r w:rsidR="004F4506" w:rsidRPr="00633635">
        <w:rPr>
          <w:rFonts w:ascii="Arial" w:hAnsi="Arial" w:cs="Arial"/>
        </w:rPr>
        <w:t>administers</w:t>
      </w:r>
      <w:r w:rsidRPr="00633635">
        <w:rPr>
          <w:rFonts w:ascii="Arial" w:hAnsi="Arial" w:cs="Arial"/>
        </w:rPr>
        <w:t xml:space="preserve"> the Act, including the function of water compliance and enforcement</w:t>
      </w:r>
      <w:r w:rsidR="00796D34" w:rsidRPr="00633635">
        <w:rPr>
          <w:rFonts w:ascii="Arial" w:hAnsi="Arial" w:cs="Arial"/>
        </w:rPr>
        <w:t>, whilst the Environment, Planning and Sustainable Development Directorate</w:t>
      </w:r>
      <w:r w:rsidR="00F64DDA" w:rsidRPr="00633635">
        <w:rPr>
          <w:rFonts w:ascii="Arial" w:hAnsi="Arial" w:cs="Arial"/>
        </w:rPr>
        <w:t xml:space="preserve"> is the agency responsible for policy development.</w:t>
      </w:r>
      <w:r w:rsidRPr="00633635">
        <w:rPr>
          <w:rFonts w:ascii="Arial" w:hAnsi="Arial" w:cs="Arial"/>
        </w:rPr>
        <w:t xml:space="preserve"> </w:t>
      </w:r>
    </w:p>
    <w:p w14:paraId="5A443389" w14:textId="0FEED8B3" w:rsidR="00A9207A" w:rsidRPr="00633635" w:rsidRDefault="00A9207A" w:rsidP="00A9207A">
      <w:pPr>
        <w:pStyle w:val="Heading3"/>
        <w:rPr>
          <w:rFonts w:ascii="Arial" w:hAnsi="Arial"/>
        </w:rPr>
      </w:pPr>
      <w:r w:rsidRPr="00633635">
        <w:rPr>
          <w:rFonts w:ascii="Arial" w:hAnsi="Arial"/>
        </w:rPr>
        <w:t xml:space="preserve">Metering, </w:t>
      </w:r>
      <w:proofErr w:type="gramStart"/>
      <w:r w:rsidRPr="00633635">
        <w:rPr>
          <w:rFonts w:ascii="Arial" w:hAnsi="Arial"/>
        </w:rPr>
        <w:t>measurement</w:t>
      </w:r>
      <w:proofErr w:type="gramEnd"/>
      <w:r w:rsidRPr="00633635">
        <w:rPr>
          <w:rFonts w:ascii="Arial" w:hAnsi="Arial"/>
        </w:rPr>
        <w:t xml:space="preserve"> and monitoring</w:t>
      </w:r>
    </w:p>
    <w:p w14:paraId="14F8AFF7" w14:textId="4DD3CB16" w:rsidR="006B0CA7" w:rsidRPr="00633635" w:rsidRDefault="006B0CA7" w:rsidP="006B0CA7">
      <w:pPr>
        <w:pStyle w:val="Heading4"/>
        <w:rPr>
          <w:rFonts w:ascii="Arial" w:hAnsi="Arial"/>
        </w:rPr>
      </w:pPr>
      <w:r w:rsidRPr="00633635">
        <w:rPr>
          <w:rFonts w:ascii="Arial" w:hAnsi="Arial"/>
        </w:rPr>
        <w:t xml:space="preserve">Metering </w:t>
      </w:r>
      <w:r w:rsidR="004F4506" w:rsidRPr="00633635">
        <w:rPr>
          <w:rFonts w:ascii="Arial" w:hAnsi="Arial"/>
        </w:rPr>
        <w:t>and</w:t>
      </w:r>
      <w:r w:rsidRPr="00633635">
        <w:rPr>
          <w:rFonts w:ascii="Arial" w:hAnsi="Arial"/>
        </w:rPr>
        <w:t xml:space="preserve"> measurement</w:t>
      </w:r>
    </w:p>
    <w:p w14:paraId="4EF56AE0" w14:textId="00F68352" w:rsidR="00BA2DEB" w:rsidRPr="00633635" w:rsidRDefault="00BA2DEB" w:rsidP="00BA2DEB">
      <w:pPr>
        <w:rPr>
          <w:rFonts w:ascii="Arial" w:hAnsi="Arial" w:cs="Arial"/>
        </w:rPr>
      </w:pPr>
      <w:r w:rsidRPr="00633635">
        <w:rPr>
          <w:rFonts w:ascii="Arial" w:hAnsi="Arial" w:cs="Arial"/>
        </w:rPr>
        <w:t xml:space="preserve">All water entitlements in the ACT are required to be metered. </w:t>
      </w:r>
      <w:r w:rsidR="006B0CA7" w:rsidRPr="00633635">
        <w:rPr>
          <w:rFonts w:ascii="Arial" w:hAnsi="Arial" w:cs="Arial"/>
        </w:rPr>
        <w:t xml:space="preserve">In </w:t>
      </w:r>
      <w:r w:rsidR="00166060" w:rsidRPr="00633635">
        <w:rPr>
          <w:rFonts w:ascii="Arial" w:hAnsi="Arial" w:cs="Arial"/>
        </w:rPr>
        <w:t>2020</w:t>
      </w:r>
      <w:r w:rsidR="004F4506" w:rsidRPr="00633635">
        <w:rPr>
          <w:rFonts w:ascii="Arial" w:hAnsi="Arial" w:cs="Arial"/>
        </w:rPr>
        <w:t>–</w:t>
      </w:r>
      <w:r w:rsidR="00166060" w:rsidRPr="00633635">
        <w:rPr>
          <w:rFonts w:ascii="Arial" w:hAnsi="Arial" w:cs="Arial"/>
        </w:rPr>
        <w:t>21</w:t>
      </w:r>
      <w:r w:rsidR="006B0CA7" w:rsidRPr="00633635">
        <w:rPr>
          <w:rFonts w:ascii="Arial" w:hAnsi="Arial" w:cs="Arial"/>
        </w:rPr>
        <w:t>, there were 18</w:t>
      </w:r>
      <w:r w:rsidR="00166060" w:rsidRPr="00633635">
        <w:rPr>
          <w:rFonts w:ascii="Arial" w:hAnsi="Arial" w:cs="Arial"/>
        </w:rPr>
        <w:t>2</w:t>
      </w:r>
      <w:r w:rsidR="006B0CA7" w:rsidRPr="00633635">
        <w:rPr>
          <w:rFonts w:ascii="Arial" w:hAnsi="Arial" w:cs="Arial"/>
        </w:rPr>
        <w:t xml:space="preserve"> active water licences</w:t>
      </w:r>
      <w:r w:rsidR="004F4506" w:rsidRPr="00633635">
        <w:rPr>
          <w:rFonts w:ascii="Arial" w:hAnsi="Arial" w:cs="Arial"/>
        </w:rPr>
        <w:t xml:space="preserve"> and</w:t>
      </w:r>
      <w:r w:rsidR="006B0CA7" w:rsidRPr="00633635">
        <w:rPr>
          <w:rFonts w:ascii="Arial" w:hAnsi="Arial" w:cs="Arial"/>
        </w:rPr>
        <w:t xml:space="preserve"> </w:t>
      </w:r>
      <w:r w:rsidR="00166060" w:rsidRPr="00633635">
        <w:rPr>
          <w:rFonts w:ascii="Arial" w:hAnsi="Arial" w:cs="Arial"/>
        </w:rPr>
        <w:t>316</w:t>
      </w:r>
      <w:r w:rsidR="006B0CA7" w:rsidRPr="00633635">
        <w:rPr>
          <w:rFonts w:ascii="Arial" w:hAnsi="Arial" w:cs="Arial"/>
        </w:rPr>
        <w:t xml:space="preserve"> meters in use. </w:t>
      </w:r>
    </w:p>
    <w:p w14:paraId="2DF8EDEA" w14:textId="6375DAE3" w:rsidR="006D5579" w:rsidRPr="00633635" w:rsidRDefault="003F739D" w:rsidP="003F739D">
      <w:pPr>
        <w:pStyle w:val="Heading4"/>
        <w:rPr>
          <w:rStyle w:val="None"/>
          <w:rFonts w:ascii="Arial" w:hAnsi="Arial"/>
        </w:rPr>
      </w:pPr>
      <w:r w:rsidRPr="00633635">
        <w:rPr>
          <w:rStyle w:val="None"/>
          <w:rFonts w:ascii="Arial" w:hAnsi="Arial"/>
        </w:rPr>
        <w:t>Monitoring</w:t>
      </w:r>
    </w:p>
    <w:p w14:paraId="2F5F6F48" w14:textId="77777777" w:rsidR="003F739D" w:rsidRPr="00633635" w:rsidRDefault="003F739D" w:rsidP="003F739D">
      <w:pPr>
        <w:rPr>
          <w:rFonts w:ascii="Arial" w:hAnsi="Arial" w:cs="Arial"/>
        </w:rPr>
      </w:pPr>
      <w:r w:rsidRPr="00633635">
        <w:rPr>
          <w:rFonts w:ascii="Arial" w:hAnsi="Arial" w:cs="Arial"/>
        </w:rPr>
        <w:t>Holders of a licence to take water are typically required to record water meter readings monthly (self-read). There may be reasonable circumstances for less frequent meter reads due to low licence volume (for example, 1 to 5 ML), actual volume of water use, compliance history and the water use activity.</w:t>
      </w:r>
    </w:p>
    <w:p w14:paraId="7B3CF532" w14:textId="495610AD" w:rsidR="003F739D" w:rsidRPr="00633635" w:rsidRDefault="003F739D" w:rsidP="003F739D">
      <w:pPr>
        <w:rPr>
          <w:rFonts w:ascii="Arial" w:hAnsi="Arial" w:cs="Arial"/>
        </w:rPr>
      </w:pPr>
      <w:r w:rsidRPr="00633635">
        <w:rPr>
          <w:rFonts w:ascii="Arial" w:hAnsi="Arial" w:cs="Arial"/>
        </w:rPr>
        <w:t xml:space="preserve">Water use by licensees is analysed annually, and compliance with licence conditions (supply of data, amount of water used) is checked during the accounting process.  </w:t>
      </w:r>
    </w:p>
    <w:p w14:paraId="6C976969" w14:textId="3300CC29" w:rsidR="003F739D" w:rsidRPr="00633635" w:rsidRDefault="00EF277C" w:rsidP="003F739D">
      <w:pPr>
        <w:rPr>
          <w:rFonts w:ascii="Arial" w:hAnsi="Arial" w:cs="Arial"/>
        </w:rPr>
      </w:pPr>
      <w:r w:rsidRPr="00633635">
        <w:rPr>
          <w:rFonts w:ascii="Arial" w:hAnsi="Arial" w:cs="Arial"/>
        </w:rPr>
        <w:t xml:space="preserve">Meter reads are complemented </w:t>
      </w:r>
      <w:r w:rsidR="00F64DDA" w:rsidRPr="00633635">
        <w:rPr>
          <w:rFonts w:ascii="Arial" w:hAnsi="Arial" w:cs="Arial"/>
        </w:rPr>
        <w:t>with</w:t>
      </w:r>
      <w:r w:rsidRPr="00633635">
        <w:rPr>
          <w:rFonts w:ascii="Arial" w:hAnsi="Arial" w:cs="Arial"/>
        </w:rPr>
        <w:t xml:space="preserve"> meter inspections by EPA staff</w:t>
      </w:r>
      <w:r w:rsidR="006174B2" w:rsidRPr="00633635">
        <w:rPr>
          <w:rFonts w:ascii="Arial" w:hAnsi="Arial" w:cs="Arial"/>
        </w:rPr>
        <w:t>. H</w:t>
      </w:r>
      <w:r w:rsidR="00F64DDA" w:rsidRPr="00633635">
        <w:rPr>
          <w:rFonts w:ascii="Arial" w:hAnsi="Arial" w:cs="Arial"/>
        </w:rPr>
        <w:t>owever</w:t>
      </w:r>
      <w:r w:rsidR="006174B2" w:rsidRPr="00633635">
        <w:rPr>
          <w:rFonts w:ascii="Arial" w:hAnsi="Arial" w:cs="Arial"/>
        </w:rPr>
        <w:t>,</w:t>
      </w:r>
      <w:r w:rsidR="00F64DDA" w:rsidRPr="00633635">
        <w:rPr>
          <w:rFonts w:ascii="Arial" w:hAnsi="Arial" w:cs="Arial"/>
        </w:rPr>
        <w:t xml:space="preserve"> o</w:t>
      </w:r>
      <w:r w:rsidRPr="00633635">
        <w:rPr>
          <w:rFonts w:ascii="Arial" w:hAnsi="Arial" w:cs="Arial"/>
        </w:rPr>
        <w:t xml:space="preserve">nly </w:t>
      </w:r>
      <w:r w:rsidR="006174B2" w:rsidRPr="00633635">
        <w:rPr>
          <w:rFonts w:ascii="Arial" w:hAnsi="Arial" w:cs="Arial"/>
        </w:rPr>
        <w:t>one</w:t>
      </w:r>
      <w:r w:rsidRPr="00633635">
        <w:rPr>
          <w:rFonts w:ascii="Arial" w:hAnsi="Arial" w:cs="Arial"/>
        </w:rPr>
        <w:t xml:space="preserve"> meter inspection was undertaken during the 2020</w:t>
      </w:r>
      <w:r w:rsidR="00222C03" w:rsidRPr="00633635">
        <w:rPr>
          <w:rFonts w:ascii="Arial" w:hAnsi="Arial" w:cs="Arial"/>
        </w:rPr>
        <w:t>–</w:t>
      </w:r>
      <w:r w:rsidRPr="00633635">
        <w:rPr>
          <w:rFonts w:ascii="Arial" w:hAnsi="Arial" w:cs="Arial"/>
        </w:rPr>
        <w:t>21 water year</w:t>
      </w:r>
      <w:r w:rsidR="001113D2" w:rsidRPr="00633635">
        <w:rPr>
          <w:rFonts w:ascii="Arial" w:hAnsi="Arial" w:cs="Arial"/>
        </w:rPr>
        <w:t xml:space="preserve"> (compared with 43 inspections in 2018</w:t>
      </w:r>
      <w:r w:rsidR="006174B2" w:rsidRPr="00633635">
        <w:rPr>
          <w:rFonts w:ascii="Arial" w:hAnsi="Arial" w:cs="Arial"/>
        </w:rPr>
        <w:t>–</w:t>
      </w:r>
      <w:r w:rsidR="001113D2" w:rsidRPr="00633635">
        <w:rPr>
          <w:rFonts w:ascii="Arial" w:hAnsi="Arial" w:cs="Arial"/>
        </w:rPr>
        <w:t>19 and 22 inspections in 2019</w:t>
      </w:r>
      <w:r w:rsidR="006174B2" w:rsidRPr="00633635">
        <w:rPr>
          <w:rFonts w:ascii="Arial" w:hAnsi="Arial" w:cs="Arial"/>
        </w:rPr>
        <w:t>–</w:t>
      </w:r>
      <w:r w:rsidR="001113D2" w:rsidRPr="00633635">
        <w:rPr>
          <w:rFonts w:ascii="Arial" w:hAnsi="Arial" w:cs="Arial"/>
        </w:rPr>
        <w:t>20</w:t>
      </w:r>
      <w:r w:rsidR="00B34D0E" w:rsidRPr="00633635">
        <w:rPr>
          <w:rFonts w:ascii="Arial" w:hAnsi="Arial" w:cs="Arial"/>
        </w:rPr>
        <w:t>.</w:t>
      </w:r>
      <w:r w:rsidRPr="00633635">
        <w:rPr>
          <w:rStyle w:val="FootnoteReference"/>
          <w:rFonts w:ascii="Arial" w:hAnsi="Arial" w:cs="Arial"/>
        </w:rPr>
        <w:footnoteReference w:id="19"/>
      </w:r>
      <w:r w:rsidRPr="00633635">
        <w:rPr>
          <w:rFonts w:ascii="Arial" w:hAnsi="Arial" w:cs="Arial"/>
        </w:rPr>
        <w:t xml:space="preserve"> According the 2020</w:t>
      </w:r>
      <w:r w:rsidR="00B34D0E" w:rsidRPr="00633635">
        <w:rPr>
          <w:rFonts w:ascii="Arial" w:hAnsi="Arial" w:cs="Arial"/>
        </w:rPr>
        <w:t>–</w:t>
      </w:r>
      <w:r w:rsidRPr="00633635">
        <w:rPr>
          <w:rFonts w:ascii="Arial" w:hAnsi="Arial" w:cs="Arial"/>
        </w:rPr>
        <w:t xml:space="preserve">21 EPA </w:t>
      </w:r>
      <w:r w:rsidR="00B34D0E" w:rsidRPr="00633635">
        <w:rPr>
          <w:rFonts w:ascii="Arial" w:hAnsi="Arial" w:cs="Arial"/>
        </w:rPr>
        <w:t>a</w:t>
      </w:r>
      <w:r w:rsidRPr="00633635">
        <w:rPr>
          <w:rFonts w:ascii="Arial" w:hAnsi="Arial" w:cs="Arial"/>
        </w:rPr>
        <w:t xml:space="preserve">nnual </w:t>
      </w:r>
      <w:r w:rsidR="00B34D0E" w:rsidRPr="00633635">
        <w:rPr>
          <w:rFonts w:ascii="Arial" w:hAnsi="Arial" w:cs="Arial"/>
        </w:rPr>
        <w:t>r</w:t>
      </w:r>
      <w:r w:rsidRPr="00633635">
        <w:rPr>
          <w:rFonts w:ascii="Arial" w:hAnsi="Arial" w:cs="Arial"/>
        </w:rPr>
        <w:t xml:space="preserve">eport, this low figure was due to </w:t>
      </w:r>
      <w:r w:rsidR="00B34D0E" w:rsidRPr="00633635">
        <w:rPr>
          <w:rFonts w:ascii="Arial" w:hAnsi="Arial" w:cs="Arial"/>
        </w:rPr>
        <w:t>‘</w:t>
      </w:r>
      <w:r w:rsidRPr="00633635">
        <w:rPr>
          <w:rFonts w:ascii="Arial" w:hAnsi="Arial" w:cs="Arial"/>
        </w:rPr>
        <w:t>COVID-19 restrictions early in the year and staff movements in the water regulation team of the EPA</w:t>
      </w:r>
      <w:r w:rsidR="00B34D0E" w:rsidRPr="00633635">
        <w:rPr>
          <w:rFonts w:ascii="Arial" w:hAnsi="Arial" w:cs="Arial"/>
        </w:rPr>
        <w:t>’</w:t>
      </w:r>
      <w:r w:rsidRPr="00633635">
        <w:rPr>
          <w:rFonts w:ascii="Arial" w:hAnsi="Arial" w:cs="Arial"/>
        </w:rPr>
        <w:t xml:space="preserve">. </w:t>
      </w:r>
    </w:p>
    <w:p w14:paraId="62FA9BBA" w14:textId="1FB6DF75" w:rsidR="00FA6D5B" w:rsidRPr="00633635" w:rsidRDefault="00222C03" w:rsidP="00FA6D5B">
      <w:pPr>
        <w:pStyle w:val="Heading3"/>
        <w:rPr>
          <w:rFonts w:ascii="Arial" w:hAnsi="Arial"/>
        </w:rPr>
      </w:pPr>
      <w:r w:rsidRPr="00633635">
        <w:rPr>
          <w:rFonts w:ascii="Arial" w:hAnsi="Arial"/>
        </w:rPr>
        <w:lastRenderedPageBreak/>
        <w:t>Managing</w:t>
      </w:r>
      <w:r w:rsidR="00FA6D5B" w:rsidRPr="00633635">
        <w:rPr>
          <w:rFonts w:ascii="Arial" w:hAnsi="Arial"/>
        </w:rPr>
        <w:t xml:space="preserve"> non-compliance</w:t>
      </w:r>
    </w:p>
    <w:p w14:paraId="1FA76B76" w14:textId="3E2D5D94" w:rsidR="00166060" w:rsidRPr="00633635" w:rsidRDefault="003F739D" w:rsidP="003F739D">
      <w:pPr>
        <w:rPr>
          <w:rFonts w:ascii="Arial" w:hAnsi="Arial" w:cs="Arial"/>
        </w:rPr>
      </w:pPr>
      <w:r w:rsidRPr="00633635">
        <w:rPr>
          <w:rFonts w:ascii="Arial" w:hAnsi="Arial" w:cs="Arial"/>
        </w:rPr>
        <w:t xml:space="preserve">Given the </w:t>
      </w:r>
      <w:r w:rsidR="00222C03" w:rsidRPr="00633635">
        <w:rPr>
          <w:rFonts w:ascii="Arial" w:hAnsi="Arial" w:cs="Arial"/>
        </w:rPr>
        <w:t>small</w:t>
      </w:r>
      <w:r w:rsidRPr="00633635">
        <w:rPr>
          <w:rFonts w:ascii="Arial" w:hAnsi="Arial" w:cs="Arial"/>
        </w:rPr>
        <w:t xml:space="preserve"> scale of non-urban water take in the ACT, enforcement actions are understandably minimal. During 2018</w:t>
      </w:r>
      <w:r w:rsidR="00222C03" w:rsidRPr="00633635">
        <w:rPr>
          <w:rFonts w:ascii="Arial" w:hAnsi="Arial" w:cs="Arial"/>
        </w:rPr>
        <w:t>–</w:t>
      </w:r>
      <w:r w:rsidRPr="00633635">
        <w:rPr>
          <w:rFonts w:ascii="Arial" w:hAnsi="Arial" w:cs="Arial"/>
        </w:rPr>
        <w:t xml:space="preserve">19, two formal warning letters were issued for breaches of licence conditions for no water meter and a faulty water meter. </w:t>
      </w:r>
    </w:p>
    <w:p w14:paraId="47D9AEBE" w14:textId="5A2EF300" w:rsidR="006D5579" w:rsidRPr="00633635" w:rsidRDefault="003F739D" w:rsidP="003F739D">
      <w:pPr>
        <w:rPr>
          <w:rFonts w:ascii="Arial" w:hAnsi="Arial" w:cs="Arial"/>
        </w:rPr>
      </w:pPr>
      <w:r w:rsidRPr="00633635">
        <w:rPr>
          <w:rFonts w:ascii="Arial" w:hAnsi="Arial" w:cs="Arial"/>
        </w:rPr>
        <w:t>No enforcement activities were reported for the 2019</w:t>
      </w:r>
      <w:r w:rsidR="00222C03" w:rsidRPr="00633635">
        <w:rPr>
          <w:rFonts w:ascii="Arial" w:hAnsi="Arial" w:cs="Arial"/>
        </w:rPr>
        <w:t>–</w:t>
      </w:r>
      <w:r w:rsidRPr="00633635">
        <w:rPr>
          <w:rFonts w:ascii="Arial" w:hAnsi="Arial" w:cs="Arial"/>
        </w:rPr>
        <w:t xml:space="preserve">20 </w:t>
      </w:r>
      <w:r w:rsidR="00EF277C" w:rsidRPr="00633635">
        <w:rPr>
          <w:rFonts w:ascii="Arial" w:hAnsi="Arial" w:cs="Arial"/>
        </w:rPr>
        <w:t>or 2020</w:t>
      </w:r>
      <w:r w:rsidR="00222C03" w:rsidRPr="00633635">
        <w:rPr>
          <w:rFonts w:ascii="Arial" w:hAnsi="Arial" w:cs="Arial"/>
        </w:rPr>
        <w:t>–</w:t>
      </w:r>
      <w:r w:rsidR="00EF277C" w:rsidRPr="00633635">
        <w:rPr>
          <w:rFonts w:ascii="Arial" w:hAnsi="Arial" w:cs="Arial"/>
        </w:rPr>
        <w:t xml:space="preserve">21 </w:t>
      </w:r>
      <w:r w:rsidRPr="00633635">
        <w:rPr>
          <w:rFonts w:ascii="Arial" w:hAnsi="Arial" w:cs="Arial"/>
        </w:rPr>
        <w:t>water year</w:t>
      </w:r>
      <w:r w:rsidR="00EF277C" w:rsidRPr="00633635">
        <w:rPr>
          <w:rFonts w:ascii="Arial" w:hAnsi="Arial" w:cs="Arial"/>
        </w:rPr>
        <w:t xml:space="preserve">s. </w:t>
      </w:r>
    </w:p>
    <w:p w14:paraId="0A6952BB" w14:textId="40A508C0" w:rsidR="006D5579" w:rsidRPr="00633635" w:rsidRDefault="006D5579" w:rsidP="006D5579">
      <w:pPr>
        <w:pStyle w:val="Heading3"/>
        <w:rPr>
          <w:rFonts w:ascii="Arial" w:hAnsi="Arial"/>
        </w:rPr>
      </w:pPr>
      <w:r w:rsidRPr="00633635">
        <w:rPr>
          <w:rFonts w:ascii="Arial" w:hAnsi="Arial"/>
        </w:rPr>
        <w:t xml:space="preserve">Public </w:t>
      </w:r>
      <w:r w:rsidR="006174B2" w:rsidRPr="00633635">
        <w:rPr>
          <w:rFonts w:ascii="Arial" w:hAnsi="Arial"/>
        </w:rPr>
        <w:t>reporting</w:t>
      </w:r>
    </w:p>
    <w:p w14:paraId="16E284EE" w14:textId="1CF2A28A" w:rsidR="003F739D" w:rsidRPr="00633635" w:rsidRDefault="003F739D" w:rsidP="0014571C">
      <w:pPr>
        <w:rPr>
          <w:rFonts w:ascii="Arial" w:hAnsi="Arial" w:cs="Arial"/>
        </w:rPr>
      </w:pPr>
      <w:r w:rsidRPr="00633635">
        <w:rPr>
          <w:rFonts w:ascii="Arial" w:hAnsi="Arial" w:cs="Arial"/>
        </w:rPr>
        <w:t xml:space="preserve">The ACT reports on </w:t>
      </w:r>
      <w:r w:rsidR="00463BDC" w:rsidRPr="00633635">
        <w:rPr>
          <w:rFonts w:ascii="Arial" w:hAnsi="Arial" w:cs="Arial"/>
        </w:rPr>
        <w:t>its management of non-urban water use</w:t>
      </w:r>
      <w:r w:rsidRPr="00633635">
        <w:rPr>
          <w:rFonts w:ascii="Arial" w:hAnsi="Arial" w:cs="Arial"/>
        </w:rPr>
        <w:t xml:space="preserve"> </w:t>
      </w:r>
      <w:r w:rsidR="00463BDC" w:rsidRPr="00633635">
        <w:rPr>
          <w:rFonts w:ascii="Arial" w:hAnsi="Arial" w:cs="Arial"/>
        </w:rPr>
        <w:t xml:space="preserve">as </w:t>
      </w:r>
      <w:r w:rsidRPr="00633635">
        <w:rPr>
          <w:rFonts w:ascii="Arial" w:hAnsi="Arial" w:cs="Arial"/>
        </w:rPr>
        <w:t xml:space="preserve">part of the EPA annual report. </w:t>
      </w:r>
      <w:r w:rsidR="00E7098B" w:rsidRPr="00633635">
        <w:rPr>
          <w:rFonts w:ascii="Arial" w:hAnsi="Arial" w:cs="Arial"/>
        </w:rPr>
        <w:t xml:space="preserve">The report includes brief information on licences, </w:t>
      </w:r>
      <w:proofErr w:type="gramStart"/>
      <w:r w:rsidR="00E7098B" w:rsidRPr="00633635">
        <w:rPr>
          <w:rFonts w:ascii="Arial" w:hAnsi="Arial" w:cs="Arial"/>
        </w:rPr>
        <w:t>meters</w:t>
      </w:r>
      <w:proofErr w:type="gramEnd"/>
      <w:r w:rsidR="00E7098B" w:rsidRPr="00633635">
        <w:rPr>
          <w:rFonts w:ascii="Arial" w:hAnsi="Arial" w:cs="Arial"/>
        </w:rPr>
        <w:t xml:space="preserve"> and meter inspections, but it does not include information on compliance and enforcement activities</w:t>
      </w:r>
      <w:r w:rsidR="00AB3EE5" w:rsidRPr="00633635">
        <w:rPr>
          <w:rFonts w:ascii="Arial" w:hAnsi="Arial" w:cs="Arial"/>
        </w:rPr>
        <w:t xml:space="preserve"> of the sort that the other jurisdictions now publish.</w:t>
      </w:r>
    </w:p>
    <w:p w14:paraId="7005AB0C" w14:textId="164D8F03" w:rsidR="00112EBA" w:rsidRPr="00633635" w:rsidRDefault="00112EBA" w:rsidP="00112EBA">
      <w:pPr>
        <w:pStyle w:val="Heading3"/>
        <w:rPr>
          <w:rFonts w:ascii="Arial" w:hAnsi="Arial"/>
        </w:rPr>
      </w:pPr>
      <w:r w:rsidRPr="00633635">
        <w:rPr>
          <w:rFonts w:ascii="Arial" w:hAnsi="Arial"/>
        </w:rPr>
        <w:t xml:space="preserve">Inspector-General </w:t>
      </w:r>
      <w:r w:rsidR="006174B2" w:rsidRPr="00633635">
        <w:rPr>
          <w:rFonts w:ascii="Arial" w:hAnsi="Arial"/>
        </w:rPr>
        <w:t>observations</w:t>
      </w:r>
    </w:p>
    <w:p w14:paraId="475B0C41" w14:textId="272EEF18" w:rsidR="007D5C95" w:rsidRPr="00633635" w:rsidRDefault="00AE3648" w:rsidP="002864E7">
      <w:pPr>
        <w:rPr>
          <w:rFonts w:ascii="Arial" w:hAnsi="Arial" w:cs="Arial"/>
        </w:rPr>
      </w:pPr>
      <w:r w:rsidRPr="00633635">
        <w:rPr>
          <w:rFonts w:ascii="Arial" w:hAnsi="Arial" w:cs="Arial"/>
        </w:rPr>
        <w:t xml:space="preserve">The Pearson </w:t>
      </w:r>
      <w:r w:rsidR="00021F18" w:rsidRPr="00633635">
        <w:rPr>
          <w:rFonts w:ascii="Arial" w:hAnsi="Arial" w:cs="Arial"/>
        </w:rPr>
        <w:t>review</w:t>
      </w:r>
      <w:r w:rsidRPr="00633635">
        <w:rPr>
          <w:rFonts w:ascii="Arial" w:hAnsi="Arial" w:cs="Arial"/>
        </w:rPr>
        <w:t xml:space="preserve"> concluded that the ACT compliance and enforcement framework and governance arrangements are effective and fit for purpose in practical terms, given the </w:t>
      </w:r>
      <w:r w:rsidR="00C94FD4" w:rsidRPr="00633635">
        <w:rPr>
          <w:rFonts w:ascii="Arial" w:hAnsi="Arial" w:cs="Arial"/>
        </w:rPr>
        <w:t>small scale of non-urban water use</w:t>
      </w:r>
      <w:r w:rsidRPr="00633635">
        <w:rPr>
          <w:rFonts w:ascii="Arial" w:hAnsi="Arial" w:cs="Arial"/>
        </w:rPr>
        <w:t xml:space="preserve">. </w:t>
      </w:r>
    </w:p>
    <w:p w14:paraId="6F35D7C6" w14:textId="0B11872C" w:rsidR="00465E5B" w:rsidRPr="00633635" w:rsidRDefault="00AE3648">
      <w:pPr>
        <w:spacing w:after="0"/>
        <w:rPr>
          <w:rFonts w:ascii="Arial" w:hAnsi="Arial" w:cs="Arial"/>
        </w:rPr>
      </w:pPr>
      <w:r w:rsidRPr="00633635">
        <w:rPr>
          <w:rFonts w:ascii="Arial" w:hAnsi="Arial" w:cs="Arial"/>
        </w:rPr>
        <w:t>The overall coverage of meters in the ACT is a strength of the ACT system. Disappointingly</w:t>
      </w:r>
      <w:r w:rsidR="006174B2" w:rsidRPr="00633635">
        <w:rPr>
          <w:rFonts w:ascii="Arial" w:hAnsi="Arial" w:cs="Arial"/>
        </w:rPr>
        <w:t>,</w:t>
      </w:r>
      <w:r w:rsidRPr="00633635">
        <w:rPr>
          <w:rFonts w:ascii="Arial" w:hAnsi="Arial" w:cs="Arial"/>
        </w:rPr>
        <w:t xml:space="preserve"> however, a number of issues raised in the </w:t>
      </w:r>
      <w:hyperlink r:id="rId38" w:history="1">
        <w:r w:rsidR="006C4056" w:rsidRPr="00633635">
          <w:rPr>
            <w:rStyle w:val="Hyperlink"/>
            <w:rFonts w:ascii="Arial" w:hAnsi="Arial" w:cs="Arial"/>
          </w:rPr>
          <w:t xml:space="preserve">Murray–Darling Basin </w:t>
        </w:r>
        <w:r w:rsidRPr="00633635">
          <w:rPr>
            <w:rStyle w:val="Hyperlink"/>
            <w:rFonts w:ascii="Arial" w:hAnsi="Arial" w:cs="Arial"/>
          </w:rPr>
          <w:t>Compliance Compact Assurance Report</w:t>
        </w:r>
      </w:hyperlink>
      <w:r w:rsidR="006C4056" w:rsidRPr="00633635">
        <w:rPr>
          <w:rStyle w:val="Hyperlink"/>
          <w:rFonts w:ascii="Arial" w:hAnsi="Arial" w:cs="Arial"/>
        </w:rPr>
        <w:t xml:space="preserve"> 2020</w:t>
      </w:r>
      <w:r w:rsidRPr="00633635">
        <w:rPr>
          <w:rFonts w:ascii="Arial" w:hAnsi="Arial" w:cs="Arial"/>
        </w:rPr>
        <w:t xml:space="preserve"> have still not been addressed. As that report note</w:t>
      </w:r>
      <w:r w:rsidR="006C4056" w:rsidRPr="00633635">
        <w:rPr>
          <w:rFonts w:ascii="Arial" w:hAnsi="Arial" w:cs="Arial"/>
        </w:rPr>
        <w:t>d</w:t>
      </w:r>
      <w:r w:rsidRPr="00633635">
        <w:rPr>
          <w:rFonts w:ascii="Arial" w:hAnsi="Arial" w:cs="Arial"/>
        </w:rPr>
        <w:t xml:space="preserve">, despite the low risk that the ACT poses at a Basin scale, it is still important that all </w:t>
      </w:r>
      <w:r w:rsidR="000210F5" w:rsidRPr="00633635">
        <w:rPr>
          <w:rFonts w:ascii="Arial" w:hAnsi="Arial" w:cs="Arial"/>
        </w:rPr>
        <w:t xml:space="preserve">Basin </w:t>
      </w:r>
      <w:r w:rsidR="00CD725B" w:rsidRPr="00633635">
        <w:rPr>
          <w:rFonts w:ascii="Arial" w:hAnsi="Arial" w:cs="Arial"/>
        </w:rPr>
        <w:t xml:space="preserve">states </w:t>
      </w:r>
      <w:r w:rsidRPr="00633635">
        <w:rPr>
          <w:rFonts w:ascii="Arial" w:hAnsi="Arial" w:cs="Arial"/>
        </w:rPr>
        <w:t>are held to the same standard</w:t>
      </w:r>
      <w:r w:rsidR="00CD725B" w:rsidRPr="00633635">
        <w:rPr>
          <w:rFonts w:ascii="Arial" w:hAnsi="Arial" w:cs="Arial"/>
        </w:rPr>
        <w:t xml:space="preserve">. </w:t>
      </w:r>
      <w:r w:rsidR="00C7400D" w:rsidRPr="00633635">
        <w:rPr>
          <w:rFonts w:ascii="Arial" w:hAnsi="Arial" w:cs="Arial"/>
        </w:rPr>
        <w:t>Otherwise,</w:t>
      </w:r>
      <w:r w:rsidR="00F64DDA" w:rsidRPr="00633635">
        <w:rPr>
          <w:rFonts w:ascii="Arial" w:hAnsi="Arial" w:cs="Arial"/>
        </w:rPr>
        <w:t xml:space="preserve"> the perception of fairness and equality across the Basin is weakened</w:t>
      </w:r>
      <w:r w:rsidRPr="00633635">
        <w:rPr>
          <w:rFonts w:ascii="Arial" w:hAnsi="Arial" w:cs="Arial"/>
        </w:rPr>
        <w:t xml:space="preserve">. </w:t>
      </w:r>
    </w:p>
    <w:p w14:paraId="72775ECF" w14:textId="71C442A5" w:rsidR="003C2B65" w:rsidRPr="00633635" w:rsidRDefault="003C2B65" w:rsidP="003C2B65">
      <w:pPr>
        <w:pStyle w:val="Heading1"/>
        <w:rPr>
          <w:rFonts w:ascii="Arial" w:hAnsi="Arial" w:cs="Arial"/>
        </w:rPr>
      </w:pPr>
      <w:bookmarkStart w:id="12" w:name="_Toc112142180"/>
      <w:bookmarkStart w:id="13" w:name="_Toc108082615"/>
      <w:r w:rsidRPr="00633635">
        <w:rPr>
          <w:rFonts w:ascii="Arial" w:hAnsi="Arial" w:cs="Arial"/>
        </w:rPr>
        <w:lastRenderedPageBreak/>
        <w:t>Part 2: Key conclusions from the</w:t>
      </w:r>
      <w:r w:rsidR="00BE6035" w:rsidRPr="00633635">
        <w:rPr>
          <w:rFonts w:ascii="Arial" w:hAnsi="Arial" w:cs="Arial"/>
        </w:rPr>
        <w:t xml:space="preserve"> </w:t>
      </w:r>
      <w:r w:rsidRPr="00633635">
        <w:rPr>
          <w:rFonts w:ascii="Arial" w:hAnsi="Arial" w:cs="Arial"/>
        </w:rPr>
        <w:t xml:space="preserve">Pearson </w:t>
      </w:r>
      <w:r w:rsidR="00BE6035" w:rsidRPr="00633635">
        <w:rPr>
          <w:rFonts w:ascii="Arial" w:hAnsi="Arial" w:cs="Arial"/>
        </w:rPr>
        <w:t>review</w:t>
      </w:r>
      <w:bookmarkEnd w:id="12"/>
      <w:r w:rsidRPr="00633635">
        <w:rPr>
          <w:rFonts w:ascii="Arial" w:hAnsi="Arial" w:cs="Arial"/>
        </w:rPr>
        <w:t xml:space="preserve"> </w:t>
      </w:r>
      <w:bookmarkEnd w:id="13"/>
    </w:p>
    <w:p w14:paraId="687D1EE3" w14:textId="51532D16" w:rsidR="003C2B65" w:rsidRPr="00633635" w:rsidRDefault="00D17D2F" w:rsidP="003C2B65">
      <w:pPr>
        <w:rPr>
          <w:rFonts w:ascii="Arial" w:hAnsi="Arial" w:cs="Arial"/>
        </w:rPr>
      </w:pPr>
      <w:r w:rsidRPr="00633635">
        <w:rPr>
          <w:rFonts w:ascii="Arial" w:hAnsi="Arial" w:cs="Arial"/>
        </w:rPr>
        <w:t>Mr</w:t>
      </w:r>
      <w:r w:rsidR="004D4416" w:rsidRPr="00633635">
        <w:rPr>
          <w:rFonts w:ascii="Arial" w:hAnsi="Arial" w:cs="Arial"/>
        </w:rPr>
        <w:t xml:space="preserve"> Pearson</w:t>
      </w:r>
      <w:r w:rsidRPr="00633635">
        <w:rPr>
          <w:rFonts w:ascii="Arial" w:hAnsi="Arial" w:cs="Arial"/>
        </w:rPr>
        <w:t>’s</w:t>
      </w:r>
      <w:r w:rsidR="004D4416" w:rsidRPr="00633635">
        <w:rPr>
          <w:rFonts w:ascii="Arial" w:hAnsi="Arial" w:cs="Arial"/>
        </w:rPr>
        <w:t xml:space="preserve"> review highlighted a number of issues that need</w:t>
      </w:r>
      <w:r w:rsidR="003C2B65" w:rsidRPr="00633635">
        <w:rPr>
          <w:rFonts w:ascii="Arial" w:hAnsi="Arial" w:cs="Arial"/>
        </w:rPr>
        <w:t xml:space="preserve"> addressing to improve compliance and enforcement at a </w:t>
      </w:r>
      <w:r w:rsidRPr="00633635">
        <w:rPr>
          <w:rFonts w:ascii="Arial" w:hAnsi="Arial" w:cs="Arial"/>
        </w:rPr>
        <w:t>whole-of-</w:t>
      </w:r>
      <w:r w:rsidR="003C2B65" w:rsidRPr="00633635">
        <w:rPr>
          <w:rFonts w:ascii="Arial" w:hAnsi="Arial" w:cs="Arial"/>
        </w:rPr>
        <w:t xml:space="preserve">Basin scale and ensure public confidence in </w:t>
      </w:r>
      <w:r w:rsidR="003A6BA3" w:rsidRPr="00633635">
        <w:rPr>
          <w:rFonts w:ascii="Arial" w:hAnsi="Arial" w:cs="Arial"/>
        </w:rPr>
        <w:t>the effective management of the Basin’s resources.</w:t>
      </w:r>
      <w:r w:rsidR="003C2B65" w:rsidRPr="00633635">
        <w:rPr>
          <w:rFonts w:ascii="Arial" w:hAnsi="Arial" w:cs="Arial"/>
        </w:rPr>
        <w:t xml:space="preserve"> </w:t>
      </w:r>
      <w:r w:rsidR="00FD7B86" w:rsidRPr="00633635">
        <w:rPr>
          <w:rFonts w:ascii="Arial" w:hAnsi="Arial" w:cs="Arial"/>
        </w:rPr>
        <w:t xml:space="preserve">The following is an overview of </w:t>
      </w:r>
      <w:r w:rsidR="003A6BA3" w:rsidRPr="00633635">
        <w:rPr>
          <w:rFonts w:ascii="Arial" w:hAnsi="Arial" w:cs="Arial"/>
        </w:rPr>
        <w:t>these key issues.</w:t>
      </w:r>
    </w:p>
    <w:p w14:paraId="2316D5B0" w14:textId="5C1A2019" w:rsidR="003C2B65" w:rsidRPr="00633635" w:rsidRDefault="003C2B65" w:rsidP="003C2B65">
      <w:pPr>
        <w:pStyle w:val="Heading2"/>
        <w:rPr>
          <w:rFonts w:ascii="Arial" w:hAnsi="Arial" w:cs="Arial"/>
        </w:rPr>
      </w:pPr>
      <w:bookmarkStart w:id="14" w:name="_Toc106109682"/>
      <w:bookmarkStart w:id="15" w:name="_Toc108082616"/>
      <w:bookmarkStart w:id="16" w:name="_Toc112142181"/>
      <w:r w:rsidRPr="00633635">
        <w:rPr>
          <w:rFonts w:ascii="Arial" w:hAnsi="Arial" w:cs="Arial"/>
        </w:rPr>
        <w:t>Developing more outcome-focused indicators</w:t>
      </w:r>
      <w:bookmarkEnd w:id="14"/>
      <w:bookmarkEnd w:id="15"/>
      <w:bookmarkEnd w:id="16"/>
    </w:p>
    <w:p w14:paraId="3E109801" w14:textId="6DC7320E" w:rsidR="003C2B65" w:rsidRPr="00633635" w:rsidRDefault="003C2B65" w:rsidP="003C2B65">
      <w:pPr>
        <w:rPr>
          <w:rFonts w:ascii="Arial" w:hAnsi="Arial" w:cs="Arial"/>
        </w:rPr>
      </w:pPr>
      <w:r w:rsidRPr="00633635">
        <w:rPr>
          <w:rFonts w:ascii="Arial" w:hAnsi="Arial" w:cs="Arial"/>
        </w:rPr>
        <w:t>Since the Compliance Compact was agreed in 2018, there has been a marked improvement in the availability of compliance information to communities.</w:t>
      </w:r>
    </w:p>
    <w:p w14:paraId="1DA43AC1" w14:textId="18F0C869" w:rsidR="003C2B65" w:rsidRPr="00633635" w:rsidRDefault="003C2B65" w:rsidP="003C2B65">
      <w:pPr>
        <w:rPr>
          <w:rFonts w:ascii="Arial" w:hAnsi="Arial" w:cs="Arial"/>
        </w:rPr>
      </w:pPr>
      <w:r w:rsidRPr="00633635">
        <w:rPr>
          <w:rFonts w:ascii="Arial" w:hAnsi="Arial" w:cs="Arial"/>
        </w:rPr>
        <w:t>However, the improvement has tended to be in the areas of activities and outputs</w:t>
      </w:r>
      <w:r w:rsidR="006E3385" w:rsidRPr="00633635">
        <w:rPr>
          <w:rFonts w:ascii="Arial" w:hAnsi="Arial" w:cs="Arial"/>
        </w:rPr>
        <w:t xml:space="preserve">. But </w:t>
      </w:r>
      <w:r w:rsidR="006E3385" w:rsidRPr="00633635">
        <w:rPr>
          <w:rStyle w:val="None"/>
          <w:rFonts w:ascii="Arial" w:hAnsi="Arial" w:cs="Arial"/>
        </w:rPr>
        <w:t xml:space="preserve">simply reporting activities </w:t>
      </w:r>
      <w:r w:rsidR="006C3FA0" w:rsidRPr="00633635">
        <w:rPr>
          <w:rStyle w:val="None"/>
          <w:rFonts w:ascii="Arial" w:hAnsi="Arial" w:cs="Arial"/>
        </w:rPr>
        <w:t>does not necessarily show how effective the activities are in achieving desired outcomes</w:t>
      </w:r>
      <w:r w:rsidR="006E3385" w:rsidRPr="00633635">
        <w:rPr>
          <w:rStyle w:val="None"/>
          <w:rFonts w:ascii="Arial" w:hAnsi="Arial" w:cs="Arial"/>
        </w:rPr>
        <w:t xml:space="preserve">. </w:t>
      </w:r>
      <w:r w:rsidR="006E3385" w:rsidRPr="00633635">
        <w:rPr>
          <w:rStyle w:val="None"/>
          <w:rFonts w:ascii="Arial" w:hAnsi="Arial" w:cs="Arial"/>
          <w:u w:color="FF40FF"/>
        </w:rPr>
        <w:t>There is a need to move the focus from activities and outputs to achieving better compliance outcomes.</w:t>
      </w:r>
      <w:r w:rsidRPr="00633635">
        <w:rPr>
          <w:rFonts w:ascii="Arial" w:hAnsi="Arial" w:cs="Arial"/>
        </w:rPr>
        <w:t xml:space="preserve"> </w:t>
      </w:r>
      <w:r w:rsidR="00D17D2F" w:rsidRPr="00633635">
        <w:rPr>
          <w:rFonts w:ascii="Arial" w:hAnsi="Arial" w:cs="Arial"/>
        </w:rPr>
        <w:t xml:space="preserve">A good example of this is Victoria setting targets for unauthorised water take, then reporting against those targets. </w:t>
      </w:r>
    </w:p>
    <w:p w14:paraId="406EB02A" w14:textId="5984A211" w:rsidR="003C2B65" w:rsidRPr="00633635" w:rsidRDefault="002655C3" w:rsidP="003C2B65">
      <w:pPr>
        <w:rPr>
          <w:rStyle w:val="None"/>
          <w:rFonts w:ascii="Arial" w:hAnsi="Arial" w:cs="Arial"/>
        </w:rPr>
      </w:pPr>
      <w:r w:rsidRPr="00633635">
        <w:rPr>
          <w:rFonts w:ascii="Arial" w:hAnsi="Arial" w:cs="Arial"/>
        </w:rPr>
        <w:t>At present t</w:t>
      </w:r>
      <w:r w:rsidR="006B581B" w:rsidRPr="00633635">
        <w:rPr>
          <w:rFonts w:ascii="Arial" w:hAnsi="Arial" w:cs="Arial"/>
        </w:rPr>
        <w:t>here is no</w:t>
      </w:r>
      <w:r w:rsidR="003C2B65" w:rsidRPr="00633635">
        <w:rPr>
          <w:rFonts w:ascii="Arial" w:hAnsi="Arial" w:cs="Arial"/>
        </w:rPr>
        <w:t xml:space="preserve"> established Basin-wide set of key </w:t>
      </w:r>
      <w:r w:rsidR="001113D2" w:rsidRPr="00633635">
        <w:rPr>
          <w:rFonts w:ascii="Arial" w:hAnsi="Arial" w:cs="Arial"/>
        </w:rPr>
        <w:t>indicators</w:t>
      </w:r>
      <w:r w:rsidR="003C2B65" w:rsidRPr="00633635">
        <w:rPr>
          <w:rFonts w:ascii="Arial" w:hAnsi="Arial" w:cs="Arial"/>
        </w:rPr>
        <w:t xml:space="preserve"> </w:t>
      </w:r>
      <w:r w:rsidRPr="00633635">
        <w:rPr>
          <w:rFonts w:ascii="Arial" w:hAnsi="Arial" w:cs="Arial"/>
        </w:rPr>
        <w:t>that would allow</w:t>
      </w:r>
      <w:r w:rsidR="003C2B65" w:rsidRPr="00633635">
        <w:rPr>
          <w:rFonts w:ascii="Arial" w:hAnsi="Arial" w:cs="Arial"/>
        </w:rPr>
        <w:t xml:space="preserve"> </w:t>
      </w:r>
      <w:r w:rsidR="008908D2" w:rsidRPr="00633635">
        <w:rPr>
          <w:rFonts w:ascii="Arial" w:hAnsi="Arial" w:cs="Arial"/>
        </w:rPr>
        <w:t>systematic monitoring</w:t>
      </w:r>
      <w:r w:rsidR="00FD7B86" w:rsidRPr="00633635">
        <w:rPr>
          <w:rFonts w:ascii="Arial" w:hAnsi="Arial" w:cs="Arial"/>
        </w:rPr>
        <w:t xml:space="preserve"> of</w:t>
      </w:r>
      <w:r w:rsidR="003C2B65" w:rsidRPr="00633635">
        <w:rPr>
          <w:rFonts w:ascii="Arial" w:hAnsi="Arial" w:cs="Arial"/>
        </w:rPr>
        <w:t xml:space="preserve"> </w:t>
      </w:r>
      <w:r w:rsidR="00BD565A" w:rsidRPr="00633635">
        <w:rPr>
          <w:rFonts w:ascii="Arial" w:hAnsi="Arial" w:cs="Arial"/>
        </w:rPr>
        <w:t>how effective</w:t>
      </w:r>
      <w:r w:rsidR="003C2B65" w:rsidRPr="00633635">
        <w:rPr>
          <w:rFonts w:ascii="Arial" w:hAnsi="Arial" w:cs="Arial"/>
        </w:rPr>
        <w:t xml:space="preserve"> compliance and enforcement</w:t>
      </w:r>
      <w:r w:rsidR="006E3385" w:rsidRPr="00633635">
        <w:rPr>
          <w:rFonts w:ascii="Arial" w:hAnsi="Arial" w:cs="Arial"/>
        </w:rPr>
        <w:t xml:space="preserve"> activities</w:t>
      </w:r>
      <w:r w:rsidR="00BD565A" w:rsidRPr="00633635">
        <w:rPr>
          <w:rFonts w:ascii="Arial" w:hAnsi="Arial" w:cs="Arial"/>
        </w:rPr>
        <w:t xml:space="preserve"> are in achieving outcomes</w:t>
      </w:r>
      <w:r w:rsidR="003C2B65" w:rsidRPr="00633635">
        <w:rPr>
          <w:rFonts w:ascii="Arial" w:hAnsi="Arial" w:cs="Arial"/>
        </w:rPr>
        <w:t xml:space="preserve">. </w:t>
      </w:r>
    </w:p>
    <w:p w14:paraId="5F11204A" w14:textId="6986E77E" w:rsidR="009E7DE6" w:rsidRPr="00633635" w:rsidRDefault="00597F86" w:rsidP="003C2B65">
      <w:pPr>
        <w:rPr>
          <w:rStyle w:val="None"/>
          <w:rFonts w:ascii="Arial" w:hAnsi="Arial" w:cs="Arial"/>
          <w:u w:color="FF40FF"/>
        </w:rPr>
      </w:pPr>
      <w:r w:rsidRPr="00633635">
        <w:rPr>
          <w:rStyle w:val="None"/>
          <w:rFonts w:ascii="Arial" w:hAnsi="Arial" w:cs="Arial"/>
          <w:u w:color="FF40FF"/>
        </w:rPr>
        <w:t>There is a need for</w:t>
      </w:r>
      <w:r w:rsidR="003C2B65" w:rsidRPr="00633635">
        <w:rPr>
          <w:rStyle w:val="None"/>
          <w:rFonts w:ascii="Arial" w:hAnsi="Arial" w:cs="Arial"/>
          <w:u w:color="FF40FF"/>
        </w:rPr>
        <w:t xml:space="preserve"> a more collaborative approach </w:t>
      </w:r>
      <w:r w:rsidRPr="00633635">
        <w:rPr>
          <w:rStyle w:val="None"/>
          <w:rFonts w:ascii="Arial" w:hAnsi="Arial" w:cs="Arial"/>
          <w:u w:color="FF40FF"/>
        </w:rPr>
        <w:t>to establish Basin-wide</w:t>
      </w:r>
      <w:r w:rsidR="003C2B65" w:rsidRPr="00633635">
        <w:rPr>
          <w:rStyle w:val="None"/>
          <w:rFonts w:ascii="Arial" w:hAnsi="Arial" w:cs="Arial"/>
          <w:u w:color="FF40FF"/>
        </w:rPr>
        <w:t xml:space="preserve"> key indicators </w:t>
      </w:r>
      <w:r w:rsidR="00CA5A5C" w:rsidRPr="00633635">
        <w:rPr>
          <w:rStyle w:val="None"/>
          <w:rFonts w:ascii="Arial" w:hAnsi="Arial" w:cs="Arial"/>
          <w:u w:color="FF40FF"/>
        </w:rPr>
        <w:t xml:space="preserve">and measures </w:t>
      </w:r>
      <w:r w:rsidRPr="00633635">
        <w:rPr>
          <w:rStyle w:val="None"/>
          <w:rFonts w:ascii="Arial" w:hAnsi="Arial" w:cs="Arial"/>
          <w:u w:color="FF40FF"/>
        </w:rPr>
        <w:t>showing</w:t>
      </w:r>
      <w:r w:rsidR="003C2B65" w:rsidRPr="00633635">
        <w:rPr>
          <w:rStyle w:val="None"/>
          <w:rFonts w:ascii="Arial" w:hAnsi="Arial" w:cs="Arial"/>
          <w:u w:color="FF40FF"/>
        </w:rPr>
        <w:t xml:space="preserve"> the effectiveness of compliance activities</w:t>
      </w:r>
      <w:r w:rsidR="00CA5A5C" w:rsidRPr="00633635">
        <w:rPr>
          <w:rStyle w:val="None"/>
          <w:rFonts w:ascii="Arial" w:hAnsi="Arial" w:cs="Arial"/>
          <w:u w:color="FF40FF"/>
        </w:rPr>
        <w:t xml:space="preserve">. </w:t>
      </w:r>
      <w:r w:rsidR="009E7DE6" w:rsidRPr="00633635">
        <w:rPr>
          <w:rStyle w:val="None"/>
          <w:rFonts w:ascii="Arial" w:hAnsi="Arial" w:cs="Arial"/>
          <w:u w:color="FF40FF"/>
        </w:rPr>
        <w:t xml:space="preserve">A collaborative process to develop these indicators would mean this process is owned by all parties, helping to </w:t>
      </w:r>
      <w:r w:rsidR="00595BCE" w:rsidRPr="00633635">
        <w:rPr>
          <w:rStyle w:val="None"/>
          <w:rFonts w:ascii="Arial" w:hAnsi="Arial" w:cs="Arial"/>
          <w:u w:color="FF40FF"/>
        </w:rPr>
        <w:t>lower implementation risk.</w:t>
      </w:r>
    </w:p>
    <w:p w14:paraId="716921FB" w14:textId="1B0CAD75" w:rsidR="003C2B65" w:rsidRPr="00633635" w:rsidRDefault="004C23A6" w:rsidP="003C2B65">
      <w:pPr>
        <w:rPr>
          <w:rStyle w:val="None"/>
          <w:rFonts w:ascii="Arial" w:eastAsia="Helvetica Neue" w:hAnsi="Arial" w:cs="Arial"/>
          <w:u w:color="FF40FF"/>
        </w:rPr>
      </w:pPr>
      <w:r w:rsidRPr="00633635">
        <w:rPr>
          <w:rStyle w:val="None"/>
          <w:rFonts w:ascii="Arial" w:hAnsi="Arial" w:cs="Arial"/>
          <w:u w:color="FF40FF"/>
        </w:rPr>
        <w:t>O</w:t>
      </w:r>
      <w:r w:rsidR="009E7DE6" w:rsidRPr="00633635">
        <w:rPr>
          <w:rStyle w:val="None"/>
          <w:rFonts w:ascii="Arial" w:hAnsi="Arial" w:cs="Arial"/>
          <w:u w:color="FF40FF"/>
        </w:rPr>
        <w:t>utcomes</w:t>
      </w:r>
      <w:r w:rsidRPr="00633635">
        <w:rPr>
          <w:rStyle w:val="None"/>
          <w:rFonts w:ascii="Arial" w:hAnsi="Arial" w:cs="Arial"/>
          <w:u w:color="FF40FF"/>
        </w:rPr>
        <w:t>, as opposed to activities, can</w:t>
      </w:r>
      <w:r w:rsidR="00CA5A5C" w:rsidRPr="00633635">
        <w:rPr>
          <w:rStyle w:val="None"/>
          <w:rFonts w:ascii="Arial" w:hAnsi="Arial" w:cs="Arial"/>
          <w:u w:color="FF40FF"/>
        </w:rPr>
        <w:t xml:space="preserve"> be assessed in a consistent and comparable way both within and between jurisdictions</w:t>
      </w:r>
      <w:r w:rsidR="003C2B65" w:rsidRPr="00633635">
        <w:rPr>
          <w:rStyle w:val="None"/>
          <w:rFonts w:ascii="Arial" w:hAnsi="Arial" w:cs="Arial"/>
          <w:u w:color="FF40FF"/>
        </w:rPr>
        <w:t xml:space="preserve">. </w:t>
      </w:r>
      <w:r w:rsidRPr="00633635">
        <w:rPr>
          <w:rStyle w:val="None"/>
          <w:rFonts w:ascii="Arial" w:hAnsi="Arial" w:cs="Arial"/>
          <w:u w:color="FF40FF"/>
        </w:rPr>
        <w:t xml:space="preserve">The benefit of </w:t>
      </w:r>
      <w:r w:rsidR="008908D2" w:rsidRPr="00633635">
        <w:rPr>
          <w:rStyle w:val="None"/>
          <w:rFonts w:ascii="Arial" w:hAnsi="Arial" w:cs="Arial"/>
          <w:u w:color="FF40FF"/>
        </w:rPr>
        <w:t>outcomes-based</w:t>
      </w:r>
      <w:r w:rsidRPr="00633635">
        <w:rPr>
          <w:rStyle w:val="None"/>
          <w:rFonts w:ascii="Arial" w:hAnsi="Arial" w:cs="Arial"/>
          <w:u w:color="FF40FF"/>
        </w:rPr>
        <w:t xml:space="preserve"> reporting was also noted in the 2021 Compliance Compact Review, where it was noted that by reporting on outcomes </w:t>
      </w:r>
      <w:r w:rsidR="00903621" w:rsidRPr="00633635">
        <w:rPr>
          <w:rStyle w:val="None"/>
          <w:rFonts w:ascii="Arial" w:hAnsi="Arial" w:cs="Arial"/>
          <w:u w:color="FF40FF"/>
        </w:rPr>
        <w:t>‘</w:t>
      </w:r>
      <w:r w:rsidRPr="00633635">
        <w:rPr>
          <w:rFonts w:ascii="Arial" w:hAnsi="Arial" w:cs="Arial"/>
        </w:rPr>
        <w:t>the community will be able to see where further improvement is required and have clear sight of any emerging problems … governments will also be well</w:t>
      </w:r>
      <w:r w:rsidR="00903621" w:rsidRPr="00633635">
        <w:rPr>
          <w:rFonts w:ascii="Arial" w:hAnsi="Arial" w:cs="Arial"/>
        </w:rPr>
        <w:t xml:space="preserve"> </w:t>
      </w:r>
      <w:r w:rsidRPr="00633635">
        <w:rPr>
          <w:rFonts w:ascii="Arial" w:hAnsi="Arial" w:cs="Arial"/>
        </w:rPr>
        <w:t>placed to target existing resources and make new investments in water compliance</w:t>
      </w:r>
      <w:r w:rsidR="00903621" w:rsidRPr="00633635">
        <w:rPr>
          <w:rFonts w:ascii="Arial" w:hAnsi="Arial" w:cs="Arial"/>
        </w:rPr>
        <w:t>.’</w:t>
      </w:r>
      <w:r w:rsidRPr="00633635">
        <w:rPr>
          <w:rStyle w:val="FootnoteReference"/>
          <w:rFonts w:ascii="Arial" w:hAnsi="Arial" w:cs="Arial"/>
        </w:rPr>
        <w:footnoteReference w:id="20"/>
      </w:r>
    </w:p>
    <w:p w14:paraId="69499B82" w14:textId="77777777" w:rsidR="003C2B65" w:rsidRPr="00633635" w:rsidRDefault="003C2B65" w:rsidP="003C2B65">
      <w:pPr>
        <w:pStyle w:val="Heading2"/>
        <w:rPr>
          <w:rFonts w:ascii="Arial" w:hAnsi="Arial" w:cs="Arial"/>
          <w:u w:color="FF40FF"/>
        </w:rPr>
      </w:pPr>
      <w:bookmarkStart w:id="17" w:name="_Toc112142182"/>
      <w:r w:rsidRPr="00633635">
        <w:rPr>
          <w:rFonts w:ascii="Arial" w:hAnsi="Arial" w:cs="Arial"/>
          <w:u w:color="FF40FF"/>
        </w:rPr>
        <w:t>Consistency of enforcement approach</w:t>
      </w:r>
      <w:bookmarkEnd w:id="17"/>
    </w:p>
    <w:p w14:paraId="47DFB7D9" w14:textId="4B99A594" w:rsidR="003C2B65" w:rsidRPr="00633635" w:rsidRDefault="00595BCE" w:rsidP="003C2B65">
      <w:pPr>
        <w:rPr>
          <w:rStyle w:val="None"/>
          <w:rFonts w:ascii="Arial" w:hAnsi="Arial" w:cs="Arial"/>
          <w:szCs w:val="20"/>
          <w:u w:color="FF40FF"/>
        </w:rPr>
      </w:pPr>
      <w:r w:rsidRPr="00633635">
        <w:rPr>
          <w:rFonts w:ascii="Arial" w:hAnsi="Arial" w:cs="Arial"/>
        </w:rPr>
        <w:t>H</w:t>
      </w:r>
      <w:r w:rsidR="003C2B65" w:rsidRPr="00633635">
        <w:rPr>
          <w:rFonts w:ascii="Arial" w:hAnsi="Arial" w:cs="Arial"/>
        </w:rPr>
        <w:t xml:space="preserve">aving a transparent and clear escalation pathway </w:t>
      </w:r>
      <w:r w:rsidR="00742C3D" w:rsidRPr="00633635">
        <w:rPr>
          <w:rFonts w:ascii="Arial" w:hAnsi="Arial" w:cs="Arial"/>
        </w:rPr>
        <w:t>for</w:t>
      </w:r>
      <w:r w:rsidR="003C2B65" w:rsidRPr="00633635">
        <w:rPr>
          <w:rFonts w:ascii="Arial" w:hAnsi="Arial" w:cs="Arial"/>
        </w:rPr>
        <w:t xml:space="preserve"> </w:t>
      </w:r>
      <w:r w:rsidR="006F0C21" w:rsidRPr="00633635">
        <w:rPr>
          <w:rFonts w:ascii="Arial" w:hAnsi="Arial" w:cs="Arial"/>
        </w:rPr>
        <w:t>enforcement actions can improve consistency and increase</w:t>
      </w:r>
      <w:r w:rsidR="003C2B65" w:rsidRPr="00633635">
        <w:rPr>
          <w:rFonts w:ascii="Arial" w:hAnsi="Arial" w:cs="Arial"/>
        </w:rPr>
        <w:t xml:space="preserve"> public faith in the process</w:t>
      </w:r>
      <w:r w:rsidR="0002413E" w:rsidRPr="00633635">
        <w:rPr>
          <w:rFonts w:ascii="Arial" w:hAnsi="Arial" w:cs="Arial"/>
        </w:rPr>
        <w:t xml:space="preserve"> of </w:t>
      </w:r>
      <w:r w:rsidR="004E1009" w:rsidRPr="00633635">
        <w:rPr>
          <w:rFonts w:ascii="Arial" w:hAnsi="Arial" w:cs="Arial"/>
        </w:rPr>
        <w:t>managing</w:t>
      </w:r>
      <w:r w:rsidR="0002413E" w:rsidRPr="00633635">
        <w:rPr>
          <w:rFonts w:ascii="Arial" w:hAnsi="Arial" w:cs="Arial"/>
        </w:rPr>
        <w:t xml:space="preserve"> non-compliance</w:t>
      </w:r>
      <w:r w:rsidR="003C2B65" w:rsidRPr="00633635">
        <w:rPr>
          <w:rFonts w:ascii="Arial" w:hAnsi="Arial" w:cs="Arial"/>
        </w:rPr>
        <w:t>.</w:t>
      </w:r>
      <w:r w:rsidR="003C2B65" w:rsidRPr="00633635">
        <w:rPr>
          <w:rStyle w:val="FootnoteReference"/>
          <w:rFonts w:ascii="Arial" w:hAnsi="Arial" w:cs="Arial"/>
        </w:rPr>
        <w:footnoteReference w:id="21"/>
      </w:r>
    </w:p>
    <w:p w14:paraId="6C9CCFB4" w14:textId="668B9AB2" w:rsidR="003C2B65" w:rsidRPr="00633635" w:rsidRDefault="003C2B65" w:rsidP="003C2B65">
      <w:pPr>
        <w:rPr>
          <w:rFonts w:ascii="Arial" w:hAnsi="Arial" w:cs="Arial"/>
          <w:szCs w:val="20"/>
        </w:rPr>
      </w:pPr>
      <w:r w:rsidRPr="00633635">
        <w:rPr>
          <w:rStyle w:val="None"/>
          <w:rFonts w:ascii="Arial" w:hAnsi="Arial" w:cs="Arial"/>
          <w:szCs w:val="20"/>
        </w:rPr>
        <w:t>There is a need to be more consistent about the ‘water theft’ message</w:t>
      </w:r>
      <w:r w:rsidR="008908D2" w:rsidRPr="00633635">
        <w:rPr>
          <w:rStyle w:val="None"/>
          <w:rFonts w:ascii="Arial" w:hAnsi="Arial" w:cs="Arial"/>
          <w:szCs w:val="20"/>
        </w:rPr>
        <w:t>, and</w:t>
      </w:r>
      <w:r w:rsidR="00903621" w:rsidRPr="00633635">
        <w:rPr>
          <w:rStyle w:val="None"/>
          <w:rFonts w:ascii="Arial" w:hAnsi="Arial" w:cs="Arial"/>
          <w:szCs w:val="20"/>
        </w:rPr>
        <w:t xml:space="preserve"> to</w:t>
      </w:r>
      <w:r w:rsidR="008908D2" w:rsidRPr="00633635">
        <w:rPr>
          <w:rStyle w:val="None"/>
          <w:rFonts w:ascii="Arial" w:hAnsi="Arial" w:cs="Arial"/>
          <w:szCs w:val="20"/>
        </w:rPr>
        <w:t xml:space="preserve"> </w:t>
      </w:r>
      <w:r w:rsidRPr="00633635">
        <w:rPr>
          <w:rStyle w:val="None"/>
          <w:rFonts w:ascii="Arial" w:hAnsi="Arial" w:cs="Arial"/>
          <w:szCs w:val="20"/>
        </w:rPr>
        <w:t>avoid the perceptions</w:t>
      </w:r>
      <w:r w:rsidR="007467B5" w:rsidRPr="00633635">
        <w:rPr>
          <w:rStyle w:val="None"/>
          <w:rFonts w:ascii="Arial" w:hAnsi="Arial" w:cs="Arial"/>
          <w:szCs w:val="20"/>
        </w:rPr>
        <w:t xml:space="preserve"> of inequity</w:t>
      </w:r>
      <w:r w:rsidRPr="00633635">
        <w:rPr>
          <w:rStyle w:val="None"/>
          <w:rFonts w:ascii="Arial" w:hAnsi="Arial" w:cs="Arial"/>
          <w:szCs w:val="20"/>
        </w:rPr>
        <w:t xml:space="preserve"> that can arise when: </w:t>
      </w:r>
    </w:p>
    <w:p w14:paraId="56D91E5B" w14:textId="77777777" w:rsidR="003C2B65" w:rsidRPr="00633635" w:rsidRDefault="003C2B65" w:rsidP="003C2B65">
      <w:pPr>
        <w:pStyle w:val="ListParagraph"/>
        <w:numPr>
          <w:ilvl w:val="0"/>
          <w:numId w:val="20"/>
        </w:numPr>
        <w:rPr>
          <w:rFonts w:ascii="Arial" w:hAnsi="Arial" w:cs="Arial"/>
          <w:sz w:val="20"/>
          <w:szCs w:val="20"/>
        </w:rPr>
      </w:pPr>
      <w:r w:rsidRPr="00633635">
        <w:rPr>
          <w:rStyle w:val="None"/>
          <w:rFonts w:ascii="Arial" w:hAnsi="Arial" w:cs="Arial"/>
          <w:sz w:val="20"/>
          <w:szCs w:val="20"/>
        </w:rPr>
        <w:t xml:space="preserve">enforcement </w:t>
      </w:r>
      <w:r w:rsidRPr="00633635">
        <w:rPr>
          <w:rFonts w:ascii="Arial" w:hAnsi="Arial" w:cs="Arial"/>
          <w:sz w:val="20"/>
          <w:szCs w:val="20"/>
        </w:rPr>
        <w:t>is not predictable and visible</w:t>
      </w:r>
    </w:p>
    <w:p w14:paraId="626E6D89" w14:textId="260FF27F" w:rsidR="003C2B65" w:rsidRPr="00633635" w:rsidRDefault="003C2B65" w:rsidP="003C2B65">
      <w:pPr>
        <w:pStyle w:val="ListParagraph"/>
        <w:numPr>
          <w:ilvl w:val="0"/>
          <w:numId w:val="20"/>
        </w:numPr>
        <w:rPr>
          <w:rFonts w:ascii="Arial" w:hAnsi="Arial" w:cs="Arial"/>
          <w:sz w:val="20"/>
          <w:szCs w:val="20"/>
        </w:rPr>
      </w:pPr>
      <w:r w:rsidRPr="00633635">
        <w:rPr>
          <w:rStyle w:val="None"/>
          <w:rFonts w:ascii="Arial" w:hAnsi="Arial" w:cs="Arial"/>
          <w:sz w:val="20"/>
          <w:szCs w:val="20"/>
        </w:rPr>
        <w:t xml:space="preserve">tolerance thresholds are applied which have not considered cross-jurisdictional harm and which could be perceived as </w:t>
      </w:r>
      <w:r w:rsidR="00595BCE" w:rsidRPr="00633635">
        <w:rPr>
          <w:rStyle w:val="None"/>
          <w:rFonts w:ascii="Arial" w:hAnsi="Arial" w:cs="Arial"/>
          <w:sz w:val="20"/>
          <w:szCs w:val="20"/>
        </w:rPr>
        <w:t>in</w:t>
      </w:r>
      <w:r w:rsidRPr="00633635">
        <w:rPr>
          <w:rStyle w:val="None"/>
          <w:rFonts w:ascii="Arial" w:hAnsi="Arial" w:cs="Arial"/>
          <w:sz w:val="20"/>
          <w:szCs w:val="20"/>
        </w:rPr>
        <w:t xml:space="preserve">consistent </w:t>
      </w:r>
    </w:p>
    <w:p w14:paraId="416D10DD" w14:textId="77777777" w:rsidR="003C2B65" w:rsidRPr="00633635" w:rsidRDefault="003C2B65" w:rsidP="003C2B65">
      <w:pPr>
        <w:pStyle w:val="ListParagraph"/>
        <w:numPr>
          <w:ilvl w:val="0"/>
          <w:numId w:val="20"/>
        </w:numPr>
        <w:rPr>
          <w:rFonts w:ascii="Arial" w:hAnsi="Arial" w:cs="Arial"/>
          <w:sz w:val="20"/>
          <w:szCs w:val="20"/>
        </w:rPr>
      </w:pPr>
      <w:r w:rsidRPr="00633635">
        <w:rPr>
          <w:rStyle w:val="None"/>
          <w:rFonts w:ascii="Arial" w:hAnsi="Arial" w:cs="Arial"/>
          <w:sz w:val="20"/>
          <w:szCs w:val="20"/>
        </w:rPr>
        <w:t>enforcement escalation pathways are not clear and consistent.</w:t>
      </w:r>
    </w:p>
    <w:p w14:paraId="102CBDF0" w14:textId="137432E3" w:rsidR="003C2B65" w:rsidRPr="00633635" w:rsidRDefault="003C2B65" w:rsidP="003C2B65">
      <w:pPr>
        <w:rPr>
          <w:rStyle w:val="None"/>
          <w:rFonts w:ascii="Arial" w:hAnsi="Arial" w:cs="Arial"/>
        </w:rPr>
      </w:pPr>
      <w:r w:rsidRPr="00633635">
        <w:rPr>
          <w:rStyle w:val="None"/>
          <w:rFonts w:ascii="Arial" w:hAnsi="Arial" w:cs="Arial"/>
        </w:rPr>
        <w:t xml:space="preserve">This situation warrants collaborative Basin-wide attention. </w:t>
      </w:r>
      <w:r w:rsidR="00C44438" w:rsidRPr="00633635">
        <w:rPr>
          <w:rStyle w:val="None"/>
          <w:rFonts w:ascii="Arial" w:hAnsi="Arial" w:cs="Arial"/>
        </w:rPr>
        <w:t xml:space="preserve">Better collaboration would also help jurisdictions as they explore </w:t>
      </w:r>
      <w:r w:rsidRPr="00633635">
        <w:rPr>
          <w:rStyle w:val="None"/>
          <w:rFonts w:ascii="Arial" w:hAnsi="Arial" w:cs="Arial"/>
        </w:rPr>
        <w:t>more nuanced options for initiating compliance responses</w:t>
      </w:r>
      <w:r w:rsidR="00C44438" w:rsidRPr="00633635">
        <w:rPr>
          <w:rStyle w:val="None"/>
          <w:rFonts w:ascii="Arial" w:hAnsi="Arial" w:cs="Arial"/>
        </w:rPr>
        <w:t>. F</w:t>
      </w:r>
      <w:r w:rsidRPr="00633635">
        <w:rPr>
          <w:rStyle w:val="None"/>
          <w:rFonts w:ascii="Arial" w:hAnsi="Arial" w:cs="Arial"/>
        </w:rPr>
        <w:t>or example</w:t>
      </w:r>
      <w:r w:rsidR="00C44438" w:rsidRPr="00633635">
        <w:rPr>
          <w:rStyle w:val="None"/>
          <w:rFonts w:ascii="Arial" w:hAnsi="Arial" w:cs="Arial"/>
        </w:rPr>
        <w:t xml:space="preserve">, responses might </w:t>
      </w:r>
      <w:proofErr w:type="gramStart"/>
      <w:r w:rsidR="00C44438" w:rsidRPr="00633635">
        <w:rPr>
          <w:rStyle w:val="None"/>
          <w:rFonts w:ascii="Arial" w:hAnsi="Arial" w:cs="Arial"/>
        </w:rPr>
        <w:t xml:space="preserve">take </w:t>
      </w:r>
      <w:r w:rsidR="008908D2" w:rsidRPr="00633635">
        <w:rPr>
          <w:rStyle w:val="None"/>
          <w:rFonts w:ascii="Arial" w:hAnsi="Arial" w:cs="Arial"/>
        </w:rPr>
        <w:t>into</w:t>
      </w:r>
      <w:r w:rsidR="00C44438" w:rsidRPr="00633635">
        <w:rPr>
          <w:rStyle w:val="None"/>
          <w:rFonts w:ascii="Arial" w:hAnsi="Arial" w:cs="Arial"/>
        </w:rPr>
        <w:t xml:space="preserve"> account</w:t>
      </w:r>
      <w:proofErr w:type="gramEnd"/>
      <w:r w:rsidRPr="00633635">
        <w:rPr>
          <w:rStyle w:val="None"/>
          <w:rFonts w:ascii="Arial" w:hAnsi="Arial" w:cs="Arial"/>
        </w:rPr>
        <w:t>:</w:t>
      </w:r>
    </w:p>
    <w:p w14:paraId="1F7F56E3" w14:textId="0E281E08" w:rsidR="003C2B65" w:rsidRPr="00633635" w:rsidRDefault="003C2B65" w:rsidP="003C2B65">
      <w:pPr>
        <w:pStyle w:val="ListParagraph"/>
        <w:numPr>
          <w:ilvl w:val="0"/>
          <w:numId w:val="21"/>
        </w:numPr>
        <w:rPr>
          <w:rStyle w:val="None"/>
          <w:rFonts w:ascii="Arial" w:hAnsi="Arial" w:cs="Arial"/>
          <w:color w:val="000000"/>
          <w:sz w:val="20"/>
          <w:szCs w:val="20"/>
          <w:u w:color="000000"/>
          <w:lang w:val="en-US" w:eastAsia="en-AU"/>
          <w14:textOutline w14:w="12700" w14:cap="flat" w14:cmpd="sng" w14:algn="ctr">
            <w14:noFill/>
            <w14:prstDash w14:val="solid"/>
            <w14:miter w14:lim="400000"/>
          </w14:textOutline>
        </w:rPr>
      </w:pPr>
      <w:r w:rsidRPr="00633635">
        <w:rPr>
          <w:rStyle w:val="None"/>
          <w:rFonts w:ascii="Arial" w:hAnsi="Arial" w:cs="Arial"/>
          <w:sz w:val="20"/>
          <w:szCs w:val="20"/>
        </w:rPr>
        <w:t>thresholds of both absolute volume and proportion of allocation/entitlement, when deciding whether breaches are significant</w:t>
      </w:r>
    </w:p>
    <w:p w14:paraId="73350CDE" w14:textId="77777777" w:rsidR="003C2B65" w:rsidRPr="00633635" w:rsidRDefault="003C2B65" w:rsidP="003C2B65">
      <w:pPr>
        <w:pStyle w:val="ListParagraph"/>
        <w:numPr>
          <w:ilvl w:val="0"/>
          <w:numId w:val="21"/>
        </w:numPr>
        <w:rPr>
          <w:rStyle w:val="None"/>
          <w:rFonts w:ascii="Arial" w:hAnsi="Arial" w:cs="Arial"/>
          <w:sz w:val="20"/>
          <w:szCs w:val="20"/>
        </w:rPr>
      </w:pPr>
      <w:r w:rsidRPr="00633635">
        <w:rPr>
          <w:rStyle w:val="None"/>
          <w:rFonts w:ascii="Arial" w:hAnsi="Arial" w:cs="Arial"/>
          <w:sz w:val="20"/>
          <w:szCs w:val="20"/>
        </w:rPr>
        <w:t>incidence of breaches within timeframes</w:t>
      </w:r>
    </w:p>
    <w:p w14:paraId="553B88A6" w14:textId="235EBD22" w:rsidR="003C2B65" w:rsidRPr="00633635" w:rsidRDefault="003C2B65" w:rsidP="003C2B65">
      <w:pPr>
        <w:pStyle w:val="ListParagraph"/>
        <w:numPr>
          <w:ilvl w:val="0"/>
          <w:numId w:val="21"/>
        </w:numPr>
        <w:rPr>
          <w:rStyle w:val="None"/>
          <w:rFonts w:ascii="Arial" w:hAnsi="Arial" w:cs="Arial"/>
          <w:sz w:val="20"/>
          <w:szCs w:val="20"/>
        </w:rPr>
      </w:pPr>
      <w:r w:rsidRPr="00633635">
        <w:rPr>
          <w:rStyle w:val="None"/>
          <w:rFonts w:ascii="Arial" w:hAnsi="Arial" w:cs="Arial"/>
          <w:sz w:val="20"/>
          <w:szCs w:val="20"/>
        </w:rPr>
        <w:t xml:space="preserve">timeliness of water trades so accounts are not overdrawn. </w:t>
      </w:r>
    </w:p>
    <w:p w14:paraId="67F626A3" w14:textId="77777777" w:rsidR="003C2B65" w:rsidRPr="00633635" w:rsidRDefault="003C2B65" w:rsidP="003C2B65">
      <w:pPr>
        <w:pStyle w:val="Heading2"/>
        <w:rPr>
          <w:rStyle w:val="None"/>
          <w:rFonts w:ascii="Arial" w:eastAsia="Helvetica Neue" w:hAnsi="Arial" w:cs="Arial"/>
          <w:color w:val="auto"/>
          <w:u w:val="single" w:color="FF40FF"/>
        </w:rPr>
      </w:pPr>
      <w:bookmarkStart w:id="18" w:name="_Toc106109685"/>
      <w:bookmarkStart w:id="19" w:name="_Toc108082618"/>
      <w:bookmarkStart w:id="20" w:name="_Toc112142183"/>
      <w:r w:rsidRPr="00633635">
        <w:rPr>
          <w:rFonts w:ascii="Arial" w:hAnsi="Arial" w:cs="Arial"/>
          <w:u w:color="FF40FF"/>
        </w:rPr>
        <w:lastRenderedPageBreak/>
        <w:t>Improving transparency</w:t>
      </w:r>
      <w:bookmarkEnd w:id="18"/>
      <w:bookmarkEnd w:id="19"/>
      <w:bookmarkEnd w:id="20"/>
    </w:p>
    <w:p w14:paraId="3648C4A6" w14:textId="4CD6AC81" w:rsidR="000A7B5B" w:rsidRPr="00633635" w:rsidRDefault="001A3047" w:rsidP="000A7B5B">
      <w:pPr>
        <w:rPr>
          <w:rFonts w:ascii="Arial" w:hAnsi="Arial" w:cs="Arial"/>
        </w:rPr>
      </w:pPr>
      <w:r w:rsidRPr="00633635">
        <w:rPr>
          <w:rFonts w:ascii="Arial" w:hAnsi="Arial" w:cs="Arial"/>
          <w:szCs w:val="20"/>
          <w:u w:color="FF40FF"/>
        </w:rPr>
        <w:t xml:space="preserve">As noted above, the </w:t>
      </w:r>
      <w:r w:rsidR="008B657F" w:rsidRPr="00633635">
        <w:rPr>
          <w:rFonts w:ascii="Arial" w:hAnsi="Arial" w:cs="Arial"/>
          <w:szCs w:val="20"/>
          <w:u w:color="FF40FF"/>
        </w:rPr>
        <w:t>level and detail</w:t>
      </w:r>
      <w:r w:rsidRPr="00633635">
        <w:rPr>
          <w:rFonts w:ascii="Arial" w:hAnsi="Arial" w:cs="Arial"/>
          <w:szCs w:val="20"/>
          <w:u w:color="FF40FF"/>
        </w:rPr>
        <w:t xml:space="preserve"> of compliance information available to the Basin community is </w:t>
      </w:r>
      <w:r w:rsidR="008B657F" w:rsidRPr="00633635">
        <w:rPr>
          <w:rFonts w:ascii="Arial" w:hAnsi="Arial" w:cs="Arial"/>
          <w:szCs w:val="20"/>
          <w:u w:color="FF40FF"/>
        </w:rPr>
        <w:t xml:space="preserve">far greater than it was several years ago. However, there is still </w:t>
      </w:r>
      <w:proofErr w:type="gramStart"/>
      <w:r w:rsidR="008B657F" w:rsidRPr="00633635">
        <w:rPr>
          <w:rFonts w:ascii="Arial" w:hAnsi="Arial" w:cs="Arial"/>
          <w:szCs w:val="20"/>
          <w:u w:color="FF40FF"/>
        </w:rPr>
        <w:t>progress</w:t>
      </w:r>
      <w:proofErr w:type="gramEnd"/>
      <w:r w:rsidR="008B657F" w:rsidRPr="00633635">
        <w:rPr>
          <w:rFonts w:ascii="Arial" w:hAnsi="Arial" w:cs="Arial"/>
          <w:szCs w:val="20"/>
          <w:u w:color="FF40FF"/>
        </w:rPr>
        <w:t xml:space="preserve"> to be made in this regard.</w:t>
      </w:r>
      <w:r w:rsidRPr="00633635">
        <w:rPr>
          <w:rFonts w:ascii="Arial" w:hAnsi="Arial" w:cs="Arial"/>
          <w:szCs w:val="20"/>
          <w:u w:color="FF40FF"/>
        </w:rPr>
        <w:t xml:space="preserve"> </w:t>
      </w:r>
      <w:r w:rsidR="000A7B5B" w:rsidRPr="00633635">
        <w:rPr>
          <w:rFonts w:ascii="Arial" w:hAnsi="Arial" w:cs="Arial"/>
        </w:rPr>
        <w:t xml:space="preserve">Approaches to compliance reporting vary by jurisdiction. Individually they are at least adequate. However, it would be beneficial if there were greater consistency of structure, </w:t>
      </w:r>
      <w:proofErr w:type="gramStart"/>
      <w:r w:rsidR="000A7B5B" w:rsidRPr="00633635">
        <w:rPr>
          <w:rFonts w:ascii="Arial" w:hAnsi="Arial" w:cs="Arial"/>
        </w:rPr>
        <w:t>coverage</w:t>
      </w:r>
      <w:proofErr w:type="gramEnd"/>
      <w:r w:rsidR="000A7B5B" w:rsidRPr="00633635">
        <w:rPr>
          <w:rFonts w:ascii="Arial" w:hAnsi="Arial" w:cs="Arial"/>
        </w:rPr>
        <w:t xml:space="preserve"> and approach, both within and across jurisdictions. </w:t>
      </w:r>
    </w:p>
    <w:p w14:paraId="465C5F54" w14:textId="1DB0D1F4" w:rsidR="002001FE" w:rsidRPr="00633635" w:rsidRDefault="000A7B5B" w:rsidP="003C2B65">
      <w:pPr>
        <w:rPr>
          <w:rFonts w:ascii="Arial" w:hAnsi="Arial" w:cs="Arial"/>
          <w:szCs w:val="20"/>
          <w:u w:color="FF40FF"/>
        </w:rPr>
      </w:pPr>
      <w:r w:rsidRPr="00633635">
        <w:rPr>
          <w:rFonts w:ascii="Arial" w:hAnsi="Arial" w:cs="Arial"/>
          <w:szCs w:val="20"/>
          <w:u w:color="FF40FF"/>
        </w:rPr>
        <w:t>As an</w:t>
      </w:r>
      <w:r w:rsidR="00555D78" w:rsidRPr="00633635">
        <w:rPr>
          <w:rFonts w:ascii="Arial" w:hAnsi="Arial" w:cs="Arial"/>
          <w:szCs w:val="20"/>
          <w:u w:color="FF40FF"/>
        </w:rPr>
        <w:t xml:space="preserve"> example, information on enforcement </w:t>
      </w:r>
      <w:r w:rsidR="000B76B9" w:rsidRPr="00633635">
        <w:rPr>
          <w:rFonts w:ascii="Arial" w:hAnsi="Arial" w:cs="Arial"/>
          <w:szCs w:val="20"/>
          <w:u w:color="FF40FF"/>
        </w:rPr>
        <w:t>activities</w:t>
      </w:r>
      <w:r w:rsidR="00555D78" w:rsidRPr="00633635">
        <w:rPr>
          <w:rFonts w:ascii="Arial" w:hAnsi="Arial" w:cs="Arial"/>
          <w:szCs w:val="20"/>
          <w:u w:color="FF40FF"/>
        </w:rPr>
        <w:t xml:space="preserve"> currently ranges</w:t>
      </w:r>
      <w:r w:rsidR="00164A9B" w:rsidRPr="00633635">
        <w:rPr>
          <w:rFonts w:ascii="Arial" w:hAnsi="Arial" w:cs="Arial"/>
          <w:szCs w:val="20"/>
          <w:u w:color="FF40FF"/>
        </w:rPr>
        <w:t xml:space="preserve"> from a brief section embedded in an annual report to a fully interactive public register of enforcement actions </w:t>
      </w:r>
      <w:r w:rsidR="00903621" w:rsidRPr="00633635">
        <w:rPr>
          <w:rFonts w:ascii="Arial" w:hAnsi="Arial" w:cs="Arial"/>
          <w:szCs w:val="20"/>
          <w:u w:color="FF40FF"/>
        </w:rPr>
        <w:t xml:space="preserve">that allows </w:t>
      </w:r>
      <w:r w:rsidR="00164A9B" w:rsidRPr="00633635">
        <w:rPr>
          <w:rFonts w:ascii="Arial" w:hAnsi="Arial" w:cs="Arial"/>
          <w:szCs w:val="20"/>
          <w:u w:color="FF40FF"/>
        </w:rPr>
        <w:t xml:space="preserve">users to search by location, type of enforcement, and date of the compliance breach. </w:t>
      </w:r>
    </w:p>
    <w:p w14:paraId="1444E5F6" w14:textId="77777777" w:rsidR="000A7B5B" w:rsidRPr="00633635" w:rsidRDefault="000A7B5B" w:rsidP="000A7B5B">
      <w:pPr>
        <w:rPr>
          <w:rFonts w:ascii="Arial" w:hAnsi="Arial" w:cs="Arial"/>
        </w:rPr>
      </w:pPr>
      <w:r w:rsidRPr="00633635">
        <w:rPr>
          <w:rFonts w:ascii="Arial" w:hAnsi="Arial" w:cs="Arial"/>
        </w:rPr>
        <w:t xml:space="preserve">There would be merit in establishing core criteria, guidance, </w:t>
      </w:r>
      <w:proofErr w:type="gramStart"/>
      <w:r w:rsidRPr="00633635">
        <w:rPr>
          <w:rFonts w:ascii="Arial" w:hAnsi="Arial" w:cs="Arial"/>
        </w:rPr>
        <w:t>checklists</w:t>
      </w:r>
      <w:proofErr w:type="gramEnd"/>
      <w:r w:rsidRPr="00633635">
        <w:rPr>
          <w:rFonts w:ascii="Arial" w:hAnsi="Arial" w:cs="Arial"/>
        </w:rPr>
        <w:t xml:space="preserve"> and reporting formats to facilitate more objective comparisons and analysis across the Basin. This need not impinge on the autonomy of individual jurisdictions.</w:t>
      </w:r>
    </w:p>
    <w:p w14:paraId="6F6A6BA4" w14:textId="77777777" w:rsidR="003C2B65" w:rsidRPr="00633635" w:rsidRDefault="003C2B65" w:rsidP="003C2B65">
      <w:pPr>
        <w:pStyle w:val="Heading2"/>
        <w:rPr>
          <w:rStyle w:val="None"/>
          <w:rFonts w:ascii="Arial" w:eastAsia="Helvetica Neue" w:hAnsi="Arial" w:cs="Arial"/>
          <w:color w:val="auto"/>
          <w:u w:val="single" w:color="FF40FF"/>
        </w:rPr>
      </w:pPr>
      <w:bookmarkStart w:id="21" w:name="_Toc106109686"/>
      <w:bookmarkStart w:id="22" w:name="_Toc108082619"/>
      <w:bookmarkStart w:id="23" w:name="_Toc112142184"/>
      <w:r w:rsidRPr="00633635">
        <w:rPr>
          <w:rFonts w:ascii="Arial" w:hAnsi="Arial" w:cs="Arial"/>
          <w:u w:color="FF40FF"/>
        </w:rPr>
        <w:t>Advancing collaboration</w:t>
      </w:r>
      <w:bookmarkEnd w:id="21"/>
      <w:bookmarkEnd w:id="22"/>
      <w:bookmarkEnd w:id="23"/>
    </w:p>
    <w:p w14:paraId="0C4B3170" w14:textId="30470D10" w:rsidR="003C2B65" w:rsidRPr="00633635" w:rsidRDefault="0002413E" w:rsidP="003C2B65">
      <w:pPr>
        <w:rPr>
          <w:rFonts w:ascii="Arial" w:hAnsi="Arial" w:cs="Arial"/>
        </w:rPr>
      </w:pPr>
      <w:r w:rsidRPr="00633635">
        <w:rPr>
          <w:rFonts w:ascii="Arial" w:hAnsi="Arial" w:cs="Arial"/>
        </w:rPr>
        <w:t>Basin-wide improvements in compliance and enforcement will require</w:t>
      </w:r>
      <w:r w:rsidR="003C2B65" w:rsidRPr="00633635">
        <w:rPr>
          <w:rFonts w:ascii="Arial" w:hAnsi="Arial" w:cs="Arial"/>
        </w:rPr>
        <w:t xml:space="preserve"> cultural change and a more objective, outcomes-focused </w:t>
      </w:r>
      <w:r w:rsidR="001A3047" w:rsidRPr="00633635">
        <w:rPr>
          <w:rFonts w:ascii="Arial" w:hAnsi="Arial" w:cs="Arial"/>
        </w:rPr>
        <w:t>collaborative effort</w:t>
      </w:r>
      <w:r w:rsidR="003C2B65" w:rsidRPr="00633635">
        <w:rPr>
          <w:rFonts w:ascii="Arial" w:hAnsi="Arial" w:cs="Arial"/>
        </w:rPr>
        <w:t xml:space="preserve"> across jurisdictions.</w:t>
      </w:r>
    </w:p>
    <w:p w14:paraId="02A47507" w14:textId="512C6DB7" w:rsidR="003439D3" w:rsidRPr="00633635" w:rsidRDefault="003439D3" w:rsidP="003439D3">
      <w:pPr>
        <w:rPr>
          <w:rStyle w:val="None"/>
          <w:rFonts w:ascii="Arial" w:hAnsi="Arial" w:cs="Arial"/>
          <w:u w:color="FF40FF"/>
        </w:rPr>
      </w:pPr>
      <w:r w:rsidRPr="00633635">
        <w:rPr>
          <w:rStyle w:val="None"/>
          <w:rFonts w:ascii="Arial" w:hAnsi="Arial" w:cs="Arial"/>
          <w:u w:color="FF40FF"/>
        </w:rPr>
        <w:t>At present there is a lack of agreed standards and benchmarks. Most of the task ahead is to revisit the range of approaches that individual jurisdictions have adopted over time, and to revise those approaches</w:t>
      </w:r>
      <w:r w:rsidR="00FC60B5" w:rsidRPr="00633635">
        <w:rPr>
          <w:rStyle w:val="None"/>
          <w:rFonts w:ascii="Arial" w:hAnsi="Arial" w:cs="Arial"/>
          <w:u w:color="FF40FF"/>
        </w:rPr>
        <w:t xml:space="preserve"> as appropriate</w:t>
      </w:r>
      <w:r w:rsidRPr="00633635">
        <w:rPr>
          <w:rStyle w:val="None"/>
          <w:rFonts w:ascii="Arial" w:hAnsi="Arial" w:cs="Arial"/>
          <w:u w:color="FF40FF"/>
        </w:rPr>
        <w:t xml:space="preserve"> in light of today’s standards and circumstances.</w:t>
      </w:r>
    </w:p>
    <w:p w14:paraId="3542CB79" w14:textId="6B4701F4" w:rsidR="00411BD9" w:rsidRPr="00633635" w:rsidRDefault="00411BD9" w:rsidP="00411BD9">
      <w:pPr>
        <w:rPr>
          <w:rFonts w:ascii="Arial" w:hAnsi="Arial" w:cs="Arial"/>
          <w:u w:color="FF40FF"/>
        </w:rPr>
      </w:pPr>
      <w:r w:rsidRPr="00633635">
        <w:rPr>
          <w:rFonts w:ascii="Arial" w:hAnsi="Arial" w:cs="Arial"/>
          <w:u w:color="FF40FF"/>
        </w:rPr>
        <w:t xml:space="preserve">It appears that few of the issues inhibiting consistent compliance and enforcement across the Basin relate to legislative provisions. Most of the task ahead is to revisit, from a Basin-wide perspective, the range of approaches that individual jurisdictions have adopted over time, so that similarities and differences are </w:t>
      </w:r>
      <w:r w:rsidR="00595BCE" w:rsidRPr="00633635">
        <w:rPr>
          <w:rFonts w:ascii="Arial" w:hAnsi="Arial" w:cs="Arial"/>
          <w:u w:color="FF40FF"/>
        </w:rPr>
        <w:t xml:space="preserve">clearly </w:t>
      </w:r>
      <w:r w:rsidRPr="00633635">
        <w:rPr>
          <w:rFonts w:ascii="Arial" w:hAnsi="Arial" w:cs="Arial"/>
          <w:u w:color="FF40FF"/>
        </w:rPr>
        <w:t>understood</w:t>
      </w:r>
      <w:r w:rsidR="00595BCE" w:rsidRPr="00633635">
        <w:rPr>
          <w:rFonts w:ascii="Arial" w:hAnsi="Arial" w:cs="Arial"/>
          <w:u w:color="FF40FF"/>
        </w:rPr>
        <w:t xml:space="preserve"> and documented</w:t>
      </w:r>
      <w:r w:rsidRPr="00633635">
        <w:rPr>
          <w:rFonts w:ascii="Arial" w:hAnsi="Arial" w:cs="Arial"/>
          <w:u w:color="FF40FF"/>
        </w:rPr>
        <w:t xml:space="preserve">; and to reconcile or revise approaches in the context of contemporary standards and circumstances. </w:t>
      </w:r>
    </w:p>
    <w:p w14:paraId="3BB44F28" w14:textId="0D46B590" w:rsidR="003C2B65" w:rsidRPr="00633635" w:rsidRDefault="003C2B65" w:rsidP="003C2B65">
      <w:pPr>
        <w:rPr>
          <w:rStyle w:val="None"/>
          <w:rFonts w:ascii="Arial" w:eastAsia="Helvetica Neue" w:hAnsi="Arial" w:cs="Arial"/>
          <w:u w:color="FF40FF"/>
        </w:rPr>
      </w:pPr>
      <w:r w:rsidRPr="00633635">
        <w:rPr>
          <w:rStyle w:val="None"/>
          <w:rFonts w:ascii="Arial" w:hAnsi="Arial" w:cs="Arial"/>
          <w:u w:color="FF40FF"/>
        </w:rPr>
        <w:t xml:space="preserve">A threshold challenge is to </w:t>
      </w:r>
      <w:r w:rsidR="002B28D9" w:rsidRPr="00633635">
        <w:rPr>
          <w:rStyle w:val="None"/>
          <w:rFonts w:ascii="Arial" w:hAnsi="Arial" w:cs="Arial"/>
          <w:u w:color="FF40FF"/>
        </w:rPr>
        <w:t>commit</w:t>
      </w:r>
      <w:r w:rsidRPr="00633635">
        <w:rPr>
          <w:rStyle w:val="None"/>
          <w:rFonts w:ascii="Arial" w:hAnsi="Arial" w:cs="Arial"/>
          <w:u w:color="FF40FF"/>
        </w:rPr>
        <w:t xml:space="preserve"> to providing understandable compliance information. </w:t>
      </w:r>
      <w:r w:rsidR="000210F5" w:rsidRPr="00633635">
        <w:rPr>
          <w:rStyle w:val="None"/>
          <w:rFonts w:ascii="Arial" w:hAnsi="Arial" w:cs="Arial"/>
          <w:u w:color="FF40FF"/>
        </w:rPr>
        <w:t xml:space="preserve">Basin </w:t>
      </w:r>
      <w:r w:rsidR="00492C2C" w:rsidRPr="00633635">
        <w:rPr>
          <w:rStyle w:val="None"/>
          <w:rFonts w:ascii="Arial" w:hAnsi="Arial" w:cs="Arial"/>
          <w:u w:color="FF40FF"/>
        </w:rPr>
        <w:t>s</w:t>
      </w:r>
      <w:r w:rsidR="000210F5" w:rsidRPr="00633635">
        <w:rPr>
          <w:rStyle w:val="None"/>
          <w:rFonts w:ascii="Arial" w:hAnsi="Arial" w:cs="Arial"/>
          <w:u w:color="FF40FF"/>
        </w:rPr>
        <w:t>tates</w:t>
      </w:r>
      <w:r w:rsidRPr="00633635">
        <w:rPr>
          <w:rStyle w:val="None"/>
          <w:rFonts w:ascii="Arial" w:hAnsi="Arial" w:cs="Arial"/>
          <w:u w:color="FF40FF"/>
        </w:rPr>
        <w:t xml:space="preserve"> can provide assurance about compliance standards to the Inspector-General, and the Inspector-General can work to strengthen compliance and improve trust across the Basin.</w:t>
      </w:r>
    </w:p>
    <w:p w14:paraId="24773D82" w14:textId="372E0069" w:rsidR="003C2B65" w:rsidRPr="00633635" w:rsidRDefault="003C2B65" w:rsidP="003C2B65">
      <w:pPr>
        <w:rPr>
          <w:rFonts w:ascii="Arial" w:hAnsi="Arial" w:cs="Arial"/>
        </w:rPr>
      </w:pPr>
      <w:r w:rsidRPr="00633635">
        <w:rPr>
          <w:rFonts w:ascii="Arial" w:hAnsi="Arial" w:cs="Arial"/>
        </w:rPr>
        <w:t xml:space="preserve">Across jurisdictions there are many examples of better practice, but all jurisdictions have room for improvement. A collaborative approach offers benefits that will undoubtedly outweigh the investment required. </w:t>
      </w:r>
    </w:p>
    <w:p w14:paraId="7AD28CC4" w14:textId="77B1EA18" w:rsidR="00D82E5A" w:rsidRPr="00633635" w:rsidRDefault="00D82E5A" w:rsidP="003C2B65">
      <w:pPr>
        <w:rPr>
          <w:rFonts w:ascii="Arial" w:hAnsi="Arial" w:cs="Arial"/>
        </w:rPr>
      </w:pPr>
      <w:r w:rsidRPr="00633635">
        <w:rPr>
          <w:rFonts w:ascii="Arial" w:hAnsi="Arial" w:cs="Arial"/>
        </w:rPr>
        <w:br w:type="page"/>
      </w:r>
    </w:p>
    <w:p w14:paraId="3ACA07AA" w14:textId="4D91B1A5" w:rsidR="003C2B65" w:rsidRPr="00633635" w:rsidRDefault="003C2B65" w:rsidP="003C2B65">
      <w:pPr>
        <w:pStyle w:val="Heading1"/>
        <w:rPr>
          <w:rFonts w:ascii="Arial" w:hAnsi="Arial" w:cs="Arial"/>
        </w:rPr>
      </w:pPr>
      <w:bookmarkStart w:id="24" w:name="_Toc108082622"/>
      <w:bookmarkStart w:id="25" w:name="_Toc112142185"/>
      <w:r w:rsidRPr="00633635">
        <w:rPr>
          <w:rFonts w:ascii="Arial" w:hAnsi="Arial" w:cs="Arial"/>
        </w:rPr>
        <w:lastRenderedPageBreak/>
        <w:t xml:space="preserve">Part 3: </w:t>
      </w:r>
      <w:bookmarkEnd w:id="24"/>
      <w:r w:rsidR="00BA3D6C" w:rsidRPr="00633635">
        <w:rPr>
          <w:rFonts w:ascii="Arial" w:hAnsi="Arial" w:cs="Arial"/>
        </w:rPr>
        <w:t>Inspector-General commitments</w:t>
      </w:r>
      <w:bookmarkEnd w:id="25"/>
    </w:p>
    <w:p w14:paraId="1C924460" w14:textId="7F49251A" w:rsidR="00C8166B" w:rsidRPr="00633635" w:rsidRDefault="003C2B65" w:rsidP="003C2B65">
      <w:pPr>
        <w:rPr>
          <w:rFonts w:ascii="Arial" w:hAnsi="Arial" w:cs="Arial"/>
        </w:rPr>
      </w:pPr>
      <w:r w:rsidRPr="00633635">
        <w:rPr>
          <w:rFonts w:ascii="Arial" w:hAnsi="Arial" w:cs="Arial"/>
        </w:rPr>
        <w:t xml:space="preserve">This section of the report will detail the actions the </w:t>
      </w:r>
      <w:r w:rsidR="00D82E5A" w:rsidRPr="00633635">
        <w:rPr>
          <w:rFonts w:ascii="Arial" w:hAnsi="Arial" w:cs="Arial"/>
        </w:rPr>
        <w:t xml:space="preserve">Inspector-General will commit to undertake to address the </w:t>
      </w:r>
      <w:r w:rsidR="00FF4100" w:rsidRPr="00633635">
        <w:rPr>
          <w:rFonts w:ascii="Arial" w:hAnsi="Arial" w:cs="Arial"/>
        </w:rPr>
        <w:t xml:space="preserve">issues raised in </w:t>
      </w:r>
      <w:r w:rsidR="00D82E5A" w:rsidRPr="00633635">
        <w:rPr>
          <w:rFonts w:ascii="Arial" w:hAnsi="Arial" w:cs="Arial"/>
        </w:rPr>
        <w:t xml:space="preserve">Mr Pearson’s review. </w:t>
      </w:r>
      <w:r w:rsidR="00C8166B" w:rsidRPr="00633635">
        <w:rPr>
          <w:rFonts w:ascii="Arial" w:hAnsi="Arial" w:cs="Arial"/>
        </w:rPr>
        <w:t xml:space="preserve">Some of the issues raised by Mr Pearson are for Basin states to address and are not within </w:t>
      </w:r>
      <w:r w:rsidR="00686764" w:rsidRPr="00633635">
        <w:rPr>
          <w:rFonts w:ascii="Arial" w:hAnsi="Arial" w:cs="Arial"/>
        </w:rPr>
        <w:t>the</w:t>
      </w:r>
      <w:r w:rsidR="00C8166B" w:rsidRPr="00633635">
        <w:rPr>
          <w:rFonts w:ascii="Arial" w:hAnsi="Arial" w:cs="Arial"/>
        </w:rPr>
        <w:t xml:space="preserve"> remit</w:t>
      </w:r>
      <w:r w:rsidR="00686764" w:rsidRPr="00633635">
        <w:rPr>
          <w:rFonts w:ascii="Arial" w:hAnsi="Arial" w:cs="Arial"/>
        </w:rPr>
        <w:t xml:space="preserve"> of the Inspector-General</w:t>
      </w:r>
      <w:r w:rsidR="00C8166B" w:rsidRPr="00633635">
        <w:rPr>
          <w:rFonts w:ascii="Arial" w:hAnsi="Arial" w:cs="Arial"/>
        </w:rPr>
        <w:t xml:space="preserve">. However, the following initiatives fit within </w:t>
      </w:r>
      <w:r w:rsidR="00686764" w:rsidRPr="00633635">
        <w:rPr>
          <w:rFonts w:ascii="Arial" w:hAnsi="Arial" w:cs="Arial"/>
        </w:rPr>
        <w:t>the Inspector-General’s</w:t>
      </w:r>
      <w:r w:rsidR="00C8166B" w:rsidRPr="00633635">
        <w:rPr>
          <w:rFonts w:ascii="Arial" w:hAnsi="Arial" w:cs="Arial"/>
        </w:rPr>
        <w:t xml:space="preserve"> oversight function, and working in collaboration with the Basin states, </w:t>
      </w:r>
      <w:r w:rsidR="00686764" w:rsidRPr="00633635">
        <w:rPr>
          <w:rFonts w:ascii="Arial" w:hAnsi="Arial" w:cs="Arial"/>
        </w:rPr>
        <w:t>i</w:t>
      </w:r>
      <w:r w:rsidR="00C8166B" w:rsidRPr="00633635">
        <w:rPr>
          <w:rFonts w:ascii="Arial" w:hAnsi="Arial" w:cs="Arial"/>
        </w:rPr>
        <w:t>mplementing these initiatives will lead to a demonstrable improvement in Basin-wide compliance and enforcement.</w:t>
      </w:r>
    </w:p>
    <w:p w14:paraId="2183CFF3" w14:textId="7C34E86B" w:rsidR="00FF4100" w:rsidRPr="00633635" w:rsidRDefault="00FF4100" w:rsidP="001A3992">
      <w:pPr>
        <w:pStyle w:val="Heading2"/>
        <w:rPr>
          <w:rFonts w:ascii="Arial" w:hAnsi="Arial" w:cs="Arial"/>
        </w:rPr>
      </w:pPr>
      <w:bookmarkStart w:id="26" w:name="_Toc112142186"/>
      <w:r w:rsidRPr="00633635">
        <w:rPr>
          <w:rFonts w:ascii="Arial" w:hAnsi="Arial" w:cs="Arial"/>
          <w:u w:val="single"/>
        </w:rPr>
        <w:t>Action Item 1</w:t>
      </w:r>
      <w:r w:rsidR="001A3992" w:rsidRPr="00633635">
        <w:rPr>
          <w:rFonts w:ascii="Arial" w:hAnsi="Arial" w:cs="Arial"/>
        </w:rPr>
        <w:t xml:space="preserve"> – Regulatory Leaders Forum</w:t>
      </w:r>
      <w:bookmarkEnd w:id="26"/>
      <w:r w:rsidR="001A3992" w:rsidRPr="00633635">
        <w:rPr>
          <w:rFonts w:ascii="Arial" w:hAnsi="Arial" w:cs="Arial"/>
        </w:rPr>
        <w:t xml:space="preserve"> </w:t>
      </w:r>
    </w:p>
    <w:p w14:paraId="5771CFDA" w14:textId="35E08487" w:rsidR="00FF4100" w:rsidRPr="00633635" w:rsidRDefault="00FF4100" w:rsidP="001A3992">
      <w:pPr>
        <w:pStyle w:val="Heading3"/>
        <w:rPr>
          <w:rFonts w:ascii="Arial" w:hAnsi="Arial"/>
        </w:rPr>
      </w:pPr>
      <w:r w:rsidRPr="00633635">
        <w:rPr>
          <w:rFonts w:ascii="Arial" w:hAnsi="Arial"/>
        </w:rPr>
        <w:t>What is it?</w:t>
      </w:r>
    </w:p>
    <w:p w14:paraId="0148F867" w14:textId="5162245B" w:rsidR="00FF4100" w:rsidRPr="00633635" w:rsidRDefault="00FF4100" w:rsidP="00FF4100">
      <w:pPr>
        <w:rPr>
          <w:rFonts w:ascii="Arial" w:hAnsi="Arial" w:cs="Arial"/>
        </w:rPr>
      </w:pPr>
      <w:r w:rsidRPr="00633635">
        <w:rPr>
          <w:rFonts w:ascii="Arial" w:hAnsi="Arial" w:cs="Arial"/>
        </w:rPr>
        <w:t xml:space="preserve">A quarterly meeting consisting of the chief </w:t>
      </w:r>
      <w:r w:rsidR="00C96586" w:rsidRPr="00633635">
        <w:rPr>
          <w:rFonts w:ascii="Arial" w:hAnsi="Arial" w:cs="Arial"/>
        </w:rPr>
        <w:t xml:space="preserve">water </w:t>
      </w:r>
      <w:r w:rsidRPr="00633635">
        <w:rPr>
          <w:rFonts w:ascii="Arial" w:hAnsi="Arial" w:cs="Arial"/>
        </w:rPr>
        <w:t xml:space="preserve">regulatory officers from each Basin </w:t>
      </w:r>
      <w:r w:rsidR="00145FFA" w:rsidRPr="00633635">
        <w:rPr>
          <w:rFonts w:ascii="Arial" w:hAnsi="Arial" w:cs="Arial"/>
        </w:rPr>
        <w:t xml:space="preserve">state </w:t>
      </w:r>
      <w:r w:rsidRPr="00633635">
        <w:rPr>
          <w:rFonts w:ascii="Arial" w:hAnsi="Arial" w:cs="Arial"/>
        </w:rPr>
        <w:t xml:space="preserve">government. </w:t>
      </w:r>
      <w:r w:rsidR="00C96586" w:rsidRPr="00633635">
        <w:rPr>
          <w:rFonts w:ascii="Arial" w:hAnsi="Arial" w:cs="Arial"/>
        </w:rPr>
        <w:t>This meeting provides the opportunity for the regulatory leaders from each Basin state to discuss current issues, share better practice, and work more collaboratively to achieve better compliance outcomes for the Basin.</w:t>
      </w:r>
    </w:p>
    <w:p w14:paraId="6FFD0874" w14:textId="6EE23F2D" w:rsidR="00C96586" w:rsidRPr="00633635" w:rsidRDefault="00C96586" w:rsidP="00FF4100">
      <w:pPr>
        <w:rPr>
          <w:rFonts w:ascii="Arial" w:hAnsi="Arial" w:cs="Arial"/>
        </w:rPr>
      </w:pPr>
      <w:r w:rsidRPr="00633635">
        <w:rPr>
          <w:rFonts w:ascii="Arial" w:hAnsi="Arial" w:cs="Arial"/>
        </w:rPr>
        <w:t>Work is progressing on the development of a formal Memorandum of Understanding (MoU) between the Inspector-General and Basin States.</w:t>
      </w:r>
    </w:p>
    <w:p w14:paraId="443FD329" w14:textId="003C16E0" w:rsidR="00FF4100" w:rsidRPr="00633635" w:rsidRDefault="00FF4100" w:rsidP="001A3992">
      <w:pPr>
        <w:pStyle w:val="Heading3"/>
        <w:rPr>
          <w:rFonts w:ascii="Arial" w:hAnsi="Arial"/>
        </w:rPr>
      </w:pPr>
      <w:r w:rsidRPr="00633635">
        <w:rPr>
          <w:rFonts w:ascii="Arial" w:hAnsi="Arial"/>
        </w:rPr>
        <w:t>Who will do it?</w:t>
      </w:r>
    </w:p>
    <w:p w14:paraId="1C46343E" w14:textId="168BEDED" w:rsidR="00FF4100" w:rsidRPr="00633635" w:rsidRDefault="00FF4100" w:rsidP="00FF4100">
      <w:pPr>
        <w:rPr>
          <w:rFonts w:ascii="Arial" w:hAnsi="Arial" w:cs="Arial"/>
        </w:rPr>
      </w:pPr>
      <w:r w:rsidRPr="00633635">
        <w:rPr>
          <w:rFonts w:ascii="Arial" w:hAnsi="Arial" w:cs="Arial"/>
        </w:rPr>
        <w:t xml:space="preserve">The Regulatory Leaders Forum is an initiative of the Inspector-General in collaboration with Basin </w:t>
      </w:r>
      <w:r w:rsidR="00CB2C8C" w:rsidRPr="00633635">
        <w:rPr>
          <w:rFonts w:ascii="Arial" w:hAnsi="Arial" w:cs="Arial"/>
        </w:rPr>
        <w:t>states</w:t>
      </w:r>
      <w:r w:rsidRPr="00633635">
        <w:rPr>
          <w:rFonts w:ascii="Arial" w:hAnsi="Arial" w:cs="Arial"/>
        </w:rPr>
        <w:t xml:space="preserve">. </w:t>
      </w:r>
    </w:p>
    <w:p w14:paraId="5F949420" w14:textId="77777777" w:rsidR="00FF4100" w:rsidRPr="00633635" w:rsidRDefault="00FF4100" w:rsidP="001A3992">
      <w:pPr>
        <w:pStyle w:val="Heading3"/>
        <w:rPr>
          <w:rFonts w:ascii="Arial" w:hAnsi="Arial"/>
        </w:rPr>
      </w:pPr>
      <w:r w:rsidRPr="00633635">
        <w:rPr>
          <w:rFonts w:ascii="Arial" w:hAnsi="Arial"/>
        </w:rPr>
        <w:t>When will it be done?</w:t>
      </w:r>
    </w:p>
    <w:p w14:paraId="479C3D87" w14:textId="19762761" w:rsidR="00FF4100" w:rsidRPr="00633635" w:rsidRDefault="001A3992" w:rsidP="00685F11">
      <w:pPr>
        <w:rPr>
          <w:rFonts w:ascii="Arial" w:hAnsi="Arial" w:cs="Arial"/>
        </w:rPr>
      </w:pPr>
      <w:r w:rsidRPr="00633635">
        <w:rPr>
          <w:rFonts w:ascii="Arial" w:hAnsi="Arial" w:cs="Arial"/>
        </w:rPr>
        <w:t>Meetings commenced in October 2021, with subsequent meetings held in March 2022 and June 2022.</w:t>
      </w:r>
      <w:r w:rsidR="00BF4C99" w:rsidRPr="00633635">
        <w:rPr>
          <w:rFonts w:ascii="Arial" w:hAnsi="Arial" w:cs="Arial"/>
        </w:rPr>
        <w:t xml:space="preserve"> The intention is for the forum</w:t>
      </w:r>
      <w:r w:rsidR="00CB2C8C" w:rsidRPr="00633635">
        <w:rPr>
          <w:rFonts w:ascii="Arial" w:hAnsi="Arial" w:cs="Arial"/>
        </w:rPr>
        <w:t xml:space="preserve"> to meet</w:t>
      </w:r>
      <w:r w:rsidR="00BF4C99" w:rsidRPr="00633635">
        <w:rPr>
          <w:rFonts w:ascii="Arial" w:hAnsi="Arial" w:cs="Arial"/>
        </w:rPr>
        <w:t xml:space="preserve"> at least 3 times per year.</w:t>
      </w:r>
    </w:p>
    <w:p w14:paraId="64D16B9C" w14:textId="6180C2B7" w:rsidR="00EB6D55" w:rsidRPr="00633635" w:rsidRDefault="00EB6D55" w:rsidP="00EB6D55">
      <w:pPr>
        <w:pStyle w:val="Heading3"/>
        <w:rPr>
          <w:rFonts w:ascii="Arial" w:hAnsi="Arial"/>
        </w:rPr>
      </w:pPr>
      <w:r w:rsidRPr="00633635">
        <w:rPr>
          <w:rFonts w:ascii="Arial" w:hAnsi="Arial"/>
        </w:rPr>
        <w:t>What will this</w:t>
      </w:r>
      <w:r w:rsidR="0033715C" w:rsidRPr="00633635">
        <w:rPr>
          <w:rFonts w:ascii="Arial" w:hAnsi="Arial"/>
        </w:rPr>
        <w:t xml:space="preserve"> a</w:t>
      </w:r>
      <w:r w:rsidRPr="00633635">
        <w:rPr>
          <w:rFonts w:ascii="Arial" w:hAnsi="Arial"/>
        </w:rPr>
        <w:t>chieve?</w:t>
      </w:r>
    </w:p>
    <w:p w14:paraId="72E55BEC" w14:textId="3AB975C5" w:rsidR="004D282B" w:rsidRPr="00633635" w:rsidRDefault="004D282B" w:rsidP="004D282B">
      <w:pPr>
        <w:rPr>
          <w:rFonts w:ascii="Arial" w:hAnsi="Arial" w:cs="Arial"/>
        </w:rPr>
      </w:pPr>
      <w:r w:rsidRPr="00633635">
        <w:rPr>
          <w:rFonts w:ascii="Arial" w:hAnsi="Arial" w:cs="Arial"/>
        </w:rPr>
        <w:t>The Regulatory Leaders Forum is an opportunity for greater collaboration among the Basin states by bringing together the most senior water regulators from all Basin governments</w:t>
      </w:r>
      <w:r w:rsidR="00E86D00" w:rsidRPr="00633635">
        <w:rPr>
          <w:rFonts w:ascii="Arial" w:hAnsi="Arial" w:cs="Arial"/>
        </w:rPr>
        <w:t xml:space="preserve"> in an open forum where matters of importance can be freely discussed</w:t>
      </w:r>
      <w:r w:rsidRPr="00633635">
        <w:rPr>
          <w:rFonts w:ascii="Arial" w:hAnsi="Arial" w:cs="Arial"/>
        </w:rPr>
        <w:t>.</w:t>
      </w:r>
      <w:r w:rsidR="00E86D00" w:rsidRPr="00633635">
        <w:rPr>
          <w:rFonts w:ascii="Arial" w:hAnsi="Arial" w:cs="Arial"/>
        </w:rPr>
        <w:t xml:space="preserve"> Meetings held to date have already proven beneficial by uplifting individual Basin state water compliance management issues to a whole-of-Basin level.  </w:t>
      </w:r>
      <w:r w:rsidR="0033715C" w:rsidRPr="00633635">
        <w:rPr>
          <w:rFonts w:ascii="Arial" w:hAnsi="Arial" w:cs="Arial"/>
        </w:rPr>
        <w:t xml:space="preserve"> </w:t>
      </w:r>
    </w:p>
    <w:p w14:paraId="527E3429" w14:textId="138ACABA" w:rsidR="00685F11" w:rsidRPr="00633635" w:rsidRDefault="00685F11" w:rsidP="00407165">
      <w:pPr>
        <w:pStyle w:val="Heading2"/>
        <w:rPr>
          <w:rFonts w:ascii="Arial" w:hAnsi="Arial" w:cs="Arial"/>
        </w:rPr>
      </w:pPr>
      <w:bookmarkStart w:id="27" w:name="_Toc112142187"/>
      <w:r w:rsidRPr="00633635">
        <w:rPr>
          <w:rFonts w:ascii="Arial" w:hAnsi="Arial" w:cs="Arial"/>
          <w:u w:val="single"/>
        </w:rPr>
        <w:t xml:space="preserve">Action Item </w:t>
      </w:r>
      <w:r w:rsidR="00407165" w:rsidRPr="00633635">
        <w:rPr>
          <w:rFonts w:ascii="Arial" w:hAnsi="Arial" w:cs="Arial"/>
          <w:u w:val="single"/>
        </w:rPr>
        <w:t xml:space="preserve">2 </w:t>
      </w:r>
      <w:r w:rsidR="00407165" w:rsidRPr="00633635">
        <w:rPr>
          <w:rFonts w:ascii="Arial" w:hAnsi="Arial" w:cs="Arial"/>
        </w:rPr>
        <w:t>-</w:t>
      </w:r>
      <w:r w:rsidR="00D67F8A" w:rsidRPr="00633635">
        <w:rPr>
          <w:rFonts w:ascii="Arial" w:hAnsi="Arial" w:cs="Arial"/>
        </w:rPr>
        <w:t xml:space="preserve"> </w:t>
      </w:r>
      <w:r w:rsidR="00E74CA4" w:rsidRPr="00633635">
        <w:rPr>
          <w:rFonts w:ascii="Arial" w:hAnsi="Arial" w:cs="Arial"/>
        </w:rPr>
        <w:t>Water compliance performance reporting</w:t>
      </w:r>
      <w:bookmarkEnd w:id="27"/>
      <w:r w:rsidR="00D67F8A" w:rsidRPr="00633635">
        <w:rPr>
          <w:rFonts w:ascii="Arial" w:hAnsi="Arial" w:cs="Arial"/>
        </w:rPr>
        <w:t xml:space="preserve"> </w:t>
      </w:r>
      <w:r w:rsidR="009E5085" w:rsidRPr="00633635">
        <w:rPr>
          <w:rFonts w:ascii="Arial" w:hAnsi="Arial" w:cs="Arial"/>
        </w:rPr>
        <w:t xml:space="preserve"> </w:t>
      </w:r>
    </w:p>
    <w:p w14:paraId="4CC42968" w14:textId="258BA6CE" w:rsidR="00685F11" w:rsidRPr="00633635" w:rsidRDefault="00685F11" w:rsidP="00407165">
      <w:pPr>
        <w:pStyle w:val="Heading3"/>
        <w:rPr>
          <w:rFonts w:ascii="Arial" w:hAnsi="Arial"/>
        </w:rPr>
      </w:pPr>
      <w:r w:rsidRPr="00633635">
        <w:rPr>
          <w:rFonts w:ascii="Arial" w:hAnsi="Arial"/>
        </w:rPr>
        <w:t>What is it?</w:t>
      </w:r>
    </w:p>
    <w:p w14:paraId="580E8EDB" w14:textId="15B1791F" w:rsidR="00E74CA4" w:rsidRPr="00633635" w:rsidRDefault="00E74CA4" w:rsidP="00407165">
      <w:pPr>
        <w:rPr>
          <w:rFonts w:ascii="Arial" w:hAnsi="Arial" w:cs="Arial"/>
        </w:rPr>
      </w:pPr>
      <w:r w:rsidRPr="00633635">
        <w:rPr>
          <w:rFonts w:ascii="Arial" w:hAnsi="Arial" w:cs="Arial"/>
        </w:rPr>
        <w:t xml:space="preserve">A project to develop and </w:t>
      </w:r>
      <w:r w:rsidR="0033715C" w:rsidRPr="00633635">
        <w:rPr>
          <w:rFonts w:ascii="Arial" w:hAnsi="Arial" w:cs="Arial"/>
        </w:rPr>
        <w:t>implement</w:t>
      </w:r>
      <w:r w:rsidRPr="00633635">
        <w:rPr>
          <w:rFonts w:ascii="Arial" w:hAnsi="Arial" w:cs="Arial"/>
        </w:rPr>
        <w:t xml:space="preserve"> improved and consistent Basin-wide public reporting on performance </w:t>
      </w:r>
      <w:r w:rsidR="0033715C" w:rsidRPr="00633635">
        <w:rPr>
          <w:rFonts w:ascii="Arial" w:hAnsi="Arial" w:cs="Arial"/>
        </w:rPr>
        <w:t>relating to</w:t>
      </w:r>
      <w:r w:rsidRPr="00633635">
        <w:rPr>
          <w:rFonts w:ascii="Arial" w:hAnsi="Arial" w:cs="Arial"/>
        </w:rPr>
        <w:t xml:space="preserve"> water compliance</w:t>
      </w:r>
      <w:r w:rsidR="00556AEA" w:rsidRPr="00633635">
        <w:rPr>
          <w:rFonts w:ascii="Arial" w:hAnsi="Arial" w:cs="Arial"/>
        </w:rPr>
        <w:t>.</w:t>
      </w:r>
    </w:p>
    <w:p w14:paraId="3523BA97" w14:textId="79A207B4" w:rsidR="00685F11" w:rsidRPr="00633635" w:rsidRDefault="00685F11" w:rsidP="00407165">
      <w:pPr>
        <w:pStyle w:val="Heading3"/>
        <w:rPr>
          <w:rFonts w:ascii="Arial" w:hAnsi="Arial"/>
        </w:rPr>
      </w:pPr>
      <w:r w:rsidRPr="00633635">
        <w:rPr>
          <w:rFonts w:ascii="Arial" w:hAnsi="Arial"/>
        </w:rPr>
        <w:t>Who will do it?</w:t>
      </w:r>
    </w:p>
    <w:p w14:paraId="01DC6644" w14:textId="71E9AD1F" w:rsidR="00685F11" w:rsidRPr="00633635" w:rsidRDefault="00CB2C8C" w:rsidP="00685F11">
      <w:pPr>
        <w:rPr>
          <w:rFonts w:ascii="Arial" w:hAnsi="Arial" w:cs="Arial"/>
        </w:rPr>
      </w:pPr>
      <w:r w:rsidRPr="00633635">
        <w:rPr>
          <w:rFonts w:ascii="Arial" w:hAnsi="Arial" w:cs="Arial"/>
        </w:rPr>
        <w:t>It will be l</w:t>
      </w:r>
      <w:r w:rsidR="00685F11" w:rsidRPr="00633635">
        <w:rPr>
          <w:rFonts w:ascii="Arial" w:hAnsi="Arial" w:cs="Arial"/>
        </w:rPr>
        <w:t>ed by the Inspector-General</w:t>
      </w:r>
      <w:r w:rsidR="00E86D00" w:rsidRPr="00633635">
        <w:rPr>
          <w:rFonts w:ascii="Arial" w:hAnsi="Arial" w:cs="Arial"/>
        </w:rPr>
        <w:t xml:space="preserve"> of Water Compliance</w:t>
      </w:r>
      <w:r w:rsidR="00685F11" w:rsidRPr="00633635">
        <w:rPr>
          <w:rFonts w:ascii="Arial" w:hAnsi="Arial" w:cs="Arial"/>
        </w:rPr>
        <w:t xml:space="preserve"> in collaboration with the Basin states</w:t>
      </w:r>
      <w:r w:rsidR="00E74CA4" w:rsidRPr="00633635">
        <w:rPr>
          <w:rFonts w:ascii="Arial" w:hAnsi="Arial" w:cs="Arial"/>
        </w:rPr>
        <w:t xml:space="preserve"> via the Regulatory Leaders Forum.</w:t>
      </w:r>
    </w:p>
    <w:p w14:paraId="20B33396" w14:textId="034BB60E" w:rsidR="00685F11" w:rsidRPr="00633635" w:rsidRDefault="00685F11" w:rsidP="00407165">
      <w:pPr>
        <w:pStyle w:val="Heading3"/>
        <w:rPr>
          <w:rFonts w:ascii="Arial" w:hAnsi="Arial"/>
        </w:rPr>
      </w:pPr>
      <w:r w:rsidRPr="00633635">
        <w:rPr>
          <w:rFonts w:ascii="Arial" w:hAnsi="Arial"/>
        </w:rPr>
        <w:t>When will it be done?</w:t>
      </w:r>
    </w:p>
    <w:p w14:paraId="0E46E785" w14:textId="35B077F0" w:rsidR="00E74CA4" w:rsidRPr="00633635" w:rsidRDefault="00E74CA4" w:rsidP="00E86D00">
      <w:pPr>
        <w:rPr>
          <w:rFonts w:ascii="Arial" w:hAnsi="Arial" w:cs="Arial"/>
          <w:szCs w:val="20"/>
        </w:rPr>
      </w:pPr>
      <w:r w:rsidRPr="00633635">
        <w:rPr>
          <w:rFonts w:ascii="Arial" w:hAnsi="Arial" w:cs="Arial"/>
        </w:rPr>
        <w:t>By the end of 2022</w:t>
      </w:r>
      <w:r w:rsidR="00E86D00" w:rsidRPr="00633635">
        <w:rPr>
          <w:rFonts w:ascii="Arial" w:hAnsi="Arial" w:cs="Arial"/>
        </w:rPr>
        <w:t xml:space="preserve">, </w:t>
      </w:r>
      <w:r w:rsidRPr="00633635">
        <w:rPr>
          <w:rFonts w:ascii="Arial" w:hAnsi="Arial" w:cs="Arial"/>
          <w:szCs w:val="20"/>
        </w:rPr>
        <w:t xml:space="preserve">a </w:t>
      </w:r>
      <w:r w:rsidR="00E86D00" w:rsidRPr="00633635">
        <w:rPr>
          <w:rFonts w:ascii="Arial" w:hAnsi="Arial" w:cs="Arial"/>
          <w:szCs w:val="20"/>
        </w:rPr>
        <w:t>set</w:t>
      </w:r>
      <w:r w:rsidRPr="00633635">
        <w:rPr>
          <w:rFonts w:ascii="Arial" w:hAnsi="Arial" w:cs="Arial"/>
          <w:szCs w:val="20"/>
        </w:rPr>
        <w:t xml:space="preserve"> of metrics will be developed that can be reported </w:t>
      </w:r>
      <w:r w:rsidR="00E86D00" w:rsidRPr="00633635">
        <w:rPr>
          <w:rFonts w:ascii="Arial" w:hAnsi="Arial" w:cs="Arial"/>
          <w:szCs w:val="20"/>
        </w:rPr>
        <w:t xml:space="preserve">against </w:t>
      </w:r>
      <w:r w:rsidRPr="00633635">
        <w:rPr>
          <w:rFonts w:ascii="Arial" w:hAnsi="Arial" w:cs="Arial"/>
          <w:szCs w:val="20"/>
        </w:rPr>
        <w:t xml:space="preserve">by Basin </w:t>
      </w:r>
      <w:r w:rsidR="005C4E96" w:rsidRPr="00633635">
        <w:rPr>
          <w:rFonts w:ascii="Arial" w:hAnsi="Arial" w:cs="Arial"/>
          <w:szCs w:val="20"/>
        </w:rPr>
        <w:t>s</w:t>
      </w:r>
      <w:r w:rsidRPr="00633635">
        <w:rPr>
          <w:rFonts w:ascii="Arial" w:hAnsi="Arial" w:cs="Arial"/>
          <w:szCs w:val="20"/>
        </w:rPr>
        <w:t>tates using</w:t>
      </w:r>
      <w:r w:rsidR="00E86D00" w:rsidRPr="00633635">
        <w:rPr>
          <w:rFonts w:ascii="Arial" w:hAnsi="Arial" w:cs="Arial"/>
          <w:szCs w:val="20"/>
        </w:rPr>
        <w:t xml:space="preserve"> their</w:t>
      </w:r>
      <w:r w:rsidRPr="00633635">
        <w:rPr>
          <w:rFonts w:ascii="Arial" w:hAnsi="Arial" w:cs="Arial"/>
          <w:szCs w:val="20"/>
        </w:rPr>
        <w:t xml:space="preserve"> existing systems</w:t>
      </w:r>
      <w:r w:rsidR="00E86D00" w:rsidRPr="00633635">
        <w:rPr>
          <w:rFonts w:ascii="Arial" w:hAnsi="Arial" w:cs="Arial"/>
          <w:szCs w:val="20"/>
        </w:rPr>
        <w:t xml:space="preserve">. In addition, a </w:t>
      </w:r>
      <w:r w:rsidRPr="00633635">
        <w:rPr>
          <w:rFonts w:ascii="Arial" w:hAnsi="Arial" w:cs="Arial"/>
          <w:szCs w:val="20"/>
        </w:rPr>
        <w:t xml:space="preserve">framework for </w:t>
      </w:r>
      <w:proofErr w:type="gramStart"/>
      <w:r w:rsidRPr="00633635">
        <w:rPr>
          <w:rFonts w:ascii="Arial" w:hAnsi="Arial" w:cs="Arial"/>
          <w:szCs w:val="20"/>
        </w:rPr>
        <w:t>outcomes based</w:t>
      </w:r>
      <w:proofErr w:type="gramEnd"/>
      <w:r w:rsidRPr="00633635">
        <w:rPr>
          <w:rFonts w:ascii="Arial" w:hAnsi="Arial" w:cs="Arial"/>
          <w:szCs w:val="20"/>
        </w:rPr>
        <w:t xml:space="preserve"> reporting</w:t>
      </w:r>
      <w:r w:rsidR="00E86D00" w:rsidRPr="00633635">
        <w:rPr>
          <w:rFonts w:ascii="Arial" w:hAnsi="Arial" w:cs="Arial"/>
          <w:szCs w:val="20"/>
        </w:rPr>
        <w:t xml:space="preserve"> will be developed</w:t>
      </w:r>
      <w:r w:rsidR="005C4E96" w:rsidRPr="00633635">
        <w:rPr>
          <w:rFonts w:ascii="Arial" w:hAnsi="Arial" w:cs="Arial"/>
          <w:szCs w:val="20"/>
        </w:rPr>
        <w:t>.</w:t>
      </w:r>
    </w:p>
    <w:p w14:paraId="135CC274" w14:textId="646E4AAD" w:rsidR="00407165" w:rsidRPr="00633635" w:rsidRDefault="00407165" w:rsidP="002864E7">
      <w:pPr>
        <w:rPr>
          <w:rFonts w:ascii="Arial" w:hAnsi="Arial" w:cs="Arial"/>
        </w:rPr>
      </w:pPr>
      <w:r w:rsidRPr="00633635">
        <w:rPr>
          <w:rFonts w:ascii="Arial" w:hAnsi="Arial" w:cs="Arial"/>
        </w:rPr>
        <w:t xml:space="preserve">Reporting against this new framework </w:t>
      </w:r>
      <w:r w:rsidR="00265B2D" w:rsidRPr="00633635">
        <w:rPr>
          <w:rFonts w:ascii="Arial" w:hAnsi="Arial" w:cs="Arial"/>
        </w:rPr>
        <w:t>is intended to</w:t>
      </w:r>
      <w:r w:rsidRPr="00633635">
        <w:rPr>
          <w:rFonts w:ascii="Arial" w:hAnsi="Arial" w:cs="Arial"/>
        </w:rPr>
        <w:t xml:space="preserve"> commence from mid-2023 (for the 2022</w:t>
      </w:r>
      <w:r w:rsidR="005C4E96" w:rsidRPr="00633635">
        <w:rPr>
          <w:rFonts w:ascii="Arial" w:hAnsi="Arial" w:cs="Arial"/>
        </w:rPr>
        <w:t>–</w:t>
      </w:r>
      <w:r w:rsidRPr="00633635">
        <w:rPr>
          <w:rFonts w:ascii="Arial" w:hAnsi="Arial" w:cs="Arial"/>
        </w:rPr>
        <w:t xml:space="preserve">23 reporting period) and </w:t>
      </w:r>
      <w:r w:rsidR="005C4E96" w:rsidRPr="00633635">
        <w:rPr>
          <w:rFonts w:ascii="Arial" w:hAnsi="Arial" w:cs="Arial"/>
        </w:rPr>
        <w:t xml:space="preserve">will </w:t>
      </w:r>
      <w:r w:rsidRPr="00633635">
        <w:rPr>
          <w:rFonts w:ascii="Arial" w:hAnsi="Arial" w:cs="Arial"/>
        </w:rPr>
        <w:t>progressively expand over the subsequent 3</w:t>
      </w:r>
      <w:r w:rsidR="005C4E96" w:rsidRPr="00633635">
        <w:rPr>
          <w:rFonts w:ascii="Arial" w:hAnsi="Arial" w:cs="Arial"/>
        </w:rPr>
        <w:t xml:space="preserve"> to </w:t>
      </w:r>
      <w:r w:rsidRPr="00633635">
        <w:rPr>
          <w:rFonts w:ascii="Arial" w:hAnsi="Arial" w:cs="Arial"/>
        </w:rPr>
        <w:t>5 years to include other outcomes-focused metrics</w:t>
      </w:r>
      <w:r w:rsidR="00821D3C" w:rsidRPr="00633635">
        <w:rPr>
          <w:rFonts w:ascii="Arial" w:hAnsi="Arial" w:cs="Arial"/>
        </w:rPr>
        <w:t>.</w:t>
      </w:r>
    </w:p>
    <w:p w14:paraId="26CD6CDB" w14:textId="413F7C08" w:rsidR="004D282B" w:rsidRPr="00633635" w:rsidRDefault="004D282B" w:rsidP="004D282B">
      <w:pPr>
        <w:pStyle w:val="Heading3"/>
        <w:rPr>
          <w:rFonts w:ascii="Arial" w:hAnsi="Arial"/>
        </w:rPr>
      </w:pPr>
      <w:r w:rsidRPr="00633635">
        <w:rPr>
          <w:rFonts w:ascii="Arial" w:hAnsi="Arial"/>
        </w:rPr>
        <w:lastRenderedPageBreak/>
        <w:t xml:space="preserve">What will this </w:t>
      </w:r>
      <w:r w:rsidR="0033715C" w:rsidRPr="00633635">
        <w:rPr>
          <w:rFonts w:ascii="Arial" w:hAnsi="Arial"/>
        </w:rPr>
        <w:t>achieve</w:t>
      </w:r>
      <w:r w:rsidRPr="00633635">
        <w:rPr>
          <w:rFonts w:ascii="Arial" w:hAnsi="Arial"/>
        </w:rPr>
        <w:t>?</w:t>
      </w:r>
    </w:p>
    <w:p w14:paraId="0353DD2C" w14:textId="633FB41B" w:rsidR="00E74CA4" w:rsidRPr="00633635" w:rsidRDefault="004D282B" w:rsidP="003C2B65">
      <w:pPr>
        <w:spacing w:after="0"/>
        <w:rPr>
          <w:rFonts w:ascii="Arial" w:hAnsi="Arial" w:cs="Arial"/>
        </w:rPr>
      </w:pPr>
      <w:r w:rsidRPr="00633635">
        <w:rPr>
          <w:rFonts w:ascii="Arial" w:hAnsi="Arial" w:cs="Arial"/>
        </w:rPr>
        <w:t>The aim of this project is to address a key finding from Mr Pearson’s review, namely improving the quality and consistency of public reporting on compliance activities, with a focus on</w:t>
      </w:r>
      <w:r w:rsidR="00A53A59" w:rsidRPr="00633635">
        <w:rPr>
          <w:rFonts w:ascii="Arial" w:hAnsi="Arial" w:cs="Arial"/>
        </w:rPr>
        <w:t xml:space="preserve"> the reporting of</w:t>
      </w:r>
      <w:r w:rsidRPr="00633635">
        <w:rPr>
          <w:rFonts w:ascii="Arial" w:hAnsi="Arial" w:cs="Arial"/>
        </w:rPr>
        <w:t xml:space="preserve"> outcomes</w:t>
      </w:r>
      <w:r w:rsidR="00A53A59" w:rsidRPr="00633635">
        <w:rPr>
          <w:rFonts w:ascii="Arial" w:hAnsi="Arial" w:cs="Arial"/>
        </w:rPr>
        <w:t>, not just</w:t>
      </w:r>
      <w:r w:rsidRPr="00633635">
        <w:rPr>
          <w:rFonts w:ascii="Arial" w:hAnsi="Arial" w:cs="Arial"/>
        </w:rPr>
        <w:t xml:space="preserve"> activities. </w:t>
      </w:r>
    </w:p>
    <w:p w14:paraId="5F5DD851" w14:textId="63920648" w:rsidR="00655FFA" w:rsidRPr="00633635" w:rsidRDefault="00655FFA" w:rsidP="00655FFA">
      <w:pPr>
        <w:pStyle w:val="Heading2"/>
        <w:rPr>
          <w:rFonts w:ascii="Arial" w:hAnsi="Arial" w:cs="Arial"/>
        </w:rPr>
      </w:pPr>
      <w:bookmarkStart w:id="28" w:name="_Toc112142188"/>
      <w:r w:rsidRPr="00633635">
        <w:rPr>
          <w:rFonts w:ascii="Arial" w:hAnsi="Arial" w:cs="Arial"/>
          <w:u w:val="single"/>
        </w:rPr>
        <w:t>Action Item 3</w:t>
      </w:r>
      <w:r w:rsidRPr="00633635">
        <w:rPr>
          <w:rFonts w:ascii="Arial" w:hAnsi="Arial" w:cs="Arial"/>
        </w:rPr>
        <w:t xml:space="preserve"> – IGWC Metering Standard</w:t>
      </w:r>
      <w:bookmarkEnd w:id="28"/>
      <w:r w:rsidRPr="00633635">
        <w:rPr>
          <w:rFonts w:ascii="Arial" w:hAnsi="Arial" w:cs="Arial"/>
        </w:rPr>
        <w:t xml:space="preserve"> </w:t>
      </w:r>
    </w:p>
    <w:p w14:paraId="2E407BDC" w14:textId="7407E819" w:rsidR="00655FFA" w:rsidRPr="00633635" w:rsidRDefault="00655FFA" w:rsidP="00655FFA">
      <w:pPr>
        <w:pStyle w:val="Heading3"/>
        <w:rPr>
          <w:rFonts w:ascii="Arial" w:hAnsi="Arial"/>
        </w:rPr>
      </w:pPr>
      <w:r w:rsidRPr="00633635">
        <w:rPr>
          <w:rFonts w:ascii="Arial" w:hAnsi="Arial"/>
        </w:rPr>
        <w:t>What is it?</w:t>
      </w:r>
    </w:p>
    <w:p w14:paraId="56F2139A" w14:textId="1D6BD61A" w:rsidR="004B6FF2" w:rsidRPr="00633635" w:rsidRDefault="004B6FF2" w:rsidP="00655FFA">
      <w:pPr>
        <w:rPr>
          <w:rFonts w:ascii="Arial" w:hAnsi="Arial" w:cs="Arial"/>
        </w:rPr>
      </w:pPr>
      <w:r w:rsidRPr="00633635">
        <w:rPr>
          <w:rFonts w:ascii="Arial" w:hAnsi="Arial" w:cs="Arial"/>
        </w:rPr>
        <w:t xml:space="preserve">The Inspector-General of Water Compliance has the power under the </w:t>
      </w:r>
      <w:r w:rsidRPr="00633635">
        <w:rPr>
          <w:rFonts w:ascii="Arial" w:hAnsi="Arial" w:cs="Arial"/>
          <w:i/>
          <w:iCs/>
        </w:rPr>
        <w:t>Water Act</w:t>
      </w:r>
      <w:r w:rsidRPr="00633635">
        <w:rPr>
          <w:rFonts w:ascii="Arial" w:hAnsi="Arial" w:cs="Arial"/>
        </w:rPr>
        <w:t xml:space="preserve"> </w:t>
      </w:r>
      <w:r w:rsidRPr="00633635">
        <w:rPr>
          <w:rFonts w:ascii="Arial" w:hAnsi="Arial" w:cs="Arial"/>
          <w:i/>
          <w:iCs/>
        </w:rPr>
        <w:t>(2007)</w:t>
      </w:r>
      <w:r w:rsidRPr="00633635">
        <w:rPr>
          <w:rFonts w:ascii="Arial" w:hAnsi="Arial" w:cs="Arial"/>
        </w:rPr>
        <w:t xml:space="preserve"> (</w:t>
      </w:r>
      <w:proofErr w:type="spellStart"/>
      <w:r w:rsidRPr="00633635">
        <w:rPr>
          <w:rFonts w:ascii="Arial" w:hAnsi="Arial" w:cs="Arial"/>
        </w:rPr>
        <w:t>Cth</w:t>
      </w:r>
      <w:proofErr w:type="spellEnd"/>
      <w:r w:rsidRPr="00633635">
        <w:rPr>
          <w:rFonts w:ascii="Arial" w:hAnsi="Arial" w:cs="Arial"/>
        </w:rPr>
        <w:t xml:space="preserve">) to issue standards relating to measuring water taken from the Basin. </w:t>
      </w:r>
    </w:p>
    <w:p w14:paraId="125437DA" w14:textId="115D8CCD" w:rsidR="00655FFA" w:rsidRPr="00633635" w:rsidRDefault="00655FFA" w:rsidP="00655FFA">
      <w:pPr>
        <w:pStyle w:val="Heading3"/>
        <w:rPr>
          <w:rFonts w:ascii="Arial" w:hAnsi="Arial"/>
        </w:rPr>
      </w:pPr>
      <w:r w:rsidRPr="00633635">
        <w:rPr>
          <w:rFonts w:ascii="Arial" w:hAnsi="Arial"/>
        </w:rPr>
        <w:t>Who will do it?</w:t>
      </w:r>
    </w:p>
    <w:p w14:paraId="4CEF4613" w14:textId="2E3E4ED0" w:rsidR="002C0A1A" w:rsidRPr="00633635" w:rsidRDefault="002C0A1A" w:rsidP="002C0A1A">
      <w:pPr>
        <w:rPr>
          <w:rFonts w:ascii="Arial" w:hAnsi="Arial" w:cs="Arial"/>
        </w:rPr>
      </w:pPr>
      <w:r w:rsidRPr="00633635">
        <w:rPr>
          <w:rFonts w:ascii="Arial" w:hAnsi="Arial" w:cs="Arial"/>
        </w:rPr>
        <w:t>The Inspector-General</w:t>
      </w:r>
      <w:r w:rsidR="0033715C" w:rsidRPr="00633635">
        <w:rPr>
          <w:rFonts w:ascii="Arial" w:hAnsi="Arial" w:cs="Arial"/>
        </w:rPr>
        <w:t xml:space="preserve"> of Water Compliance</w:t>
      </w:r>
      <w:r w:rsidRPr="00633635">
        <w:rPr>
          <w:rFonts w:ascii="Arial" w:hAnsi="Arial" w:cs="Arial"/>
        </w:rPr>
        <w:t>.</w:t>
      </w:r>
    </w:p>
    <w:p w14:paraId="4ECEBE7C" w14:textId="6148D5C3" w:rsidR="00655FFA" w:rsidRPr="00633635" w:rsidRDefault="00655FFA" w:rsidP="00655FFA">
      <w:pPr>
        <w:pStyle w:val="Heading3"/>
        <w:rPr>
          <w:rFonts w:ascii="Arial" w:hAnsi="Arial"/>
        </w:rPr>
      </w:pPr>
      <w:r w:rsidRPr="00633635">
        <w:rPr>
          <w:rFonts w:ascii="Arial" w:hAnsi="Arial"/>
        </w:rPr>
        <w:t>When will it be done?</w:t>
      </w:r>
    </w:p>
    <w:p w14:paraId="423D830A" w14:textId="0F5C48D8" w:rsidR="002C0A1A" w:rsidRPr="00633635" w:rsidRDefault="005C4E96" w:rsidP="002C0A1A">
      <w:pPr>
        <w:rPr>
          <w:rFonts w:ascii="Arial" w:hAnsi="Arial" w:cs="Arial"/>
        </w:rPr>
      </w:pPr>
      <w:r w:rsidRPr="00633635">
        <w:rPr>
          <w:rFonts w:ascii="Arial" w:hAnsi="Arial" w:cs="Arial"/>
        </w:rPr>
        <w:t>It is</w:t>
      </w:r>
      <w:r w:rsidR="005D266C" w:rsidRPr="00633635">
        <w:rPr>
          <w:rFonts w:ascii="Arial" w:hAnsi="Arial" w:cs="Arial"/>
        </w:rPr>
        <w:t xml:space="preserve"> intended</w:t>
      </w:r>
      <w:r w:rsidRPr="00633635">
        <w:rPr>
          <w:rFonts w:ascii="Arial" w:hAnsi="Arial" w:cs="Arial"/>
        </w:rPr>
        <w:t xml:space="preserve"> t</w:t>
      </w:r>
      <w:r w:rsidR="002C0A1A" w:rsidRPr="00633635">
        <w:rPr>
          <w:rFonts w:ascii="Arial" w:hAnsi="Arial" w:cs="Arial"/>
        </w:rPr>
        <w:t>o be completed in early 2023.</w:t>
      </w:r>
    </w:p>
    <w:p w14:paraId="543E7FF2" w14:textId="7EEFF863" w:rsidR="004D282B" w:rsidRPr="00633635" w:rsidRDefault="004D282B" w:rsidP="004D282B">
      <w:pPr>
        <w:pStyle w:val="Heading3"/>
        <w:rPr>
          <w:rFonts w:ascii="Arial" w:hAnsi="Arial"/>
        </w:rPr>
      </w:pPr>
      <w:r w:rsidRPr="00633635">
        <w:rPr>
          <w:rFonts w:ascii="Arial" w:hAnsi="Arial"/>
        </w:rPr>
        <w:t xml:space="preserve">What will this </w:t>
      </w:r>
      <w:r w:rsidR="0033715C" w:rsidRPr="00633635">
        <w:rPr>
          <w:rFonts w:ascii="Arial" w:hAnsi="Arial"/>
        </w:rPr>
        <w:t>achieve</w:t>
      </w:r>
      <w:r w:rsidRPr="00633635">
        <w:rPr>
          <w:rFonts w:ascii="Arial" w:hAnsi="Arial"/>
        </w:rPr>
        <w:t>?</w:t>
      </w:r>
    </w:p>
    <w:p w14:paraId="6220B9F8" w14:textId="31FE846D" w:rsidR="004A1811" w:rsidRPr="00633635" w:rsidRDefault="004A1811" w:rsidP="004A1811">
      <w:pPr>
        <w:rPr>
          <w:rFonts w:ascii="Arial" w:hAnsi="Arial" w:cs="Arial"/>
        </w:rPr>
      </w:pPr>
      <w:r w:rsidRPr="00633635">
        <w:rPr>
          <w:rFonts w:ascii="Arial" w:hAnsi="Arial" w:cs="Arial"/>
        </w:rPr>
        <w:t>This project will look to set guidance for minimum standards applying to metering in the Basin.</w:t>
      </w:r>
    </w:p>
    <w:p w14:paraId="51B0ABF0" w14:textId="6A8EB881" w:rsidR="004D282B" w:rsidRPr="00633635" w:rsidRDefault="004D282B" w:rsidP="004D282B">
      <w:pPr>
        <w:rPr>
          <w:rFonts w:ascii="Arial" w:hAnsi="Arial" w:cs="Arial"/>
        </w:rPr>
      </w:pPr>
      <w:r w:rsidRPr="00633635">
        <w:rPr>
          <w:rFonts w:ascii="Arial" w:hAnsi="Arial" w:cs="Arial"/>
        </w:rPr>
        <w:t>A Basin-wide metering standard will establish a consistent standard for metering in the Basin, addressing a common concern in the community that water take in the Basin is not being</w:t>
      </w:r>
      <w:r w:rsidR="0033715C" w:rsidRPr="00633635">
        <w:rPr>
          <w:rFonts w:ascii="Arial" w:hAnsi="Arial" w:cs="Arial"/>
        </w:rPr>
        <w:t xml:space="preserve"> measured consistently</w:t>
      </w:r>
      <w:r w:rsidR="004A1811" w:rsidRPr="00633635">
        <w:rPr>
          <w:rFonts w:ascii="Arial" w:hAnsi="Arial" w:cs="Arial"/>
        </w:rPr>
        <w:t xml:space="preserve"> and accurately</w:t>
      </w:r>
      <w:r w:rsidRPr="00633635">
        <w:rPr>
          <w:rFonts w:ascii="Arial" w:hAnsi="Arial" w:cs="Arial"/>
        </w:rPr>
        <w:t xml:space="preserve">. </w:t>
      </w:r>
    </w:p>
    <w:p w14:paraId="27DBE1C3" w14:textId="0AC8F126" w:rsidR="002C0A1A" w:rsidRPr="00633635" w:rsidRDefault="002C0A1A" w:rsidP="002C0A1A">
      <w:pPr>
        <w:pStyle w:val="Heading2"/>
        <w:rPr>
          <w:rFonts w:ascii="Arial" w:hAnsi="Arial" w:cs="Arial"/>
        </w:rPr>
      </w:pPr>
      <w:bookmarkStart w:id="29" w:name="_Toc112142189"/>
      <w:r w:rsidRPr="00633635">
        <w:rPr>
          <w:rFonts w:ascii="Arial" w:hAnsi="Arial" w:cs="Arial"/>
          <w:u w:val="single"/>
        </w:rPr>
        <w:t xml:space="preserve">Action Item </w:t>
      </w:r>
      <w:r w:rsidR="004225A9" w:rsidRPr="00633635">
        <w:rPr>
          <w:rFonts w:ascii="Arial" w:hAnsi="Arial" w:cs="Arial"/>
          <w:u w:val="single"/>
        </w:rPr>
        <w:t>4</w:t>
      </w:r>
      <w:r w:rsidRPr="00633635">
        <w:rPr>
          <w:rFonts w:ascii="Arial" w:hAnsi="Arial" w:cs="Arial"/>
        </w:rPr>
        <w:t xml:space="preserve"> – Review into unmeasured take</w:t>
      </w:r>
      <w:bookmarkEnd w:id="29"/>
      <w:r w:rsidRPr="00633635">
        <w:rPr>
          <w:rFonts w:ascii="Arial" w:hAnsi="Arial" w:cs="Arial"/>
        </w:rPr>
        <w:t xml:space="preserve"> </w:t>
      </w:r>
    </w:p>
    <w:p w14:paraId="3970AE90" w14:textId="77777777" w:rsidR="002C0A1A" w:rsidRPr="00633635" w:rsidRDefault="002C0A1A" w:rsidP="002C0A1A">
      <w:pPr>
        <w:pStyle w:val="Heading3"/>
        <w:rPr>
          <w:rFonts w:ascii="Arial" w:hAnsi="Arial"/>
        </w:rPr>
      </w:pPr>
      <w:r w:rsidRPr="00633635">
        <w:rPr>
          <w:rFonts w:ascii="Arial" w:hAnsi="Arial"/>
        </w:rPr>
        <w:t>What is it?</w:t>
      </w:r>
    </w:p>
    <w:p w14:paraId="2BFA3ED2" w14:textId="108D6970" w:rsidR="002C0A1A" w:rsidRPr="00633635" w:rsidRDefault="002C0A1A" w:rsidP="002C0A1A">
      <w:pPr>
        <w:rPr>
          <w:rFonts w:ascii="Arial" w:hAnsi="Arial" w:cs="Arial"/>
        </w:rPr>
      </w:pPr>
      <w:r w:rsidRPr="00633635">
        <w:rPr>
          <w:rFonts w:ascii="Arial" w:hAnsi="Arial" w:cs="Arial"/>
        </w:rPr>
        <w:t xml:space="preserve">In response to a finding in Mr Pearson’s </w:t>
      </w:r>
      <w:r w:rsidR="005C4E96" w:rsidRPr="00633635">
        <w:rPr>
          <w:rFonts w:ascii="Arial" w:hAnsi="Arial" w:cs="Arial"/>
        </w:rPr>
        <w:t xml:space="preserve">review </w:t>
      </w:r>
      <w:r w:rsidRPr="00633635">
        <w:rPr>
          <w:rFonts w:ascii="Arial" w:hAnsi="Arial" w:cs="Arial"/>
        </w:rPr>
        <w:t xml:space="preserve">regarding the significant volume of unmeasured take that forms part of the Sustainable Diversion Limit (SDL), this project will </w:t>
      </w:r>
      <w:r w:rsidR="004621AA" w:rsidRPr="00633635">
        <w:rPr>
          <w:rFonts w:ascii="Arial" w:hAnsi="Arial" w:cs="Arial"/>
        </w:rPr>
        <w:t>review the current forms of take that are accounted for using estimates</w:t>
      </w:r>
      <w:r w:rsidR="005D266C" w:rsidRPr="00633635">
        <w:rPr>
          <w:rFonts w:ascii="Arial" w:hAnsi="Arial" w:cs="Arial"/>
        </w:rPr>
        <w:t>. It will look</w:t>
      </w:r>
      <w:r w:rsidR="004621AA" w:rsidRPr="00633635">
        <w:rPr>
          <w:rFonts w:ascii="Arial" w:hAnsi="Arial" w:cs="Arial"/>
        </w:rPr>
        <w:t xml:space="preserve"> at any potential issues, the levels of confidence in the modelling, and any concerns about potential for growth in these forms of take.</w:t>
      </w:r>
    </w:p>
    <w:p w14:paraId="3A48C060" w14:textId="77777777" w:rsidR="002C0A1A" w:rsidRPr="00633635" w:rsidRDefault="002C0A1A" w:rsidP="002C0A1A">
      <w:pPr>
        <w:pStyle w:val="Heading3"/>
        <w:rPr>
          <w:rFonts w:ascii="Arial" w:hAnsi="Arial"/>
        </w:rPr>
      </w:pPr>
      <w:r w:rsidRPr="00633635">
        <w:rPr>
          <w:rFonts w:ascii="Arial" w:hAnsi="Arial"/>
        </w:rPr>
        <w:t>Who will do it?</w:t>
      </w:r>
    </w:p>
    <w:p w14:paraId="140904A9" w14:textId="6EC1C71D" w:rsidR="002C0A1A" w:rsidRPr="00633635" w:rsidRDefault="002C0A1A" w:rsidP="002C0A1A">
      <w:pPr>
        <w:rPr>
          <w:rFonts w:ascii="Arial" w:hAnsi="Arial" w:cs="Arial"/>
        </w:rPr>
      </w:pPr>
      <w:r w:rsidRPr="00633635">
        <w:rPr>
          <w:rFonts w:ascii="Arial" w:hAnsi="Arial" w:cs="Arial"/>
        </w:rPr>
        <w:t>The Inspector-General</w:t>
      </w:r>
      <w:r w:rsidR="00E94320" w:rsidRPr="00633635">
        <w:rPr>
          <w:rFonts w:ascii="Arial" w:hAnsi="Arial" w:cs="Arial"/>
        </w:rPr>
        <w:t xml:space="preserve"> of Water Compliance</w:t>
      </w:r>
      <w:r w:rsidR="00B962E0" w:rsidRPr="00633635">
        <w:rPr>
          <w:rFonts w:ascii="Arial" w:hAnsi="Arial" w:cs="Arial"/>
        </w:rPr>
        <w:t>.</w:t>
      </w:r>
    </w:p>
    <w:p w14:paraId="39047C72" w14:textId="77777777" w:rsidR="002C0A1A" w:rsidRPr="00633635" w:rsidRDefault="002C0A1A" w:rsidP="002C0A1A">
      <w:pPr>
        <w:pStyle w:val="Heading3"/>
        <w:rPr>
          <w:rFonts w:ascii="Arial" w:hAnsi="Arial"/>
        </w:rPr>
      </w:pPr>
      <w:r w:rsidRPr="00633635">
        <w:rPr>
          <w:rFonts w:ascii="Arial" w:hAnsi="Arial"/>
        </w:rPr>
        <w:t>When will it be done?</w:t>
      </w:r>
    </w:p>
    <w:p w14:paraId="7C26EBF7" w14:textId="3AEB8BC5" w:rsidR="002C0A1A" w:rsidRPr="00633635" w:rsidRDefault="005D266C" w:rsidP="002C0A1A">
      <w:pPr>
        <w:rPr>
          <w:rFonts w:ascii="Arial" w:hAnsi="Arial" w:cs="Arial"/>
        </w:rPr>
      </w:pPr>
      <w:r w:rsidRPr="00633635">
        <w:rPr>
          <w:rFonts w:ascii="Arial" w:hAnsi="Arial" w:cs="Arial"/>
        </w:rPr>
        <w:t>It is intended t</w:t>
      </w:r>
      <w:r w:rsidR="002C0A1A" w:rsidRPr="00633635">
        <w:rPr>
          <w:rFonts w:ascii="Arial" w:hAnsi="Arial" w:cs="Arial"/>
        </w:rPr>
        <w:t xml:space="preserve">o be </w:t>
      </w:r>
      <w:r w:rsidR="004A1811" w:rsidRPr="00633635">
        <w:rPr>
          <w:rFonts w:ascii="Arial" w:hAnsi="Arial" w:cs="Arial"/>
        </w:rPr>
        <w:t xml:space="preserve">commenced in early 2023 and </w:t>
      </w:r>
      <w:r w:rsidR="002C0A1A" w:rsidRPr="00633635">
        <w:rPr>
          <w:rFonts w:ascii="Arial" w:hAnsi="Arial" w:cs="Arial"/>
        </w:rPr>
        <w:t xml:space="preserve">completed in </w:t>
      </w:r>
      <w:r w:rsidR="004A1811" w:rsidRPr="00633635">
        <w:rPr>
          <w:rFonts w:ascii="Arial" w:hAnsi="Arial" w:cs="Arial"/>
        </w:rPr>
        <w:t>mid-</w:t>
      </w:r>
      <w:r w:rsidR="002C0A1A" w:rsidRPr="00633635">
        <w:rPr>
          <w:rFonts w:ascii="Arial" w:hAnsi="Arial" w:cs="Arial"/>
        </w:rPr>
        <w:t>2023.</w:t>
      </w:r>
    </w:p>
    <w:p w14:paraId="2F801F5E" w14:textId="39B3C975" w:rsidR="00DA3A45" w:rsidRPr="00633635" w:rsidRDefault="00DA3A45" w:rsidP="00DA3A45">
      <w:pPr>
        <w:pStyle w:val="Heading3"/>
        <w:rPr>
          <w:rFonts w:ascii="Arial" w:hAnsi="Arial"/>
        </w:rPr>
      </w:pPr>
      <w:r w:rsidRPr="00633635">
        <w:rPr>
          <w:rFonts w:ascii="Arial" w:hAnsi="Arial"/>
        </w:rPr>
        <w:t xml:space="preserve">What will this </w:t>
      </w:r>
      <w:r w:rsidR="00E94320" w:rsidRPr="00633635">
        <w:rPr>
          <w:rFonts w:ascii="Arial" w:hAnsi="Arial"/>
        </w:rPr>
        <w:t>achieve</w:t>
      </w:r>
      <w:r w:rsidRPr="00633635">
        <w:rPr>
          <w:rFonts w:ascii="Arial" w:hAnsi="Arial"/>
        </w:rPr>
        <w:t>?</w:t>
      </w:r>
    </w:p>
    <w:p w14:paraId="707E6C69" w14:textId="0E18A46B" w:rsidR="004D282B" w:rsidRPr="00633635" w:rsidRDefault="00DA3A45" w:rsidP="002C0A1A">
      <w:pPr>
        <w:rPr>
          <w:rFonts w:ascii="Arial" w:hAnsi="Arial" w:cs="Arial"/>
        </w:rPr>
      </w:pPr>
      <w:r w:rsidRPr="00633635">
        <w:rPr>
          <w:rFonts w:ascii="Arial" w:hAnsi="Arial" w:cs="Arial"/>
        </w:rPr>
        <w:t xml:space="preserve">This is an internal research project which will look to determine if the current methods used to estimate water take in the Basin that is currently unmeasured are sufficient. Initial research could lay the groundwork for understanding the potential issues involved, including levels of confidence in modelling and any concerns about growth in use of the unmeasured proportion of take.  </w:t>
      </w:r>
    </w:p>
    <w:p w14:paraId="73366A3B" w14:textId="456D5347" w:rsidR="003114D5" w:rsidRPr="00633635" w:rsidRDefault="003114D5" w:rsidP="003114D5">
      <w:pPr>
        <w:pStyle w:val="Heading2"/>
        <w:rPr>
          <w:rFonts w:ascii="Arial" w:hAnsi="Arial" w:cs="Arial"/>
        </w:rPr>
      </w:pPr>
      <w:bookmarkStart w:id="30" w:name="_Toc112142190"/>
      <w:r w:rsidRPr="00633635">
        <w:rPr>
          <w:rFonts w:ascii="Arial" w:hAnsi="Arial" w:cs="Arial"/>
          <w:u w:val="single"/>
        </w:rPr>
        <w:t>Action Item 5</w:t>
      </w:r>
      <w:r w:rsidRPr="00633635">
        <w:rPr>
          <w:rFonts w:ascii="Arial" w:hAnsi="Arial" w:cs="Arial"/>
        </w:rPr>
        <w:t xml:space="preserve"> – Determining harm from unauthorised take</w:t>
      </w:r>
      <w:bookmarkEnd w:id="30"/>
      <w:r w:rsidRPr="00633635">
        <w:rPr>
          <w:rFonts w:ascii="Arial" w:hAnsi="Arial" w:cs="Arial"/>
        </w:rPr>
        <w:t xml:space="preserve"> </w:t>
      </w:r>
    </w:p>
    <w:p w14:paraId="09963D9E" w14:textId="77777777" w:rsidR="003114D5" w:rsidRPr="00633635" w:rsidRDefault="003114D5" w:rsidP="003114D5">
      <w:pPr>
        <w:pStyle w:val="Heading3"/>
        <w:rPr>
          <w:rFonts w:ascii="Arial" w:hAnsi="Arial"/>
        </w:rPr>
      </w:pPr>
      <w:r w:rsidRPr="00633635">
        <w:rPr>
          <w:rFonts w:ascii="Arial" w:hAnsi="Arial"/>
        </w:rPr>
        <w:t>What is it?</w:t>
      </w:r>
    </w:p>
    <w:p w14:paraId="4E9F6179" w14:textId="042197FC" w:rsidR="003114D5" w:rsidRPr="00633635" w:rsidRDefault="003114D5" w:rsidP="003114D5">
      <w:pPr>
        <w:rPr>
          <w:rFonts w:ascii="Arial" w:hAnsi="Arial" w:cs="Arial"/>
        </w:rPr>
      </w:pPr>
      <w:bookmarkStart w:id="31" w:name="_Hlk109081530"/>
      <w:r w:rsidRPr="00633635">
        <w:rPr>
          <w:rFonts w:ascii="Arial" w:hAnsi="Arial" w:cs="Arial"/>
        </w:rPr>
        <w:t>This project consists of the development of a guideline for establishing the harm caused from unauthorised take from Basin water resources</w:t>
      </w:r>
      <w:r w:rsidR="005D266C" w:rsidRPr="00633635">
        <w:rPr>
          <w:rFonts w:ascii="Arial" w:hAnsi="Arial" w:cs="Arial"/>
        </w:rPr>
        <w:t>, which</w:t>
      </w:r>
      <w:r w:rsidRPr="00633635">
        <w:rPr>
          <w:rFonts w:ascii="Arial" w:hAnsi="Arial" w:cs="Arial"/>
        </w:rPr>
        <w:t xml:space="preserve"> could be used consistently across the Basin for enforcement actions.</w:t>
      </w:r>
    </w:p>
    <w:bookmarkEnd w:id="31"/>
    <w:p w14:paraId="553F0A0B" w14:textId="77777777" w:rsidR="003114D5" w:rsidRPr="00633635" w:rsidRDefault="003114D5" w:rsidP="003114D5">
      <w:pPr>
        <w:pStyle w:val="Heading3"/>
        <w:rPr>
          <w:rFonts w:ascii="Arial" w:hAnsi="Arial"/>
        </w:rPr>
      </w:pPr>
      <w:r w:rsidRPr="00633635">
        <w:rPr>
          <w:rFonts w:ascii="Arial" w:hAnsi="Arial"/>
        </w:rPr>
        <w:lastRenderedPageBreak/>
        <w:t>Who will do it?</w:t>
      </w:r>
    </w:p>
    <w:p w14:paraId="6E712461" w14:textId="0C2ED3EA" w:rsidR="003114D5" w:rsidRPr="00633635" w:rsidRDefault="003114D5" w:rsidP="003114D5">
      <w:pPr>
        <w:rPr>
          <w:rFonts w:ascii="Arial" w:hAnsi="Arial" w:cs="Arial"/>
        </w:rPr>
      </w:pPr>
      <w:r w:rsidRPr="00633635">
        <w:rPr>
          <w:rFonts w:ascii="Arial" w:hAnsi="Arial" w:cs="Arial"/>
        </w:rPr>
        <w:t>The Inspector-General</w:t>
      </w:r>
      <w:r w:rsidR="004533DF" w:rsidRPr="00633635">
        <w:rPr>
          <w:rFonts w:ascii="Arial" w:hAnsi="Arial" w:cs="Arial"/>
        </w:rPr>
        <w:t xml:space="preserve"> of Water Compliance</w:t>
      </w:r>
      <w:r w:rsidRPr="00633635">
        <w:rPr>
          <w:rFonts w:ascii="Arial" w:hAnsi="Arial" w:cs="Arial"/>
        </w:rPr>
        <w:t>.</w:t>
      </w:r>
    </w:p>
    <w:p w14:paraId="058D9C05" w14:textId="77777777" w:rsidR="003114D5" w:rsidRPr="00633635" w:rsidRDefault="003114D5" w:rsidP="003114D5">
      <w:pPr>
        <w:pStyle w:val="Heading3"/>
        <w:rPr>
          <w:rFonts w:ascii="Arial" w:hAnsi="Arial"/>
        </w:rPr>
      </w:pPr>
      <w:r w:rsidRPr="00633635">
        <w:rPr>
          <w:rFonts w:ascii="Arial" w:hAnsi="Arial"/>
        </w:rPr>
        <w:t>When will it be done?</w:t>
      </w:r>
    </w:p>
    <w:p w14:paraId="24A72C2F" w14:textId="1AEEB29E" w:rsidR="003114D5" w:rsidRPr="00633635" w:rsidRDefault="005D266C" w:rsidP="003114D5">
      <w:pPr>
        <w:rPr>
          <w:rFonts w:ascii="Arial" w:hAnsi="Arial" w:cs="Arial"/>
        </w:rPr>
      </w:pPr>
      <w:r w:rsidRPr="00633635">
        <w:rPr>
          <w:rFonts w:ascii="Arial" w:hAnsi="Arial" w:cs="Arial"/>
        </w:rPr>
        <w:t xml:space="preserve">It is intended to </w:t>
      </w:r>
      <w:r w:rsidR="003114D5" w:rsidRPr="00633635">
        <w:rPr>
          <w:rFonts w:ascii="Arial" w:hAnsi="Arial" w:cs="Arial"/>
        </w:rPr>
        <w:t>be completed by the end of 2024</w:t>
      </w:r>
      <w:r w:rsidR="00821D3C" w:rsidRPr="00633635">
        <w:rPr>
          <w:rFonts w:ascii="Arial" w:hAnsi="Arial" w:cs="Arial"/>
        </w:rPr>
        <w:t>.</w:t>
      </w:r>
    </w:p>
    <w:p w14:paraId="0B3C7C42" w14:textId="77777777" w:rsidR="00E867ED" w:rsidRPr="00633635" w:rsidRDefault="00E867ED" w:rsidP="00E867ED">
      <w:pPr>
        <w:pStyle w:val="Heading3"/>
        <w:rPr>
          <w:rFonts w:ascii="Arial" w:hAnsi="Arial"/>
        </w:rPr>
      </w:pPr>
      <w:r w:rsidRPr="00633635">
        <w:rPr>
          <w:rFonts w:ascii="Arial" w:hAnsi="Arial"/>
        </w:rPr>
        <w:t>What will this do?</w:t>
      </w:r>
    </w:p>
    <w:p w14:paraId="52470FF8" w14:textId="73ACEF8A" w:rsidR="00E867ED" w:rsidRPr="00633635" w:rsidRDefault="00E867ED" w:rsidP="003114D5">
      <w:pPr>
        <w:rPr>
          <w:rFonts w:ascii="Arial" w:hAnsi="Arial" w:cs="Arial"/>
        </w:rPr>
      </w:pPr>
      <w:r w:rsidRPr="00633635">
        <w:rPr>
          <w:rFonts w:ascii="Arial" w:hAnsi="Arial" w:cs="Arial"/>
        </w:rPr>
        <w:t xml:space="preserve">Guidance on the actual harm caused by unauthorised take of water will assist Basin states when undertaking </w:t>
      </w:r>
      <w:r w:rsidR="00AC5E69" w:rsidRPr="00633635">
        <w:rPr>
          <w:rFonts w:ascii="Arial" w:hAnsi="Arial" w:cs="Arial"/>
        </w:rPr>
        <w:t>enforcement</w:t>
      </w:r>
      <w:r w:rsidRPr="00633635">
        <w:rPr>
          <w:rFonts w:ascii="Arial" w:hAnsi="Arial" w:cs="Arial"/>
        </w:rPr>
        <w:t xml:space="preserve"> </w:t>
      </w:r>
      <w:r w:rsidR="00AC5E69" w:rsidRPr="00633635">
        <w:rPr>
          <w:rFonts w:ascii="Arial" w:hAnsi="Arial" w:cs="Arial"/>
        </w:rPr>
        <w:t>of</w:t>
      </w:r>
      <w:r w:rsidRPr="00633635">
        <w:rPr>
          <w:rFonts w:ascii="Arial" w:hAnsi="Arial" w:cs="Arial"/>
        </w:rPr>
        <w:t xml:space="preserve"> water theft. </w:t>
      </w:r>
      <w:r w:rsidR="000C3B1E" w:rsidRPr="00633635">
        <w:rPr>
          <w:rFonts w:ascii="Arial" w:hAnsi="Arial" w:cs="Arial"/>
        </w:rPr>
        <w:t xml:space="preserve">It aims to create a consistent baseline to </w:t>
      </w:r>
      <w:r w:rsidR="00AC5E69" w:rsidRPr="00633635">
        <w:rPr>
          <w:rFonts w:ascii="Arial" w:hAnsi="Arial" w:cs="Arial"/>
        </w:rPr>
        <w:t>quantify</w:t>
      </w:r>
      <w:r w:rsidR="000C3B1E" w:rsidRPr="00633635">
        <w:rPr>
          <w:rFonts w:ascii="Arial" w:hAnsi="Arial" w:cs="Arial"/>
        </w:rPr>
        <w:t xml:space="preserve"> the actual harm caused by unauthorised water take, </w:t>
      </w:r>
      <w:proofErr w:type="gramStart"/>
      <w:r w:rsidR="000C3B1E" w:rsidRPr="00633635">
        <w:rPr>
          <w:rFonts w:ascii="Arial" w:hAnsi="Arial" w:cs="Arial"/>
        </w:rPr>
        <w:t>taking into account</w:t>
      </w:r>
      <w:proofErr w:type="gramEnd"/>
      <w:r w:rsidR="000C3B1E" w:rsidRPr="00633635">
        <w:rPr>
          <w:rFonts w:ascii="Arial" w:hAnsi="Arial" w:cs="Arial"/>
        </w:rPr>
        <w:t xml:space="preserve"> </w:t>
      </w:r>
      <w:r w:rsidR="00AC5E69" w:rsidRPr="00633635">
        <w:rPr>
          <w:rFonts w:ascii="Arial" w:hAnsi="Arial" w:cs="Arial"/>
        </w:rPr>
        <w:t xml:space="preserve">a number of factors including commercial cost, environmental harm, and </w:t>
      </w:r>
      <w:r w:rsidR="00DF6B59" w:rsidRPr="00633635">
        <w:rPr>
          <w:rFonts w:ascii="Arial" w:hAnsi="Arial" w:cs="Arial"/>
        </w:rPr>
        <w:t xml:space="preserve">the </w:t>
      </w:r>
      <w:r w:rsidR="00AC5E69" w:rsidRPr="00633635">
        <w:rPr>
          <w:rFonts w:ascii="Arial" w:hAnsi="Arial" w:cs="Arial"/>
        </w:rPr>
        <w:t>loss</w:t>
      </w:r>
      <w:r w:rsidR="00DF6B59" w:rsidRPr="00633635">
        <w:rPr>
          <w:rFonts w:ascii="Arial" w:hAnsi="Arial" w:cs="Arial"/>
        </w:rPr>
        <w:t xml:space="preserve"> of water </w:t>
      </w:r>
      <w:r w:rsidR="00AC5E69" w:rsidRPr="00633635">
        <w:rPr>
          <w:rFonts w:ascii="Arial" w:hAnsi="Arial" w:cs="Arial"/>
        </w:rPr>
        <w:t xml:space="preserve">to </w:t>
      </w:r>
      <w:r w:rsidR="00DF6B59" w:rsidRPr="00633635">
        <w:rPr>
          <w:rFonts w:ascii="Arial" w:hAnsi="Arial" w:cs="Arial"/>
        </w:rPr>
        <w:t>F</w:t>
      </w:r>
      <w:r w:rsidR="00AC5E69" w:rsidRPr="00633635">
        <w:rPr>
          <w:rFonts w:ascii="Arial" w:hAnsi="Arial" w:cs="Arial"/>
        </w:rPr>
        <w:t xml:space="preserve">irst </w:t>
      </w:r>
      <w:r w:rsidR="00DF6B59" w:rsidRPr="00633635">
        <w:rPr>
          <w:rFonts w:ascii="Arial" w:hAnsi="Arial" w:cs="Arial"/>
        </w:rPr>
        <w:t>N</w:t>
      </w:r>
      <w:r w:rsidR="00AC5E69" w:rsidRPr="00633635">
        <w:rPr>
          <w:rFonts w:ascii="Arial" w:hAnsi="Arial" w:cs="Arial"/>
        </w:rPr>
        <w:t xml:space="preserve">ations </w:t>
      </w:r>
      <w:r w:rsidR="00DF6B59" w:rsidRPr="00633635">
        <w:rPr>
          <w:rFonts w:ascii="Arial" w:hAnsi="Arial" w:cs="Arial"/>
        </w:rPr>
        <w:t>people</w:t>
      </w:r>
      <w:r w:rsidR="00AC5E69" w:rsidRPr="00633635">
        <w:rPr>
          <w:rFonts w:ascii="Arial" w:hAnsi="Arial" w:cs="Arial"/>
        </w:rPr>
        <w:t>.</w:t>
      </w:r>
      <w:r w:rsidR="00E94320" w:rsidRPr="00633635">
        <w:rPr>
          <w:rFonts w:ascii="Arial" w:hAnsi="Arial" w:cs="Arial"/>
        </w:rPr>
        <w:t xml:space="preserve"> </w:t>
      </w:r>
    </w:p>
    <w:p w14:paraId="0CCCEEA7" w14:textId="77777777" w:rsidR="00407165" w:rsidRPr="00633635" w:rsidRDefault="00407165" w:rsidP="00685F11">
      <w:pPr>
        <w:rPr>
          <w:rFonts w:ascii="Arial" w:hAnsi="Arial" w:cs="Arial"/>
          <w:u w:val="single"/>
        </w:rPr>
      </w:pPr>
    </w:p>
    <w:p w14:paraId="285E834F" w14:textId="354A41ED" w:rsidR="003C2B65" w:rsidRPr="00633635" w:rsidRDefault="003C2B65" w:rsidP="003C2B65">
      <w:pPr>
        <w:spacing w:after="0"/>
        <w:rPr>
          <w:rFonts w:ascii="Arial" w:hAnsi="Arial" w:cs="Arial"/>
          <w:b/>
          <w:color w:val="48555E" w:themeColor="text2"/>
          <w:sz w:val="32"/>
          <w:szCs w:val="20"/>
        </w:rPr>
      </w:pPr>
      <w:r w:rsidRPr="00633635">
        <w:rPr>
          <w:rFonts w:ascii="Arial" w:hAnsi="Arial" w:cs="Arial"/>
        </w:rPr>
        <w:br w:type="page"/>
      </w:r>
    </w:p>
    <w:p w14:paraId="4CE0266B" w14:textId="77777777" w:rsidR="003C2B65" w:rsidRPr="00633635" w:rsidRDefault="003C2B65" w:rsidP="000C4E61">
      <w:pPr>
        <w:rPr>
          <w:rFonts w:ascii="Arial" w:hAnsi="Arial" w:cs="Arial"/>
        </w:rPr>
      </w:pPr>
      <w:r w:rsidRPr="00633635">
        <w:rPr>
          <w:rFonts w:ascii="Arial" w:hAnsi="Arial" w:cs="Arial"/>
          <w:noProof/>
        </w:rPr>
        <w:lastRenderedPageBreak/>
        <w:drawing>
          <wp:anchor distT="0" distB="0" distL="114300" distR="114300" simplePos="0" relativeHeight="251658240" behindDoc="1" locked="0" layoutInCell="1" allowOverlap="1" wp14:anchorId="4FB0E7B1" wp14:editId="04D08F3D">
            <wp:simplePos x="0" y="0"/>
            <wp:positionH relativeFrom="margin">
              <wp:posOffset>-745692</wp:posOffset>
            </wp:positionH>
            <wp:positionV relativeFrom="paragraph">
              <wp:posOffset>-824865</wp:posOffset>
            </wp:positionV>
            <wp:extent cx="7578533" cy="9387205"/>
            <wp:effectExtent l="0" t="0" r="3810" b="4445"/>
            <wp:wrapNone/>
            <wp:docPr id="17" name="Picture 17" descr="A picture showing the convergence of the Murray and Darling rivers, taken near Wentwo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showing the convergence of the Murray and Darling rivers, taken near Wentworth"/>
                    <pic:cNvPicPr/>
                  </pic:nvPicPr>
                  <pic:blipFill>
                    <a:blip r:embed="rId39">
                      <a:extLst>
                        <a:ext uri="{28A0092B-C50C-407E-A947-70E740481C1C}">
                          <a14:useLocalDpi xmlns:a14="http://schemas.microsoft.com/office/drawing/2010/main" val="0"/>
                        </a:ext>
                      </a:extLst>
                    </a:blip>
                    <a:stretch>
                      <a:fillRect/>
                    </a:stretch>
                  </pic:blipFill>
                  <pic:spPr>
                    <a:xfrm>
                      <a:off x="0" y="0"/>
                      <a:ext cx="7594759" cy="9407303"/>
                    </a:xfrm>
                    <a:prstGeom prst="rect">
                      <a:avLst/>
                    </a:prstGeom>
                  </pic:spPr>
                </pic:pic>
              </a:graphicData>
            </a:graphic>
            <wp14:sizeRelH relativeFrom="page">
              <wp14:pctWidth>0</wp14:pctWidth>
            </wp14:sizeRelH>
            <wp14:sizeRelV relativeFrom="page">
              <wp14:pctHeight>0</wp14:pctHeight>
            </wp14:sizeRelV>
          </wp:anchor>
        </w:drawing>
      </w:r>
    </w:p>
    <w:p w14:paraId="4E2EC3F7" w14:textId="77777777" w:rsidR="003C2B65" w:rsidRPr="00633635" w:rsidRDefault="003C2B65" w:rsidP="003C2B65">
      <w:pPr>
        <w:rPr>
          <w:rFonts w:ascii="Arial" w:hAnsi="Arial" w:cs="Arial"/>
        </w:rPr>
      </w:pPr>
    </w:p>
    <w:p w14:paraId="7320C68D" w14:textId="77777777" w:rsidR="003C2B65" w:rsidRPr="00633635" w:rsidRDefault="003C2B65" w:rsidP="003C2B65">
      <w:pPr>
        <w:rPr>
          <w:rFonts w:ascii="Arial" w:hAnsi="Arial" w:cs="Arial"/>
        </w:rPr>
      </w:pPr>
    </w:p>
    <w:p w14:paraId="4B6DF7AC" w14:textId="77777777" w:rsidR="003C2B65" w:rsidRPr="00633635" w:rsidRDefault="003C2B65" w:rsidP="003C2B65">
      <w:pPr>
        <w:rPr>
          <w:rFonts w:ascii="Arial" w:hAnsi="Arial" w:cs="Arial"/>
        </w:rPr>
      </w:pPr>
    </w:p>
    <w:p w14:paraId="54C3636A" w14:textId="77777777" w:rsidR="003C2B65" w:rsidRPr="00633635" w:rsidRDefault="003C2B65" w:rsidP="003C2B65">
      <w:pPr>
        <w:rPr>
          <w:rFonts w:ascii="Arial" w:hAnsi="Arial" w:cs="Arial"/>
        </w:rPr>
      </w:pPr>
    </w:p>
    <w:p w14:paraId="66C9C2DB" w14:textId="77777777" w:rsidR="003C2B65" w:rsidRPr="00633635" w:rsidRDefault="003C2B65" w:rsidP="003C2B65">
      <w:pPr>
        <w:rPr>
          <w:rFonts w:ascii="Arial" w:hAnsi="Arial" w:cs="Arial"/>
        </w:rPr>
      </w:pPr>
    </w:p>
    <w:p w14:paraId="6545343B" w14:textId="77777777" w:rsidR="003C2B65" w:rsidRPr="00633635" w:rsidRDefault="003C2B65" w:rsidP="003C2B65">
      <w:pPr>
        <w:rPr>
          <w:rFonts w:ascii="Arial" w:hAnsi="Arial" w:cs="Arial"/>
        </w:rPr>
      </w:pPr>
    </w:p>
    <w:p w14:paraId="2AF1B21F" w14:textId="77777777" w:rsidR="003C2B65" w:rsidRPr="00633635" w:rsidRDefault="003C2B65" w:rsidP="003C2B65">
      <w:pPr>
        <w:rPr>
          <w:rFonts w:ascii="Arial" w:hAnsi="Arial" w:cs="Arial"/>
        </w:rPr>
      </w:pPr>
    </w:p>
    <w:p w14:paraId="154B1E50" w14:textId="77777777" w:rsidR="003C2B65" w:rsidRPr="00633635" w:rsidRDefault="003C2B65" w:rsidP="003C2B65">
      <w:pPr>
        <w:rPr>
          <w:rFonts w:ascii="Arial" w:hAnsi="Arial" w:cs="Arial"/>
        </w:rPr>
      </w:pPr>
    </w:p>
    <w:p w14:paraId="7DD6AEBD" w14:textId="77777777" w:rsidR="003C2B65" w:rsidRPr="00633635" w:rsidRDefault="003C2B65" w:rsidP="003C2B65">
      <w:pPr>
        <w:rPr>
          <w:rFonts w:ascii="Arial" w:hAnsi="Arial" w:cs="Arial"/>
        </w:rPr>
      </w:pPr>
    </w:p>
    <w:p w14:paraId="2FFA7409" w14:textId="77777777" w:rsidR="003C2B65" w:rsidRPr="00633635" w:rsidRDefault="003C2B65" w:rsidP="003C2B65">
      <w:pPr>
        <w:rPr>
          <w:rFonts w:ascii="Arial" w:hAnsi="Arial" w:cs="Arial"/>
        </w:rPr>
      </w:pPr>
    </w:p>
    <w:p w14:paraId="36423BFC" w14:textId="77777777" w:rsidR="003C2B65" w:rsidRPr="00633635" w:rsidRDefault="003C2B65" w:rsidP="003C2B65">
      <w:pPr>
        <w:rPr>
          <w:rFonts w:ascii="Arial" w:hAnsi="Arial" w:cs="Arial"/>
        </w:rPr>
      </w:pPr>
    </w:p>
    <w:p w14:paraId="26040DA9" w14:textId="77777777" w:rsidR="003C2B65" w:rsidRPr="00633635" w:rsidRDefault="003C2B65" w:rsidP="003C2B65">
      <w:pPr>
        <w:rPr>
          <w:rFonts w:ascii="Arial" w:hAnsi="Arial" w:cs="Arial"/>
        </w:rPr>
      </w:pPr>
    </w:p>
    <w:p w14:paraId="048CE171" w14:textId="77777777" w:rsidR="003C2B65" w:rsidRPr="00633635" w:rsidRDefault="003C2B65" w:rsidP="003C2B65">
      <w:pPr>
        <w:rPr>
          <w:rFonts w:ascii="Arial" w:hAnsi="Arial" w:cs="Arial"/>
        </w:rPr>
      </w:pPr>
    </w:p>
    <w:p w14:paraId="2BB165BF" w14:textId="77777777" w:rsidR="003C2B65" w:rsidRPr="00633635" w:rsidRDefault="003C2B65" w:rsidP="003C2B65">
      <w:pPr>
        <w:rPr>
          <w:rFonts w:ascii="Arial" w:hAnsi="Arial" w:cs="Arial"/>
        </w:rPr>
      </w:pPr>
    </w:p>
    <w:p w14:paraId="4F9924FB" w14:textId="77777777" w:rsidR="003C2B65" w:rsidRPr="00633635" w:rsidRDefault="003C2B65" w:rsidP="003C2B65">
      <w:pPr>
        <w:rPr>
          <w:rFonts w:ascii="Arial" w:hAnsi="Arial" w:cs="Arial"/>
        </w:rPr>
      </w:pPr>
    </w:p>
    <w:p w14:paraId="412C8DCC" w14:textId="77777777" w:rsidR="003C2B65" w:rsidRPr="00633635" w:rsidRDefault="003C2B65" w:rsidP="003C2B65">
      <w:pPr>
        <w:rPr>
          <w:rFonts w:ascii="Arial" w:hAnsi="Arial" w:cs="Arial"/>
        </w:rPr>
      </w:pPr>
    </w:p>
    <w:p w14:paraId="65489211" w14:textId="77777777" w:rsidR="003C2B65" w:rsidRPr="00633635" w:rsidRDefault="003C2B65" w:rsidP="003C2B65">
      <w:pPr>
        <w:rPr>
          <w:rFonts w:ascii="Arial" w:hAnsi="Arial" w:cs="Arial"/>
        </w:rPr>
      </w:pPr>
    </w:p>
    <w:p w14:paraId="2C18708A" w14:textId="77777777" w:rsidR="003C2B65" w:rsidRPr="00633635" w:rsidRDefault="003C2B65" w:rsidP="003C2B65">
      <w:pPr>
        <w:rPr>
          <w:rFonts w:ascii="Arial" w:hAnsi="Arial" w:cs="Arial"/>
        </w:rPr>
      </w:pPr>
    </w:p>
    <w:p w14:paraId="40A23A38" w14:textId="77777777" w:rsidR="003C2B65" w:rsidRPr="00633635" w:rsidRDefault="003C2B65" w:rsidP="003C2B65">
      <w:pPr>
        <w:rPr>
          <w:rFonts w:ascii="Arial" w:hAnsi="Arial" w:cs="Arial"/>
        </w:rPr>
      </w:pPr>
    </w:p>
    <w:p w14:paraId="2AA05940" w14:textId="77777777" w:rsidR="003C2B65" w:rsidRPr="00633635" w:rsidRDefault="003C2B65" w:rsidP="003C2B65">
      <w:pPr>
        <w:rPr>
          <w:rFonts w:ascii="Arial" w:hAnsi="Arial" w:cs="Arial"/>
        </w:rPr>
      </w:pPr>
    </w:p>
    <w:p w14:paraId="648CBD19" w14:textId="77777777" w:rsidR="003C2B65" w:rsidRPr="00633635" w:rsidRDefault="003C2B65" w:rsidP="003C2B65">
      <w:pPr>
        <w:rPr>
          <w:rFonts w:ascii="Arial" w:hAnsi="Arial" w:cs="Arial"/>
        </w:rPr>
      </w:pPr>
    </w:p>
    <w:p w14:paraId="063F418D" w14:textId="77777777" w:rsidR="003C2B65" w:rsidRPr="00633635" w:rsidRDefault="003C2B65" w:rsidP="003C2B65">
      <w:pPr>
        <w:rPr>
          <w:rFonts w:ascii="Arial" w:hAnsi="Arial" w:cs="Arial"/>
        </w:rPr>
      </w:pPr>
    </w:p>
    <w:p w14:paraId="43C26D0E" w14:textId="77777777" w:rsidR="003C2B65" w:rsidRPr="00633635" w:rsidRDefault="003C2B65" w:rsidP="003C2B65">
      <w:pPr>
        <w:rPr>
          <w:rFonts w:ascii="Arial" w:hAnsi="Arial" w:cs="Arial"/>
        </w:rPr>
      </w:pPr>
    </w:p>
    <w:p w14:paraId="14DE79B8" w14:textId="77777777" w:rsidR="003C2B65" w:rsidRPr="00633635" w:rsidRDefault="003C2B65" w:rsidP="003C2B65">
      <w:pPr>
        <w:rPr>
          <w:rFonts w:ascii="Arial" w:hAnsi="Arial" w:cs="Arial"/>
        </w:rPr>
      </w:pPr>
    </w:p>
    <w:p w14:paraId="35F05432" w14:textId="77777777" w:rsidR="003C2B65" w:rsidRPr="00633635" w:rsidRDefault="003C2B65" w:rsidP="003C2B65">
      <w:pPr>
        <w:rPr>
          <w:rFonts w:ascii="Arial" w:hAnsi="Arial" w:cs="Arial"/>
        </w:rPr>
      </w:pPr>
    </w:p>
    <w:p w14:paraId="5FDADF86" w14:textId="77777777" w:rsidR="003C2B65" w:rsidRPr="00633635" w:rsidRDefault="003C2B65" w:rsidP="003C2B65">
      <w:pPr>
        <w:rPr>
          <w:rFonts w:ascii="Arial" w:hAnsi="Arial" w:cs="Arial"/>
        </w:rPr>
      </w:pPr>
    </w:p>
    <w:p w14:paraId="6ABDFDF4" w14:textId="77777777" w:rsidR="003C2B65" w:rsidRPr="00633635" w:rsidRDefault="003C2B65" w:rsidP="003C2B65">
      <w:pPr>
        <w:rPr>
          <w:rFonts w:ascii="Arial" w:hAnsi="Arial" w:cs="Arial"/>
        </w:rPr>
      </w:pPr>
    </w:p>
    <w:p w14:paraId="15C47786" w14:textId="77777777" w:rsidR="003C2B65" w:rsidRPr="00633635" w:rsidRDefault="003C2B65" w:rsidP="003C2B65">
      <w:pPr>
        <w:rPr>
          <w:rFonts w:ascii="Arial" w:hAnsi="Arial" w:cs="Arial"/>
        </w:rPr>
      </w:pPr>
    </w:p>
    <w:p w14:paraId="2D2A0927" w14:textId="77777777" w:rsidR="003C2B65" w:rsidRPr="00633635" w:rsidRDefault="003C2B65" w:rsidP="003C2B65">
      <w:pPr>
        <w:rPr>
          <w:rFonts w:ascii="Arial" w:hAnsi="Arial" w:cs="Arial"/>
        </w:rPr>
      </w:pPr>
    </w:p>
    <w:p w14:paraId="77CE4EA5" w14:textId="77777777" w:rsidR="004A6FF2" w:rsidRPr="00633635" w:rsidRDefault="004A6FF2" w:rsidP="003C2B65">
      <w:pPr>
        <w:rPr>
          <w:rFonts w:ascii="Arial" w:hAnsi="Arial" w:cs="Arial"/>
        </w:rPr>
      </w:pPr>
    </w:p>
    <w:p w14:paraId="2FB0F868" w14:textId="77777777" w:rsidR="003B4B3B" w:rsidRDefault="003B4B3B" w:rsidP="003C2B65">
      <w:pPr>
        <w:rPr>
          <w:rFonts w:ascii="Arial" w:hAnsi="Arial" w:cs="Arial"/>
        </w:rPr>
      </w:pPr>
    </w:p>
    <w:p w14:paraId="40ADDCDB" w14:textId="1EF4E3A8" w:rsidR="003C2B65" w:rsidRPr="00633635" w:rsidRDefault="004A6FF2" w:rsidP="003C2B65">
      <w:pPr>
        <w:rPr>
          <w:rFonts w:ascii="Arial" w:hAnsi="Arial" w:cs="Arial"/>
        </w:rPr>
      </w:pPr>
      <w:r w:rsidRPr="00633635">
        <w:rPr>
          <w:rFonts w:ascii="Arial" w:hAnsi="Arial" w:cs="Arial"/>
        </w:rPr>
        <w:t>Convergence of the Murray and Darling Rivers at Wentworth, New South Wales.</w:t>
      </w:r>
      <w:r w:rsidR="003B4B3B">
        <w:rPr>
          <w:rFonts w:ascii="Arial" w:hAnsi="Arial" w:cs="Arial"/>
        </w:rPr>
        <w:br/>
      </w:r>
      <w:r w:rsidRPr="00633635">
        <w:rPr>
          <w:rFonts w:ascii="Arial" w:hAnsi="Arial" w:cs="Arial"/>
        </w:rPr>
        <w:t>Source: Office of the Inspector-General of Water Compliance.</w:t>
      </w:r>
    </w:p>
    <w:p w14:paraId="68FEA688" w14:textId="77777777" w:rsidR="003C2B65" w:rsidRPr="00633635" w:rsidRDefault="003C2B65" w:rsidP="003C2B65">
      <w:pPr>
        <w:pStyle w:val="Heading1"/>
        <w:rPr>
          <w:rFonts w:ascii="Arial" w:hAnsi="Arial" w:cs="Arial"/>
        </w:rPr>
      </w:pPr>
      <w:bookmarkStart w:id="32" w:name="_Toc108082625"/>
      <w:bookmarkStart w:id="33" w:name="_Toc112142191"/>
      <w:r w:rsidRPr="00633635">
        <w:rPr>
          <w:rFonts w:ascii="Arial" w:hAnsi="Arial" w:cs="Arial"/>
        </w:rPr>
        <w:lastRenderedPageBreak/>
        <w:t>Glossary</w:t>
      </w:r>
      <w:bookmarkEnd w:id="32"/>
      <w:bookmarkEnd w:id="33"/>
    </w:p>
    <w:tbl>
      <w:tblPr>
        <w:tblStyle w:val="PlainTable1"/>
        <w:tblW w:w="9630" w:type="dxa"/>
        <w:tblLayout w:type="fixed"/>
        <w:tblLook w:val="04A0" w:firstRow="1" w:lastRow="0" w:firstColumn="1" w:lastColumn="0" w:noHBand="0" w:noVBand="1"/>
      </w:tblPr>
      <w:tblGrid>
        <w:gridCol w:w="2122"/>
        <w:gridCol w:w="7508"/>
      </w:tblGrid>
      <w:tr w:rsidR="003C2B65" w:rsidRPr="00633635" w14:paraId="60AA305B" w14:textId="77777777" w:rsidTr="002864E7">
        <w:trPr>
          <w:cnfStyle w:val="100000000000" w:firstRow="1" w:lastRow="0" w:firstColumn="0" w:lastColumn="0" w:oddVBand="0" w:evenVBand="0" w:oddHBand="0" w:evenHBand="0" w:firstRowFirstColumn="0" w:firstRowLastColumn="0" w:lastRowFirstColumn="0" w:lastRowLastColumn="0"/>
          <w:trHeight w:val="971"/>
        </w:trPr>
        <w:tc>
          <w:tcPr>
            <w:cnfStyle w:val="001000000000" w:firstRow="0" w:lastRow="0" w:firstColumn="1" w:lastColumn="0" w:oddVBand="0" w:evenVBand="0" w:oddHBand="0" w:evenHBand="0" w:firstRowFirstColumn="0" w:firstRowLastColumn="0" w:lastRowFirstColumn="0" w:lastRowLastColumn="0"/>
            <w:tcW w:w="2122" w:type="dxa"/>
          </w:tcPr>
          <w:p w14:paraId="52E53135" w14:textId="554741F8" w:rsidR="003C2B65" w:rsidRPr="00633635" w:rsidRDefault="000210F5" w:rsidP="00E2667B">
            <w:pPr>
              <w:spacing w:after="0"/>
              <w:rPr>
                <w:rFonts w:ascii="Arial" w:hAnsi="Arial" w:cs="Arial"/>
              </w:rPr>
            </w:pPr>
            <w:r w:rsidRPr="00633635">
              <w:rPr>
                <w:rFonts w:ascii="Arial" w:hAnsi="Arial" w:cs="Arial"/>
              </w:rPr>
              <w:t xml:space="preserve">Basin </w:t>
            </w:r>
            <w:r w:rsidR="004A6FF2" w:rsidRPr="00633635">
              <w:rPr>
                <w:rFonts w:ascii="Arial" w:hAnsi="Arial" w:cs="Arial"/>
              </w:rPr>
              <w:t>s</w:t>
            </w:r>
            <w:r w:rsidRPr="00633635">
              <w:rPr>
                <w:rFonts w:ascii="Arial" w:hAnsi="Arial" w:cs="Arial"/>
              </w:rPr>
              <w:t>tates</w:t>
            </w:r>
          </w:p>
        </w:tc>
        <w:tc>
          <w:tcPr>
            <w:tcW w:w="7508" w:type="dxa"/>
          </w:tcPr>
          <w:p w14:paraId="3D9D9000" w14:textId="7E516465" w:rsidR="003C2B65" w:rsidRPr="00633635" w:rsidDel="00D31F39" w:rsidRDefault="00550972" w:rsidP="00E2667B">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633635">
              <w:rPr>
                <w:rFonts w:ascii="Arial" w:hAnsi="Arial" w:cs="Arial"/>
                <w:b w:val="0"/>
                <w:bCs w:val="0"/>
              </w:rPr>
              <w:t xml:space="preserve">Each of New South Wales, Victoria, Queensland, South </w:t>
            </w:r>
            <w:proofErr w:type="gramStart"/>
            <w:r w:rsidRPr="00633635">
              <w:rPr>
                <w:rFonts w:ascii="Arial" w:hAnsi="Arial" w:cs="Arial"/>
                <w:b w:val="0"/>
                <w:bCs w:val="0"/>
              </w:rPr>
              <w:t>Australia</w:t>
            </w:r>
            <w:proofErr w:type="gramEnd"/>
            <w:r w:rsidRPr="00633635">
              <w:rPr>
                <w:rFonts w:ascii="Arial" w:hAnsi="Arial" w:cs="Arial"/>
                <w:b w:val="0"/>
                <w:bCs w:val="0"/>
              </w:rPr>
              <w:t xml:space="preserve"> and the Australian Capital Territory</w:t>
            </w:r>
          </w:p>
        </w:tc>
      </w:tr>
      <w:tr w:rsidR="00550972" w:rsidRPr="00633635" w14:paraId="59544670" w14:textId="77777777" w:rsidTr="002864E7">
        <w:trPr>
          <w:cnfStyle w:val="000000100000" w:firstRow="0" w:lastRow="0" w:firstColumn="0" w:lastColumn="0" w:oddVBand="0" w:evenVBand="0" w:oddHBand="1" w:evenHBand="0" w:firstRowFirstColumn="0" w:firstRowLastColumn="0" w:lastRowFirstColumn="0" w:lastRowLastColumn="0"/>
          <w:trHeight w:val="971"/>
        </w:trPr>
        <w:tc>
          <w:tcPr>
            <w:cnfStyle w:val="001000000000" w:firstRow="0" w:lastRow="0" w:firstColumn="1" w:lastColumn="0" w:oddVBand="0" w:evenVBand="0" w:oddHBand="0" w:evenHBand="0" w:firstRowFirstColumn="0" w:firstRowLastColumn="0" w:lastRowFirstColumn="0" w:lastRowLastColumn="0"/>
            <w:tcW w:w="2122" w:type="dxa"/>
          </w:tcPr>
          <w:p w14:paraId="7C0E0386" w14:textId="29BAA7E7" w:rsidR="00550972" w:rsidRPr="00633635" w:rsidRDefault="00550972" w:rsidP="00550972">
            <w:pPr>
              <w:spacing w:after="0"/>
              <w:rPr>
                <w:rFonts w:ascii="Arial" w:hAnsi="Arial" w:cs="Arial"/>
              </w:rPr>
            </w:pPr>
            <w:r w:rsidRPr="00633635">
              <w:rPr>
                <w:rFonts w:ascii="Arial" w:hAnsi="Arial" w:cs="Arial"/>
              </w:rPr>
              <w:t>Murray</w:t>
            </w:r>
            <w:r w:rsidR="0055778F" w:rsidRPr="00633635">
              <w:rPr>
                <w:rFonts w:ascii="Arial" w:hAnsi="Arial" w:cs="Arial"/>
              </w:rPr>
              <w:t>–</w:t>
            </w:r>
            <w:r w:rsidRPr="00633635">
              <w:rPr>
                <w:rFonts w:ascii="Arial" w:hAnsi="Arial" w:cs="Arial"/>
              </w:rPr>
              <w:t>Darling Basin Compliance Compact</w:t>
            </w:r>
          </w:p>
        </w:tc>
        <w:tc>
          <w:tcPr>
            <w:tcW w:w="7508" w:type="dxa"/>
          </w:tcPr>
          <w:p w14:paraId="40AA1E2C" w14:textId="78C81677" w:rsidR="00550972" w:rsidRPr="00633635" w:rsidRDefault="00550972" w:rsidP="00550972">
            <w:p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633635">
              <w:rPr>
                <w:rFonts w:ascii="Arial" w:hAnsi="Arial" w:cs="Arial"/>
              </w:rPr>
              <w:t xml:space="preserve">A collaborative, joint commitment by the Australian Government and </w:t>
            </w:r>
            <w:r w:rsidR="000210F5" w:rsidRPr="00633635">
              <w:rPr>
                <w:rFonts w:ascii="Arial" w:hAnsi="Arial" w:cs="Arial"/>
              </w:rPr>
              <w:t xml:space="preserve">Basin </w:t>
            </w:r>
            <w:r w:rsidR="0055778F" w:rsidRPr="00633635">
              <w:rPr>
                <w:rFonts w:ascii="Arial" w:hAnsi="Arial" w:cs="Arial"/>
              </w:rPr>
              <w:t>s</w:t>
            </w:r>
            <w:r w:rsidR="000210F5" w:rsidRPr="00633635">
              <w:rPr>
                <w:rFonts w:ascii="Arial" w:hAnsi="Arial" w:cs="Arial"/>
              </w:rPr>
              <w:t>tates</w:t>
            </w:r>
            <w:r w:rsidRPr="00633635">
              <w:rPr>
                <w:rFonts w:ascii="Arial" w:hAnsi="Arial" w:cs="Arial"/>
              </w:rPr>
              <w:t xml:space="preserve"> that aims to restore public confidence in water resource management in the </w:t>
            </w:r>
            <w:r w:rsidR="0055778F" w:rsidRPr="00633635">
              <w:rPr>
                <w:rFonts w:ascii="Arial" w:hAnsi="Arial" w:cs="Arial"/>
              </w:rPr>
              <w:t xml:space="preserve">Murray–Darling </w:t>
            </w:r>
            <w:r w:rsidRPr="00633635">
              <w:rPr>
                <w:rFonts w:ascii="Arial" w:hAnsi="Arial" w:cs="Arial"/>
              </w:rPr>
              <w:t>Basin by providing transparency and accountability of surface and groundwater management and regulation and a consistent approach to compliance and enforcement practices by governments across the Basin.</w:t>
            </w:r>
          </w:p>
        </w:tc>
      </w:tr>
      <w:tr w:rsidR="00550972" w:rsidRPr="00633635" w14:paraId="43301BAE" w14:textId="77777777" w:rsidTr="002864E7">
        <w:trPr>
          <w:trHeight w:val="305"/>
        </w:trPr>
        <w:tc>
          <w:tcPr>
            <w:cnfStyle w:val="001000000000" w:firstRow="0" w:lastRow="0" w:firstColumn="1" w:lastColumn="0" w:oddVBand="0" w:evenVBand="0" w:oddHBand="0" w:evenHBand="0" w:firstRowFirstColumn="0" w:firstRowLastColumn="0" w:lastRowFirstColumn="0" w:lastRowLastColumn="0"/>
            <w:tcW w:w="2122" w:type="dxa"/>
          </w:tcPr>
          <w:p w14:paraId="111F2955" w14:textId="69D15D4D" w:rsidR="00550972" w:rsidRPr="00633635" w:rsidRDefault="00550972" w:rsidP="00550972">
            <w:pPr>
              <w:spacing w:after="0"/>
              <w:rPr>
                <w:rFonts w:ascii="Arial" w:hAnsi="Arial" w:cs="Arial"/>
              </w:rPr>
            </w:pPr>
            <w:r w:rsidRPr="00633635">
              <w:rPr>
                <w:rFonts w:ascii="Arial" w:hAnsi="Arial" w:cs="Arial"/>
              </w:rPr>
              <w:t>Basin Plan</w:t>
            </w:r>
          </w:p>
        </w:tc>
        <w:tc>
          <w:tcPr>
            <w:tcW w:w="7508" w:type="dxa"/>
          </w:tcPr>
          <w:p w14:paraId="738151E8" w14:textId="68EF8C01" w:rsidR="00550972" w:rsidRPr="00633635" w:rsidRDefault="00550972" w:rsidP="00550972">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633635">
              <w:rPr>
                <w:rFonts w:ascii="Arial" w:hAnsi="Arial" w:cs="Arial"/>
              </w:rPr>
              <w:t xml:space="preserve">The plan made by the responsible Commonwealth minister under section 44 of the </w:t>
            </w:r>
            <w:r w:rsidRPr="00633635">
              <w:rPr>
                <w:rFonts w:ascii="Arial" w:hAnsi="Arial" w:cs="Arial"/>
                <w:i/>
                <w:iCs/>
              </w:rPr>
              <w:t>Water Act 2007</w:t>
            </w:r>
            <w:r w:rsidRPr="00633635">
              <w:rPr>
                <w:rFonts w:ascii="Arial" w:hAnsi="Arial" w:cs="Arial"/>
              </w:rPr>
              <w:t>. It sets standards for the management of the Murray–Darling Basin’s water resources in a coordinated and sustainable way in collaboration with the community. Officially known as the Basin Plan 2012</w:t>
            </w:r>
            <w:r w:rsidR="0055778F" w:rsidRPr="00633635">
              <w:rPr>
                <w:rFonts w:ascii="Arial" w:hAnsi="Arial" w:cs="Arial"/>
              </w:rPr>
              <w:t>.</w:t>
            </w:r>
          </w:p>
        </w:tc>
      </w:tr>
      <w:tr w:rsidR="00550972" w:rsidRPr="00633635" w14:paraId="686E9F30" w14:textId="77777777" w:rsidTr="002864E7">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2122" w:type="dxa"/>
          </w:tcPr>
          <w:p w14:paraId="1EB73C82" w14:textId="4B921FAE" w:rsidR="00550972" w:rsidRPr="00633635" w:rsidRDefault="00550972" w:rsidP="00550972">
            <w:pPr>
              <w:spacing w:after="0"/>
              <w:rPr>
                <w:rFonts w:ascii="Arial" w:hAnsi="Arial" w:cs="Arial"/>
              </w:rPr>
            </w:pPr>
            <w:r w:rsidRPr="00633635">
              <w:rPr>
                <w:rFonts w:ascii="Arial" w:hAnsi="Arial" w:cs="Arial"/>
              </w:rPr>
              <w:t>Floodplain harvesting</w:t>
            </w:r>
          </w:p>
        </w:tc>
        <w:tc>
          <w:tcPr>
            <w:tcW w:w="7508" w:type="dxa"/>
          </w:tcPr>
          <w:p w14:paraId="3FD62436" w14:textId="77777777" w:rsidR="00550972" w:rsidRPr="00633635" w:rsidRDefault="00550972" w:rsidP="00550972">
            <w:p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633635">
              <w:rPr>
                <w:rFonts w:ascii="Arial" w:hAnsi="Arial" w:cs="Arial"/>
              </w:rPr>
              <w:t>The collection, extraction or impoundment of water flowing across floodplains, including rainfall run-off and overbank flow but excluding the taking of:</w:t>
            </w:r>
          </w:p>
          <w:p w14:paraId="153808D5" w14:textId="2F12D35C" w:rsidR="00550972" w:rsidRPr="00633635" w:rsidRDefault="00550972" w:rsidP="00550972">
            <w:pPr>
              <w:pStyle w:val="ListParagraph"/>
              <w:numPr>
                <w:ilvl w:val="0"/>
                <w:numId w:val="5"/>
              </w:numPr>
              <w:spacing w:before="0" w:after="0"/>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2"/>
                <w:bdr w:val="none" w:sz="0" w:space="0" w:color="auto"/>
              </w:rPr>
            </w:pPr>
            <w:r w:rsidRPr="00633635">
              <w:rPr>
                <w:rFonts w:ascii="Arial" w:eastAsia="Calibri" w:hAnsi="Arial" w:cs="Arial"/>
                <w:sz w:val="20"/>
                <w:szCs w:val="22"/>
                <w:bdr w:val="none" w:sz="0" w:space="0" w:color="auto"/>
              </w:rPr>
              <w:t>water taken under a water access licence that is not a floodplain harvesting access licence</w:t>
            </w:r>
          </w:p>
          <w:p w14:paraId="21B7855C" w14:textId="00433B48" w:rsidR="00550972" w:rsidRPr="00633635" w:rsidRDefault="00550972" w:rsidP="00550972">
            <w:pPr>
              <w:pStyle w:val="ListParagraph"/>
              <w:numPr>
                <w:ilvl w:val="0"/>
                <w:numId w:val="5"/>
              </w:numPr>
              <w:spacing w:before="0" w:after="0"/>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2"/>
                <w:bdr w:val="none" w:sz="0" w:space="0" w:color="auto"/>
              </w:rPr>
            </w:pPr>
            <w:r w:rsidRPr="00633635">
              <w:rPr>
                <w:rFonts w:ascii="Arial" w:eastAsia="Calibri" w:hAnsi="Arial" w:cs="Arial"/>
                <w:sz w:val="20"/>
                <w:szCs w:val="22"/>
                <w:bdr w:val="none" w:sz="0" w:space="0" w:color="auto"/>
              </w:rPr>
              <w:t>water under a basic landholder right including water taken under a harvestable right</w:t>
            </w:r>
          </w:p>
          <w:p w14:paraId="5B8EEE65" w14:textId="1A143C81" w:rsidR="0055778F" w:rsidRPr="00633635" w:rsidRDefault="00550972" w:rsidP="00550972">
            <w:pPr>
              <w:pStyle w:val="ListParagraph"/>
              <w:numPr>
                <w:ilvl w:val="0"/>
                <w:numId w:val="5"/>
              </w:numPr>
              <w:spacing w:before="0" w:after="0"/>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2"/>
                <w:bdr w:val="none" w:sz="0" w:space="0" w:color="auto"/>
              </w:rPr>
            </w:pPr>
            <w:r w:rsidRPr="00633635">
              <w:rPr>
                <w:rFonts w:ascii="Arial" w:eastAsia="Calibri" w:hAnsi="Arial" w:cs="Arial"/>
                <w:sz w:val="20"/>
                <w:szCs w:val="22"/>
                <w:bdr w:val="none" w:sz="0" w:space="0" w:color="auto"/>
              </w:rPr>
              <w:t>water under an applicable licence exemption</w:t>
            </w:r>
          </w:p>
          <w:p w14:paraId="1561F084" w14:textId="7C8830A0" w:rsidR="0055778F" w:rsidRPr="00633635" w:rsidRDefault="0055778F" w:rsidP="00550972">
            <w:pPr>
              <w:pStyle w:val="ListParagraph"/>
              <w:numPr>
                <w:ilvl w:val="0"/>
                <w:numId w:val="5"/>
              </w:numPr>
              <w:spacing w:before="0" w:after="0"/>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2"/>
                <w:bdr w:val="none" w:sz="0" w:space="0" w:color="auto"/>
              </w:rPr>
            </w:pPr>
            <w:r w:rsidRPr="00633635">
              <w:rPr>
                <w:rFonts w:ascii="Arial" w:eastAsia="Calibri" w:hAnsi="Arial" w:cs="Arial"/>
                <w:sz w:val="20"/>
                <w:szCs w:val="22"/>
                <w:bdr w:val="none" w:sz="0" w:space="0" w:color="auto"/>
              </w:rPr>
              <w:t>used irrigation water.</w:t>
            </w:r>
          </w:p>
          <w:p w14:paraId="76990C02" w14:textId="2F1C6CBE" w:rsidR="00550972" w:rsidRPr="00633635" w:rsidRDefault="00550972" w:rsidP="00550972">
            <w:p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50972" w:rsidRPr="00633635" w14:paraId="7A0027C7" w14:textId="77777777" w:rsidTr="002864E7">
        <w:trPr>
          <w:trHeight w:val="305"/>
        </w:trPr>
        <w:tc>
          <w:tcPr>
            <w:cnfStyle w:val="001000000000" w:firstRow="0" w:lastRow="0" w:firstColumn="1" w:lastColumn="0" w:oddVBand="0" w:evenVBand="0" w:oddHBand="0" w:evenHBand="0" w:firstRowFirstColumn="0" w:firstRowLastColumn="0" w:lastRowFirstColumn="0" w:lastRowLastColumn="0"/>
            <w:tcW w:w="2122" w:type="dxa"/>
          </w:tcPr>
          <w:p w14:paraId="76DDD504" w14:textId="08A8B1D3" w:rsidR="00550972" w:rsidRPr="00633635" w:rsidRDefault="00550972" w:rsidP="00550972">
            <w:pPr>
              <w:spacing w:after="0"/>
              <w:rPr>
                <w:rFonts w:ascii="Arial" w:hAnsi="Arial" w:cs="Arial"/>
              </w:rPr>
            </w:pPr>
            <w:r w:rsidRPr="00633635">
              <w:rPr>
                <w:rFonts w:ascii="Arial" w:hAnsi="Arial" w:cs="Arial"/>
              </w:rPr>
              <w:t>Flow event</w:t>
            </w:r>
          </w:p>
        </w:tc>
        <w:tc>
          <w:tcPr>
            <w:tcW w:w="7508" w:type="dxa"/>
          </w:tcPr>
          <w:p w14:paraId="3741FFD4" w14:textId="4ABAB11C" w:rsidR="00550972" w:rsidRPr="00633635" w:rsidRDefault="00550972" w:rsidP="00550972">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633635">
              <w:rPr>
                <w:rFonts w:ascii="Arial" w:hAnsi="Arial" w:cs="Arial"/>
              </w:rPr>
              <w:t xml:space="preserve">A rainfall event resulting in a flow of water through a </w:t>
            </w:r>
            <w:proofErr w:type="spellStart"/>
            <w:r w:rsidRPr="00633635">
              <w:rPr>
                <w:rFonts w:ascii="Arial" w:hAnsi="Arial" w:cs="Arial"/>
              </w:rPr>
              <w:t>distributory</w:t>
            </w:r>
            <w:proofErr w:type="spellEnd"/>
            <w:r w:rsidRPr="00633635">
              <w:rPr>
                <w:rFonts w:ascii="Arial" w:hAnsi="Arial" w:cs="Arial"/>
              </w:rPr>
              <w:t xml:space="preserve"> system, resulting in increased storage volumes and announcements for water harvesting.</w:t>
            </w:r>
          </w:p>
        </w:tc>
      </w:tr>
      <w:tr w:rsidR="00550972" w:rsidRPr="00633635" w14:paraId="7422A45C" w14:textId="77777777" w:rsidTr="002864E7">
        <w:trPr>
          <w:cnfStyle w:val="000000100000" w:firstRow="0" w:lastRow="0" w:firstColumn="0" w:lastColumn="0" w:oddVBand="0" w:evenVBand="0" w:oddHBand="1" w:evenHBand="0" w:firstRowFirstColumn="0" w:firstRowLastColumn="0" w:lastRowFirstColumn="0" w:lastRowLastColumn="0"/>
          <w:trHeight w:val="971"/>
        </w:trPr>
        <w:tc>
          <w:tcPr>
            <w:cnfStyle w:val="001000000000" w:firstRow="0" w:lastRow="0" w:firstColumn="1" w:lastColumn="0" w:oddVBand="0" w:evenVBand="0" w:oddHBand="0" w:evenHBand="0" w:firstRowFirstColumn="0" w:firstRowLastColumn="0" w:lastRowFirstColumn="0" w:lastRowLastColumn="0"/>
            <w:tcW w:w="2122" w:type="dxa"/>
          </w:tcPr>
          <w:p w14:paraId="7118B744" w14:textId="41ABC28A" w:rsidR="00550972" w:rsidRPr="00633635" w:rsidRDefault="00550972" w:rsidP="00550972">
            <w:pPr>
              <w:spacing w:after="0"/>
              <w:rPr>
                <w:rFonts w:ascii="Arial" w:hAnsi="Arial" w:cs="Arial"/>
              </w:rPr>
            </w:pPr>
            <w:r w:rsidRPr="00633635">
              <w:rPr>
                <w:rFonts w:ascii="Arial" w:hAnsi="Arial" w:cs="Arial"/>
              </w:rPr>
              <w:t>Overland flow</w:t>
            </w:r>
            <w:r w:rsidRPr="00633635">
              <w:rPr>
                <w:rFonts w:ascii="Arial" w:hAnsi="Arial" w:cs="Arial"/>
              </w:rPr>
              <w:br/>
            </w:r>
          </w:p>
        </w:tc>
        <w:tc>
          <w:tcPr>
            <w:tcW w:w="7508" w:type="dxa"/>
          </w:tcPr>
          <w:p w14:paraId="5C3B907B" w14:textId="7553118E" w:rsidR="00550972" w:rsidRPr="00633635" w:rsidRDefault="00550972" w:rsidP="00550972">
            <w:p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633635">
              <w:rPr>
                <w:rFonts w:ascii="Arial" w:hAnsi="Arial" w:cs="Arial"/>
              </w:rPr>
              <w:t xml:space="preserve">Overland flow refers to water that runs across the land after rainfall, either before it enters a watercourse, after it leaves a watercourse as floodwater, or after it rises to the surface naturally from underground. </w:t>
            </w:r>
          </w:p>
        </w:tc>
      </w:tr>
      <w:tr w:rsidR="00550972" w:rsidRPr="00633635" w14:paraId="21259B9F" w14:textId="77777777" w:rsidTr="002864E7">
        <w:trPr>
          <w:trHeight w:val="1045"/>
        </w:trPr>
        <w:tc>
          <w:tcPr>
            <w:cnfStyle w:val="001000000000" w:firstRow="0" w:lastRow="0" w:firstColumn="1" w:lastColumn="0" w:oddVBand="0" w:evenVBand="0" w:oddHBand="0" w:evenHBand="0" w:firstRowFirstColumn="0" w:firstRowLastColumn="0" w:lastRowFirstColumn="0" w:lastRowLastColumn="0"/>
            <w:tcW w:w="2122" w:type="dxa"/>
          </w:tcPr>
          <w:p w14:paraId="7498B761" w14:textId="77777777" w:rsidR="00550972" w:rsidRPr="00633635" w:rsidRDefault="00550972" w:rsidP="00550972">
            <w:pPr>
              <w:spacing w:after="0"/>
              <w:rPr>
                <w:rFonts w:ascii="Arial" w:hAnsi="Arial" w:cs="Arial"/>
              </w:rPr>
            </w:pPr>
            <w:r w:rsidRPr="00633635">
              <w:rPr>
                <w:rFonts w:ascii="Arial" w:hAnsi="Arial" w:cs="Arial"/>
              </w:rPr>
              <w:t>Regulated system</w:t>
            </w:r>
          </w:p>
          <w:p w14:paraId="17DD462C" w14:textId="2BBA04E3" w:rsidR="00550972" w:rsidRPr="00633635" w:rsidRDefault="00550972" w:rsidP="00550972">
            <w:pPr>
              <w:spacing w:after="0"/>
              <w:rPr>
                <w:rFonts w:ascii="Arial" w:hAnsi="Arial" w:cs="Arial"/>
              </w:rPr>
            </w:pPr>
          </w:p>
        </w:tc>
        <w:tc>
          <w:tcPr>
            <w:tcW w:w="7508" w:type="dxa"/>
          </w:tcPr>
          <w:p w14:paraId="1ED9B5F1" w14:textId="21BFEA85" w:rsidR="00550972" w:rsidRPr="00633635" w:rsidRDefault="00550972" w:rsidP="00550972">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633635">
              <w:rPr>
                <w:rFonts w:ascii="Arial" w:hAnsi="Arial" w:cs="Arial"/>
              </w:rPr>
              <w:t>A system in which water can be stored, or flow levels are controlled, through the use of structures such as dams and weirs.</w:t>
            </w:r>
          </w:p>
        </w:tc>
      </w:tr>
      <w:tr w:rsidR="00550972" w:rsidRPr="00633635" w14:paraId="17E62A25" w14:textId="77777777" w:rsidTr="002864E7">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2122" w:type="dxa"/>
          </w:tcPr>
          <w:p w14:paraId="6D7D557E" w14:textId="16014639" w:rsidR="00550972" w:rsidRPr="00633635" w:rsidRDefault="00550972" w:rsidP="00550972">
            <w:pPr>
              <w:spacing w:after="0"/>
              <w:rPr>
                <w:rFonts w:ascii="Arial" w:hAnsi="Arial" w:cs="Arial"/>
              </w:rPr>
            </w:pPr>
            <w:r w:rsidRPr="00633635">
              <w:rPr>
                <w:rFonts w:ascii="Arial" w:hAnsi="Arial" w:cs="Arial"/>
              </w:rPr>
              <w:t>Supplemented water</w:t>
            </w:r>
          </w:p>
        </w:tc>
        <w:tc>
          <w:tcPr>
            <w:tcW w:w="7508" w:type="dxa"/>
          </w:tcPr>
          <w:p w14:paraId="7C45AC0B" w14:textId="49EFAA3C" w:rsidR="00550972" w:rsidRPr="00633635" w:rsidRDefault="00550972" w:rsidP="00550972">
            <w:p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633635">
              <w:rPr>
                <w:rFonts w:ascii="Arial" w:hAnsi="Arial" w:cs="Arial"/>
              </w:rPr>
              <w:t xml:space="preserve">A term used in Queensland to describe entitlements where reliability is enhanced by infrastructure such as a dam or weir, which is managed under a resource operations licence. </w:t>
            </w:r>
          </w:p>
        </w:tc>
      </w:tr>
      <w:tr w:rsidR="00550972" w:rsidRPr="00633635" w14:paraId="784C5DFA" w14:textId="77777777" w:rsidTr="002864E7">
        <w:trPr>
          <w:trHeight w:val="491"/>
        </w:trPr>
        <w:tc>
          <w:tcPr>
            <w:cnfStyle w:val="001000000000" w:firstRow="0" w:lastRow="0" w:firstColumn="1" w:lastColumn="0" w:oddVBand="0" w:evenVBand="0" w:oddHBand="0" w:evenHBand="0" w:firstRowFirstColumn="0" w:firstRowLastColumn="0" w:lastRowFirstColumn="0" w:lastRowLastColumn="0"/>
            <w:tcW w:w="2122" w:type="dxa"/>
          </w:tcPr>
          <w:p w14:paraId="73EB8290" w14:textId="0A629C1D" w:rsidR="00550972" w:rsidRPr="00633635" w:rsidRDefault="00550972" w:rsidP="00550972">
            <w:pPr>
              <w:spacing w:after="0"/>
              <w:rPr>
                <w:rFonts w:ascii="Arial" w:hAnsi="Arial" w:cs="Arial"/>
              </w:rPr>
            </w:pPr>
            <w:r w:rsidRPr="00633635">
              <w:rPr>
                <w:rFonts w:ascii="Arial" w:hAnsi="Arial" w:cs="Arial"/>
              </w:rPr>
              <w:t>Unregulated water</w:t>
            </w:r>
          </w:p>
        </w:tc>
        <w:tc>
          <w:tcPr>
            <w:tcW w:w="7508" w:type="dxa"/>
          </w:tcPr>
          <w:p w14:paraId="2CFCC633" w14:textId="040BAF9F" w:rsidR="00550972" w:rsidRPr="00633635" w:rsidRDefault="00550972" w:rsidP="00550972">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633635">
              <w:rPr>
                <w:rFonts w:ascii="Arial" w:hAnsi="Arial" w:cs="Arial"/>
              </w:rPr>
              <w:t>Water that is not controlled or regulated by releases from major storages</w:t>
            </w:r>
          </w:p>
        </w:tc>
      </w:tr>
      <w:tr w:rsidR="00550972" w:rsidRPr="00633635" w14:paraId="24986240" w14:textId="77777777" w:rsidTr="002864E7">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2122" w:type="dxa"/>
          </w:tcPr>
          <w:p w14:paraId="24BE3CA7" w14:textId="4F5D2B3F" w:rsidR="00550972" w:rsidRPr="00633635" w:rsidRDefault="00550972" w:rsidP="00550972">
            <w:pPr>
              <w:spacing w:after="0"/>
              <w:rPr>
                <w:rFonts w:ascii="Arial" w:hAnsi="Arial" w:cs="Arial"/>
              </w:rPr>
            </w:pPr>
            <w:r w:rsidRPr="00633635">
              <w:rPr>
                <w:rFonts w:ascii="Arial" w:hAnsi="Arial" w:cs="Arial"/>
              </w:rPr>
              <w:t>Unsupplemented water</w:t>
            </w:r>
          </w:p>
        </w:tc>
        <w:tc>
          <w:tcPr>
            <w:tcW w:w="7508" w:type="dxa"/>
          </w:tcPr>
          <w:p w14:paraId="31299DD3" w14:textId="4450EA7A" w:rsidR="00550972" w:rsidRPr="00633635" w:rsidRDefault="00550972" w:rsidP="00550972">
            <w:p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633635">
              <w:rPr>
                <w:rFonts w:ascii="Arial" w:hAnsi="Arial" w:cs="Arial"/>
              </w:rPr>
              <w:t xml:space="preserve">In Queensland, unsupplemented surface water allocations are water entitlements representing a share of the access to natural run-of-the-river flows or groundwater resource. They may or may not have flow conditions applied. </w:t>
            </w:r>
          </w:p>
        </w:tc>
      </w:tr>
    </w:tbl>
    <w:p w14:paraId="04FDE661" w14:textId="77777777" w:rsidR="003C2B65" w:rsidRPr="00633635" w:rsidRDefault="003C2B65" w:rsidP="003C2B65">
      <w:pPr>
        <w:rPr>
          <w:rFonts w:ascii="Arial" w:hAnsi="Arial" w:cs="Arial"/>
        </w:rPr>
      </w:pPr>
    </w:p>
    <w:p w14:paraId="1B7BC266" w14:textId="77777777" w:rsidR="003C2B65" w:rsidRPr="00633635" w:rsidRDefault="003C2B65" w:rsidP="003C2B65">
      <w:pPr>
        <w:pStyle w:val="Heading1"/>
        <w:rPr>
          <w:rFonts w:ascii="Arial" w:hAnsi="Arial" w:cs="Arial"/>
        </w:rPr>
      </w:pPr>
      <w:bookmarkStart w:id="34" w:name="_Toc108082626"/>
      <w:bookmarkStart w:id="35" w:name="_Toc112142192"/>
      <w:r w:rsidRPr="00633635">
        <w:rPr>
          <w:rFonts w:ascii="Arial" w:hAnsi="Arial" w:cs="Arial"/>
        </w:rPr>
        <w:lastRenderedPageBreak/>
        <w:t>References</w:t>
      </w:r>
      <w:bookmarkEnd w:id="34"/>
      <w:bookmarkEnd w:id="35"/>
    </w:p>
    <w:p w14:paraId="709FF4F4" w14:textId="77777777" w:rsidR="004A291C" w:rsidRPr="00633635" w:rsidRDefault="004A291C" w:rsidP="004A291C">
      <w:pPr>
        <w:rPr>
          <w:rFonts w:ascii="Arial" w:hAnsi="Arial" w:cs="Arial"/>
        </w:rPr>
      </w:pPr>
      <w:r w:rsidRPr="00633635">
        <w:rPr>
          <w:rFonts w:ascii="Arial" w:hAnsi="Arial" w:cs="Arial"/>
        </w:rPr>
        <w:t xml:space="preserve">ACT Government, </w:t>
      </w:r>
      <w:r w:rsidRPr="00633635">
        <w:rPr>
          <w:rFonts w:ascii="Arial" w:hAnsi="Arial" w:cs="Arial"/>
          <w:i/>
          <w:iCs/>
        </w:rPr>
        <w:t>Annual report 2020–21 volume 1: Chief Minister, Treasury and Economic Development Directorate</w:t>
      </w:r>
      <w:r w:rsidRPr="00633635">
        <w:rPr>
          <w:rFonts w:ascii="Arial" w:hAnsi="Arial" w:cs="Arial"/>
        </w:rPr>
        <w:t>, 2021.</w:t>
      </w:r>
    </w:p>
    <w:p w14:paraId="43852AE1" w14:textId="77777777" w:rsidR="004A291C" w:rsidRPr="00633635" w:rsidRDefault="004A291C" w:rsidP="004A291C">
      <w:pPr>
        <w:rPr>
          <w:rFonts w:ascii="Arial" w:hAnsi="Arial" w:cs="Arial"/>
        </w:rPr>
      </w:pPr>
      <w:r w:rsidRPr="00633635">
        <w:rPr>
          <w:rFonts w:ascii="Arial" w:hAnsi="Arial" w:cs="Arial"/>
        </w:rPr>
        <w:t xml:space="preserve">Department for Environment and Water (South Australia), </w:t>
      </w:r>
      <w:r w:rsidRPr="00633635">
        <w:rPr>
          <w:rFonts w:ascii="Arial" w:hAnsi="Arial" w:cs="Arial"/>
          <w:i/>
          <w:iCs/>
        </w:rPr>
        <w:t>Water compliance reporting and planning 2020–2021</w:t>
      </w:r>
      <w:r w:rsidRPr="00633635">
        <w:rPr>
          <w:rFonts w:ascii="Arial" w:hAnsi="Arial" w:cs="Arial"/>
        </w:rPr>
        <w:t>.</w:t>
      </w:r>
    </w:p>
    <w:p w14:paraId="66CAC57D" w14:textId="77777777" w:rsidR="004A291C" w:rsidRPr="00633635" w:rsidRDefault="004A291C" w:rsidP="004A291C">
      <w:pPr>
        <w:rPr>
          <w:rFonts w:ascii="Arial" w:hAnsi="Arial" w:cs="Arial"/>
        </w:rPr>
      </w:pPr>
      <w:r w:rsidRPr="00633635">
        <w:rPr>
          <w:rFonts w:ascii="Arial" w:hAnsi="Arial" w:cs="Arial"/>
        </w:rPr>
        <w:t xml:space="preserve">Department for Environment and Water (South Australia), </w:t>
      </w:r>
      <w:r w:rsidRPr="00633635">
        <w:rPr>
          <w:rFonts w:ascii="Arial" w:hAnsi="Arial" w:cs="Arial"/>
          <w:i/>
          <w:iCs/>
        </w:rPr>
        <w:t>South Australian licensed water use metering policy</w:t>
      </w:r>
      <w:r w:rsidRPr="00633635">
        <w:rPr>
          <w:rFonts w:ascii="Arial" w:hAnsi="Arial" w:cs="Arial"/>
        </w:rPr>
        <w:t>, June 2019.</w:t>
      </w:r>
    </w:p>
    <w:p w14:paraId="0C073EC1" w14:textId="77777777" w:rsidR="004A291C" w:rsidRPr="00633635" w:rsidRDefault="004A291C" w:rsidP="004A291C">
      <w:pPr>
        <w:rPr>
          <w:rFonts w:ascii="Arial" w:hAnsi="Arial" w:cs="Arial"/>
        </w:rPr>
      </w:pPr>
      <w:r w:rsidRPr="00633635">
        <w:rPr>
          <w:rFonts w:ascii="Arial" w:hAnsi="Arial" w:cs="Arial"/>
        </w:rPr>
        <w:t xml:space="preserve">Department for Environment and Water (South Australia), </w:t>
      </w:r>
      <w:r w:rsidRPr="00633635">
        <w:rPr>
          <w:rFonts w:ascii="Arial" w:hAnsi="Arial" w:cs="Arial"/>
          <w:i/>
          <w:iCs/>
        </w:rPr>
        <w:t>South Australian licensed water use metering specification</w:t>
      </w:r>
      <w:r w:rsidRPr="00633635">
        <w:rPr>
          <w:rFonts w:ascii="Arial" w:hAnsi="Arial" w:cs="Arial"/>
        </w:rPr>
        <w:t>, June 2019.</w:t>
      </w:r>
    </w:p>
    <w:p w14:paraId="0CFF2CA3" w14:textId="77777777" w:rsidR="004A291C" w:rsidRPr="00633635" w:rsidRDefault="004A291C" w:rsidP="004A291C">
      <w:pPr>
        <w:rPr>
          <w:rFonts w:ascii="Arial" w:hAnsi="Arial" w:cs="Arial"/>
        </w:rPr>
      </w:pPr>
      <w:r w:rsidRPr="00633635">
        <w:rPr>
          <w:rFonts w:ascii="Arial" w:hAnsi="Arial" w:cs="Arial"/>
        </w:rPr>
        <w:t xml:space="preserve">Department of Environment, Land, Water and Planning (Victoria), </w:t>
      </w:r>
      <w:r w:rsidRPr="00633635">
        <w:rPr>
          <w:rFonts w:ascii="Arial" w:hAnsi="Arial" w:cs="Arial"/>
          <w:i/>
          <w:iCs/>
        </w:rPr>
        <w:t>Compliance and enforcement report card 2020–21</w:t>
      </w:r>
      <w:r w:rsidRPr="00633635">
        <w:rPr>
          <w:rFonts w:ascii="Arial" w:hAnsi="Arial" w:cs="Arial"/>
        </w:rPr>
        <w:t>.</w:t>
      </w:r>
    </w:p>
    <w:p w14:paraId="3460175F" w14:textId="77777777" w:rsidR="004A291C" w:rsidRPr="00633635" w:rsidRDefault="004A291C" w:rsidP="004A291C">
      <w:pPr>
        <w:rPr>
          <w:rFonts w:ascii="Arial" w:hAnsi="Arial" w:cs="Arial"/>
        </w:rPr>
      </w:pPr>
      <w:r w:rsidRPr="00633635">
        <w:rPr>
          <w:rFonts w:ascii="Arial" w:hAnsi="Arial" w:cs="Arial"/>
        </w:rPr>
        <w:t xml:space="preserve">Department of Environment, Land, Water and Planning (Victoria), </w:t>
      </w:r>
      <w:r w:rsidRPr="00633635">
        <w:rPr>
          <w:rFonts w:ascii="Arial" w:hAnsi="Arial" w:cs="Arial"/>
          <w:i/>
          <w:iCs/>
        </w:rPr>
        <w:t>Water compliance report 2020–21</w:t>
      </w:r>
      <w:r w:rsidRPr="00633635">
        <w:rPr>
          <w:rFonts w:ascii="Arial" w:hAnsi="Arial" w:cs="Arial"/>
        </w:rPr>
        <w:t>.</w:t>
      </w:r>
    </w:p>
    <w:p w14:paraId="656D6D27" w14:textId="77777777" w:rsidR="004A291C" w:rsidRPr="00633635" w:rsidRDefault="004A291C" w:rsidP="004A291C">
      <w:pPr>
        <w:rPr>
          <w:rFonts w:ascii="Arial" w:hAnsi="Arial" w:cs="Arial"/>
        </w:rPr>
      </w:pPr>
      <w:r w:rsidRPr="00633635">
        <w:rPr>
          <w:rFonts w:ascii="Arial" w:hAnsi="Arial" w:cs="Arial"/>
        </w:rPr>
        <w:t xml:space="preserve">Department of Regional Development, Manufacturing &amp; Water (Queensland), </w:t>
      </w:r>
      <w:r w:rsidRPr="00633635">
        <w:rPr>
          <w:rFonts w:ascii="Arial" w:hAnsi="Arial" w:cs="Arial"/>
          <w:i/>
          <w:iCs/>
        </w:rPr>
        <w:t>Queensland Murray–Darling Basin compliance and enforcement actions 2020–2021</w:t>
      </w:r>
      <w:r w:rsidRPr="00633635">
        <w:rPr>
          <w:rFonts w:ascii="Arial" w:hAnsi="Arial" w:cs="Arial"/>
        </w:rPr>
        <w:t>, 2021.</w:t>
      </w:r>
    </w:p>
    <w:p w14:paraId="3201629C" w14:textId="77777777" w:rsidR="004A291C" w:rsidRPr="00633635" w:rsidRDefault="004A291C" w:rsidP="004A291C">
      <w:pPr>
        <w:rPr>
          <w:rFonts w:ascii="Arial" w:hAnsi="Arial" w:cs="Arial"/>
        </w:rPr>
      </w:pPr>
      <w:r w:rsidRPr="00633635">
        <w:rPr>
          <w:rFonts w:ascii="Arial" w:hAnsi="Arial" w:cs="Arial"/>
        </w:rPr>
        <w:t xml:space="preserve">Department of Natural Resources, Mines and Energy (Queensland), </w:t>
      </w:r>
      <w:r w:rsidRPr="00633635">
        <w:rPr>
          <w:rFonts w:ascii="Arial" w:hAnsi="Arial" w:cs="Arial"/>
          <w:i/>
          <w:iCs/>
        </w:rPr>
        <w:t>Queensland Murray–Darling Basin compliance and enforcement actions report 2019–2020</w:t>
      </w:r>
      <w:r w:rsidRPr="00633635">
        <w:rPr>
          <w:rFonts w:ascii="Arial" w:hAnsi="Arial" w:cs="Arial"/>
        </w:rPr>
        <w:t>, n.d.</w:t>
      </w:r>
    </w:p>
    <w:p w14:paraId="7A30D4A8" w14:textId="77777777" w:rsidR="004A291C" w:rsidRPr="00633635" w:rsidRDefault="004A291C" w:rsidP="004A291C">
      <w:pPr>
        <w:rPr>
          <w:rFonts w:ascii="Arial" w:hAnsi="Arial" w:cs="Arial"/>
        </w:rPr>
      </w:pPr>
      <w:r w:rsidRPr="00633635">
        <w:rPr>
          <w:rFonts w:ascii="Arial" w:hAnsi="Arial" w:cs="Arial"/>
        </w:rPr>
        <w:t xml:space="preserve">Independent Expert Panel, </w:t>
      </w:r>
      <w:r w:rsidRPr="00633635">
        <w:rPr>
          <w:rFonts w:ascii="Arial" w:hAnsi="Arial" w:cs="Arial"/>
          <w:i/>
          <w:iCs/>
        </w:rPr>
        <w:t>Independent audit of Queensland non-urban water measurement and compliance final report</w:t>
      </w:r>
      <w:r w:rsidRPr="00633635">
        <w:rPr>
          <w:rFonts w:ascii="Arial" w:hAnsi="Arial" w:cs="Arial"/>
        </w:rPr>
        <w:t>, 23 March 2018.</w:t>
      </w:r>
    </w:p>
    <w:p w14:paraId="3E5B3701" w14:textId="77777777" w:rsidR="004A291C" w:rsidRPr="00633635" w:rsidRDefault="004A291C" w:rsidP="004A291C">
      <w:pPr>
        <w:rPr>
          <w:rFonts w:ascii="Arial" w:hAnsi="Arial" w:cs="Arial"/>
        </w:rPr>
      </w:pPr>
      <w:r w:rsidRPr="00633635">
        <w:rPr>
          <w:rFonts w:ascii="Arial" w:hAnsi="Arial" w:cs="Arial"/>
        </w:rPr>
        <w:t xml:space="preserve">Matthews K, </w:t>
      </w:r>
      <w:r w:rsidRPr="00633635">
        <w:rPr>
          <w:rFonts w:ascii="Arial" w:hAnsi="Arial" w:cs="Arial"/>
          <w:i/>
          <w:iCs/>
        </w:rPr>
        <w:t>Independent investigation into NSW water management and compliance</w:t>
      </w:r>
      <w:r w:rsidRPr="00633635">
        <w:rPr>
          <w:rFonts w:ascii="Arial" w:hAnsi="Arial" w:cs="Arial"/>
        </w:rPr>
        <w:t>, NSW Department of Industry, 24 November 2017.</w:t>
      </w:r>
    </w:p>
    <w:p w14:paraId="4C59F283" w14:textId="77777777" w:rsidR="004A291C" w:rsidRPr="00633635" w:rsidRDefault="004A291C" w:rsidP="004A291C">
      <w:pPr>
        <w:rPr>
          <w:rFonts w:ascii="Arial" w:hAnsi="Arial" w:cs="Arial"/>
        </w:rPr>
      </w:pPr>
      <w:r w:rsidRPr="00633635">
        <w:rPr>
          <w:rFonts w:ascii="Arial" w:hAnsi="Arial" w:cs="Arial"/>
        </w:rPr>
        <w:t xml:space="preserve">Murray–Darling Basin Authority, </w:t>
      </w:r>
      <w:r w:rsidRPr="00633635">
        <w:rPr>
          <w:rFonts w:ascii="Arial" w:hAnsi="Arial" w:cs="Arial"/>
          <w:i/>
          <w:iCs/>
        </w:rPr>
        <w:t>Compliance compact review: review by parties for the Murray–Darling Basin Compliance Compact</w:t>
      </w:r>
      <w:r w:rsidRPr="00633635">
        <w:rPr>
          <w:rFonts w:ascii="Arial" w:hAnsi="Arial" w:cs="Arial"/>
        </w:rPr>
        <w:t>, May 2021.</w:t>
      </w:r>
    </w:p>
    <w:p w14:paraId="31B95A91" w14:textId="77777777" w:rsidR="004A291C" w:rsidRPr="00633635" w:rsidRDefault="004A291C" w:rsidP="004A291C">
      <w:pPr>
        <w:rPr>
          <w:rFonts w:ascii="Arial" w:hAnsi="Arial" w:cs="Arial"/>
        </w:rPr>
      </w:pPr>
      <w:r w:rsidRPr="00633635">
        <w:rPr>
          <w:rFonts w:ascii="Arial" w:hAnsi="Arial" w:cs="Arial"/>
        </w:rPr>
        <w:t xml:space="preserve">Murray–Darling Basin Authority, </w:t>
      </w:r>
      <w:r w:rsidRPr="00633635">
        <w:rPr>
          <w:rFonts w:ascii="Arial" w:hAnsi="Arial" w:cs="Arial"/>
          <w:i/>
          <w:iCs/>
        </w:rPr>
        <w:t>Murray–Darling Basin compliance compact</w:t>
      </w:r>
      <w:r w:rsidRPr="00633635">
        <w:rPr>
          <w:rFonts w:ascii="Arial" w:hAnsi="Arial" w:cs="Arial"/>
        </w:rPr>
        <w:t>, 12 December 2018.</w:t>
      </w:r>
    </w:p>
    <w:p w14:paraId="2ED43163" w14:textId="77777777" w:rsidR="004A291C" w:rsidRPr="00633635" w:rsidRDefault="004A291C" w:rsidP="004A291C">
      <w:pPr>
        <w:rPr>
          <w:rFonts w:ascii="Arial" w:hAnsi="Arial" w:cs="Arial"/>
        </w:rPr>
      </w:pPr>
      <w:r w:rsidRPr="00633635">
        <w:rPr>
          <w:rFonts w:ascii="Arial" w:hAnsi="Arial" w:cs="Arial"/>
        </w:rPr>
        <w:t xml:space="preserve">Murray–Darling Basin Authority, </w:t>
      </w:r>
      <w:r w:rsidRPr="00633635">
        <w:rPr>
          <w:rFonts w:ascii="Arial" w:hAnsi="Arial" w:cs="Arial"/>
          <w:i/>
          <w:iCs/>
        </w:rPr>
        <w:t>The Murray–Darling Basin water compliance review,</w:t>
      </w:r>
      <w:r w:rsidRPr="00633635">
        <w:rPr>
          <w:rFonts w:ascii="Arial" w:hAnsi="Arial" w:cs="Arial"/>
        </w:rPr>
        <w:t xml:space="preserve"> November 2017.</w:t>
      </w:r>
    </w:p>
    <w:p w14:paraId="1D776C19" w14:textId="77777777" w:rsidR="004A291C" w:rsidRPr="00633635" w:rsidRDefault="004A291C" w:rsidP="004A291C">
      <w:pPr>
        <w:rPr>
          <w:rFonts w:ascii="Arial" w:hAnsi="Arial" w:cs="Arial"/>
        </w:rPr>
      </w:pPr>
      <w:r w:rsidRPr="00633635">
        <w:rPr>
          <w:rFonts w:ascii="Arial" w:hAnsi="Arial" w:cs="Arial"/>
        </w:rPr>
        <w:t xml:space="preserve">Murray–Darling Basin Authority, </w:t>
      </w:r>
      <w:r w:rsidRPr="00633635">
        <w:rPr>
          <w:rFonts w:ascii="Arial" w:hAnsi="Arial" w:cs="Arial"/>
          <w:i/>
          <w:iCs/>
        </w:rPr>
        <w:t>Murray–Darling Basin compliance compact assurance report 2020</w:t>
      </w:r>
      <w:r w:rsidRPr="00633635">
        <w:rPr>
          <w:rFonts w:ascii="Arial" w:hAnsi="Arial" w:cs="Arial"/>
        </w:rPr>
        <w:t>, March 2021.</w:t>
      </w:r>
    </w:p>
    <w:p w14:paraId="097AB95A" w14:textId="77777777" w:rsidR="004A291C" w:rsidRPr="00633635" w:rsidRDefault="004A291C" w:rsidP="004A291C">
      <w:pPr>
        <w:rPr>
          <w:rFonts w:ascii="Arial" w:hAnsi="Arial" w:cs="Arial"/>
        </w:rPr>
      </w:pPr>
      <w:r w:rsidRPr="00633635">
        <w:rPr>
          <w:rFonts w:ascii="Arial" w:hAnsi="Arial" w:cs="Arial"/>
          <w:i/>
          <w:iCs/>
        </w:rPr>
        <w:t>Natural Resources Access Regulator Act 2017</w:t>
      </w:r>
      <w:r w:rsidRPr="00633635">
        <w:rPr>
          <w:rFonts w:ascii="Arial" w:hAnsi="Arial" w:cs="Arial"/>
        </w:rPr>
        <w:t xml:space="preserve"> (New South Wales).</w:t>
      </w:r>
    </w:p>
    <w:p w14:paraId="44256300" w14:textId="77777777" w:rsidR="004A291C" w:rsidRPr="00633635" w:rsidRDefault="004A291C" w:rsidP="004A291C">
      <w:pPr>
        <w:rPr>
          <w:rFonts w:ascii="Arial" w:hAnsi="Arial" w:cs="Arial"/>
        </w:rPr>
      </w:pPr>
      <w:r w:rsidRPr="00633635">
        <w:rPr>
          <w:rFonts w:ascii="Arial" w:hAnsi="Arial" w:cs="Arial"/>
        </w:rPr>
        <w:t xml:space="preserve">Natural Resources Access Regulator (NSW), </w:t>
      </w:r>
      <w:r w:rsidRPr="00633635">
        <w:rPr>
          <w:rFonts w:ascii="Arial" w:hAnsi="Arial" w:cs="Arial"/>
          <w:i/>
          <w:iCs/>
        </w:rPr>
        <w:t>Progress Report 2020–21</w:t>
      </w:r>
      <w:r w:rsidRPr="00633635">
        <w:rPr>
          <w:rFonts w:ascii="Arial" w:hAnsi="Arial" w:cs="Arial"/>
        </w:rPr>
        <w:t>.</w:t>
      </w:r>
    </w:p>
    <w:p w14:paraId="6953BE68" w14:textId="77777777" w:rsidR="004A291C" w:rsidRPr="00633635" w:rsidRDefault="004A291C" w:rsidP="004A291C">
      <w:pPr>
        <w:rPr>
          <w:rFonts w:ascii="Arial" w:hAnsi="Arial" w:cs="Arial"/>
        </w:rPr>
      </w:pPr>
      <w:r w:rsidRPr="00633635">
        <w:rPr>
          <w:rFonts w:ascii="Arial" w:hAnsi="Arial" w:cs="Arial"/>
        </w:rPr>
        <w:t xml:space="preserve">New South Wales Department of Industry, </w:t>
      </w:r>
      <w:r w:rsidRPr="00633635">
        <w:rPr>
          <w:rFonts w:ascii="Arial" w:hAnsi="Arial" w:cs="Arial"/>
          <w:i/>
          <w:iCs/>
        </w:rPr>
        <w:t>Natural Resources Access Regulator regulatory framework</w:t>
      </w:r>
      <w:r w:rsidRPr="00633635">
        <w:rPr>
          <w:rFonts w:ascii="Arial" w:hAnsi="Arial" w:cs="Arial"/>
        </w:rPr>
        <w:t>, January 2019.</w:t>
      </w:r>
    </w:p>
    <w:p w14:paraId="4CBC7997" w14:textId="77777777" w:rsidR="004A291C" w:rsidRPr="00633635" w:rsidRDefault="004A291C" w:rsidP="004A291C">
      <w:pPr>
        <w:rPr>
          <w:rFonts w:ascii="Arial" w:hAnsi="Arial" w:cs="Arial"/>
        </w:rPr>
      </w:pPr>
      <w:r w:rsidRPr="00633635">
        <w:rPr>
          <w:rFonts w:ascii="Arial" w:hAnsi="Arial" w:cs="Arial"/>
        </w:rPr>
        <w:t xml:space="preserve">New South Wales Department of Planning, Industry and Environment, </w:t>
      </w:r>
      <w:r w:rsidRPr="00633635">
        <w:rPr>
          <w:rFonts w:ascii="Arial" w:hAnsi="Arial" w:cs="Arial"/>
          <w:i/>
          <w:iCs/>
        </w:rPr>
        <w:t>NSW floodplain harvesting measurement policy</w:t>
      </w:r>
      <w:r w:rsidRPr="00633635">
        <w:rPr>
          <w:rFonts w:ascii="Arial" w:hAnsi="Arial" w:cs="Arial"/>
        </w:rPr>
        <w:t>, July 2020.</w:t>
      </w:r>
    </w:p>
    <w:p w14:paraId="75917F94" w14:textId="77777777" w:rsidR="004A291C" w:rsidRPr="00633635" w:rsidRDefault="004A291C" w:rsidP="004A291C">
      <w:pPr>
        <w:rPr>
          <w:rFonts w:ascii="Arial" w:hAnsi="Arial" w:cs="Arial"/>
        </w:rPr>
      </w:pPr>
      <w:r w:rsidRPr="00633635">
        <w:rPr>
          <w:rFonts w:ascii="Arial" w:hAnsi="Arial" w:cs="Arial"/>
          <w:i/>
          <w:iCs/>
        </w:rPr>
        <w:t>NSW Government response: inquiry into floodplain harvesting</w:t>
      </w:r>
      <w:r w:rsidRPr="00633635">
        <w:rPr>
          <w:rFonts w:ascii="Arial" w:hAnsi="Arial" w:cs="Arial"/>
        </w:rPr>
        <w:t>, n.d. [24 May 2022]</w:t>
      </w:r>
    </w:p>
    <w:p w14:paraId="69D835EB" w14:textId="77777777" w:rsidR="004A291C" w:rsidRPr="00633635" w:rsidRDefault="004A291C" w:rsidP="004A291C">
      <w:pPr>
        <w:rPr>
          <w:rFonts w:ascii="Arial" w:hAnsi="Arial" w:cs="Arial"/>
        </w:rPr>
      </w:pPr>
      <w:r w:rsidRPr="00633635">
        <w:rPr>
          <w:rFonts w:ascii="Arial" w:hAnsi="Arial" w:cs="Arial"/>
        </w:rPr>
        <w:t xml:space="preserve">Pearson D, </w:t>
      </w:r>
      <w:r w:rsidRPr="00633635">
        <w:rPr>
          <w:rFonts w:ascii="Arial" w:hAnsi="Arial" w:cs="Arial"/>
          <w:i/>
          <w:iCs/>
        </w:rPr>
        <w:t>Environmental scan: compliance and enforcement across the Murray–Darling Basin (draft report)</w:t>
      </w:r>
      <w:r w:rsidRPr="00633635">
        <w:rPr>
          <w:rFonts w:ascii="Arial" w:hAnsi="Arial" w:cs="Arial"/>
        </w:rPr>
        <w:t>, Office of the Inspector-General of Water Compliance, June 2022.</w:t>
      </w:r>
    </w:p>
    <w:p w14:paraId="26995A9B" w14:textId="77777777" w:rsidR="004A291C" w:rsidRPr="00633635" w:rsidRDefault="004A291C" w:rsidP="004A291C">
      <w:pPr>
        <w:rPr>
          <w:rFonts w:ascii="Arial" w:hAnsi="Arial" w:cs="Arial"/>
        </w:rPr>
      </w:pPr>
      <w:r w:rsidRPr="00633635">
        <w:rPr>
          <w:rFonts w:ascii="Arial" w:hAnsi="Arial" w:cs="Arial"/>
          <w:i/>
          <w:iCs/>
        </w:rPr>
        <w:t>Water Act 2007</w:t>
      </w:r>
      <w:r w:rsidRPr="00633635">
        <w:rPr>
          <w:rFonts w:ascii="Arial" w:hAnsi="Arial" w:cs="Arial"/>
        </w:rPr>
        <w:t xml:space="preserve"> (</w:t>
      </w:r>
      <w:proofErr w:type="spellStart"/>
      <w:r w:rsidRPr="00633635">
        <w:rPr>
          <w:rFonts w:ascii="Arial" w:hAnsi="Arial" w:cs="Arial"/>
        </w:rPr>
        <w:t>Cth</w:t>
      </w:r>
      <w:proofErr w:type="spellEnd"/>
      <w:r w:rsidRPr="00633635">
        <w:rPr>
          <w:rFonts w:ascii="Arial" w:hAnsi="Arial" w:cs="Arial"/>
        </w:rPr>
        <w:t>).</w:t>
      </w:r>
    </w:p>
    <w:p w14:paraId="6435A4CD" w14:textId="77777777" w:rsidR="004A291C" w:rsidRPr="00633635" w:rsidRDefault="004A291C" w:rsidP="004A291C">
      <w:pPr>
        <w:rPr>
          <w:rFonts w:ascii="Arial" w:hAnsi="Arial" w:cs="Arial"/>
        </w:rPr>
      </w:pPr>
      <w:r w:rsidRPr="00633635">
        <w:rPr>
          <w:rFonts w:ascii="Arial" w:hAnsi="Arial" w:cs="Arial"/>
          <w:i/>
          <w:iCs/>
        </w:rPr>
        <w:t xml:space="preserve">Water Act 1989 </w:t>
      </w:r>
      <w:r w:rsidRPr="00633635">
        <w:rPr>
          <w:rFonts w:ascii="Arial" w:hAnsi="Arial" w:cs="Arial"/>
        </w:rPr>
        <w:t>(Vic).</w:t>
      </w:r>
    </w:p>
    <w:p w14:paraId="79004B06" w14:textId="77777777" w:rsidR="004A291C" w:rsidRPr="00633635" w:rsidRDefault="004A291C" w:rsidP="004A291C">
      <w:pPr>
        <w:rPr>
          <w:rFonts w:ascii="Arial" w:hAnsi="Arial" w:cs="Arial"/>
        </w:rPr>
      </w:pPr>
      <w:r w:rsidRPr="00633635">
        <w:rPr>
          <w:rFonts w:ascii="Arial" w:hAnsi="Arial" w:cs="Arial"/>
          <w:i/>
          <w:iCs/>
        </w:rPr>
        <w:t xml:space="preserve">Water Resources Act 2007 </w:t>
      </w:r>
      <w:r w:rsidRPr="00633635">
        <w:rPr>
          <w:rFonts w:ascii="Arial" w:hAnsi="Arial" w:cs="Arial"/>
        </w:rPr>
        <w:t>(ACT).</w:t>
      </w:r>
    </w:p>
    <w:p w14:paraId="1630B646" w14:textId="75DD8E81" w:rsidR="009C25D9" w:rsidRPr="00633635" w:rsidRDefault="009C25D9">
      <w:pPr>
        <w:spacing w:after="0"/>
        <w:rPr>
          <w:rFonts w:ascii="Arial" w:hAnsi="Arial" w:cs="Arial"/>
        </w:rPr>
      </w:pPr>
    </w:p>
    <w:sectPr w:rsidR="009C25D9" w:rsidRPr="00633635" w:rsidSect="00D82FCB">
      <w:headerReference w:type="default" r:id="rId40"/>
      <w:headerReference w:type="first" r:id="rId41"/>
      <w:footerReference w:type="first" r:id="rId42"/>
      <w:pgSz w:w="11906" w:h="16838"/>
      <w:pgMar w:top="1281" w:right="1134" w:bottom="1134" w:left="1134" w:header="425"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C8524" w14:textId="77777777" w:rsidR="004F7B4C" w:rsidRDefault="004F7B4C">
      <w:r>
        <w:separator/>
      </w:r>
    </w:p>
  </w:endnote>
  <w:endnote w:type="continuationSeparator" w:id="0">
    <w:p w14:paraId="0B98F2BC" w14:textId="77777777" w:rsidR="004F7B4C" w:rsidRDefault="004F7B4C">
      <w:r>
        <w:continuationSeparator/>
      </w:r>
    </w:p>
  </w:endnote>
  <w:endnote w:type="continuationNotice" w:id="1">
    <w:p w14:paraId="1F5331CB" w14:textId="77777777" w:rsidR="004F7B4C" w:rsidRDefault="004F7B4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Malgun Gothic"/>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37AE6" w14:textId="7D50C506" w:rsidR="0046450A" w:rsidRPr="00473F5B" w:rsidRDefault="00473F5B" w:rsidP="00473F5B">
    <w:pPr>
      <w:pStyle w:val="Footer"/>
      <w:tabs>
        <w:tab w:val="clear" w:pos="4513"/>
        <w:tab w:val="clear" w:pos="9026"/>
        <w:tab w:val="right" w:pos="9638"/>
      </w:tabs>
    </w:pPr>
    <w:r>
      <w:t>Inspector-General of Water Compliance</w:t>
    </w:r>
    <w:r>
      <w:tab/>
    </w:r>
    <w:r>
      <w:fldChar w:fldCharType="begin"/>
    </w:r>
    <w:r>
      <w:instrText xml:space="preserve"> PAGE   \* MERGEFORMAT </w:instrText>
    </w:r>
    <w:r>
      <w:fldChar w:fldCharType="separate"/>
    </w:r>
    <w: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138C0D00" w14:paraId="54B470CF" w14:textId="77777777" w:rsidTr="138C0D00">
      <w:tc>
        <w:tcPr>
          <w:tcW w:w="3210" w:type="dxa"/>
        </w:tcPr>
        <w:p w14:paraId="5E68CDF1" w14:textId="5D8E75AE" w:rsidR="138C0D00" w:rsidRDefault="138C0D00" w:rsidP="138C0D00">
          <w:pPr>
            <w:pStyle w:val="Header"/>
            <w:ind w:left="-115"/>
          </w:pPr>
        </w:p>
      </w:tc>
      <w:tc>
        <w:tcPr>
          <w:tcW w:w="3210" w:type="dxa"/>
        </w:tcPr>
        <w:p w14:paraId="36848FF9" w14:textId="25B9880A" w:rsidR="138C0D00" w:rsidRDefault="138C0D00" w:rsidP="138C0D00">
          <w:pPr>
            <w:pStyle w:val="Header"/>
            <w:jc w:val="center"/>
          </w:pPr>
        </w:p>
      </w:tc>
      <w:tc>
        <w:tcPr>
          <w:tcW w:w="3210" w:type="dxa"/>
        </w:tcPr>
        <w:p w14:paraId="1595B4EC" w14:textId="7FA57D5F" w:rsidR="138C0D00" w:rsidRDefault="138C0D00" w:rsidP="138C0D00">
          <w:pPr>
            <w:pStyle w:val="Header"/>
            <w:ind w:right="-115"/>
            <w:jc w:val="right"/>
          </w:pPr>
        </w:p>
      </w:tc>
    </w:tr>
  </w:tbl>
  <w:p w14:paraId="7EDEC70E" w14:textId="2A8359BE" w:rsidR="138C0D00" w:rsidRDefault="138C0D00" w:rsidP="138C0D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766CA" w14:textId="77777777" w:rsidR="00EC0617" w:rsidRPr="00473F5B" w:rsidRDefault="00EC0617" w:rsidP="00EC0617">
    <w:pPr>
      <w:pStyle w:val="Footer"/>
      <w:tabs>
        <w:tab w:val="clear" w:pos="4513"/>
        <w:tab w:val="clear" w:pos="9026"/>
        <w:tab w:val="right" w:pos="9638"/>
      </w:tabs>
    </w:pPr>
    <w:r>
      <w:t>Inspector-General of Water Compliance</w:t>
    </w:r>
    <w:r>
      <w:tab/>
    </w:r>
    <w:r>
      <w:fldChar w:fldCharType="begin"/>
    </w:r>
    <w:r>
      <w:instrText xml:space="preserve"> PAGE   \* MERGEFORMAT </w:instrText>
    </w:r>
    <w:r>
      <w:fldChar w:fldCharType="separate"/>
    </w:r>
    <w:r>
      <w:t>7</w:t>
    </w:r>
    <w:r>
      <w:rPr>
        <w:noProof/>
      </w:rPr>
      <w:fldChar w:fldCharType="end"/>
    </w:r>
  </w:p>
  <w:p w14:paraId="7ADB33C1" w14:textId="77777777" w:rsidR="005C6FEF" w:rsidRPr="005C6FEF" w:rsidRDefault="005C6FEF" w:rsidP="002C07A5">
    <w:pPr>
      <w:pStyle w:val="Footer"/>
      <w:tabs>
        <w:tab w:val="clear" w:pos="4513"/>
        <w:tab w:val="clear" w:pos="9026"/>
        <w:tab w:val="right" w:pos="9638"/>
      </w:tabs>
      <w:rPr>
        <w:color w:val="FFFFFF"/>
      </w:rPr>
    </w:pPr>
    <w:r w:rsidRPr="005C6FEF">
      <w:rPr>
        <w:color w:val="FFFFFF"/>
      </w:rPr>
      <w:t>Inspector-General of Water Compliance</w:t>
    </w:r>
    <w:r w:rsidRPr="005C6FEF">
      <w:rPr>
        <w:color w:val="FFFFFF"/>
      </w:rPr>
      <w:tab/>
    </w:r>
    <w:r w:rsidRPr="005C6FEF">
      <w:rPr>
        <w:color w:val="FFFFFF"/>
      </w:rPr>
      <w:fldChar w:fldCharType="begin"/>
    </w:r>
    <w:r w:rsidRPr="005C6FEF">
      <w:rPr>
        <w:color w:val="FFFFFF"/>
      </w:rPr>
      <w:instrText xml:space="preserve"> PAGE   \* MERGEFORMAT </w:instrText>
    </w:r>
    <w:r w:rsidRPr="005C6FEF">
      <w:rPr>
        <w:color w:val="FFFFFF"/>
      </w:rPr>
      <w:fldChar w:fldCharType="separate"/>
    </w:r>
    <w:r w:rsidRPr="005C6FEF">
      <w:rPr>
        <w:color w:val="FFFFFF"/>
      </w:rPr>
      <w:t>7</w:t>
    </w:r>
    <w:r w:rsidRPr="005C6FEF">
      <w:rPr>
        <w:noProof/>
        <w:color w:val="FFFFF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4DEB7" w14:textId="7978CAC7" w:rsidR="005C6FEF" w:rsidRPr="00CF2324" w:rsidRDefault="005C6FEF" w:rsidP="002C07A5">
    <w:pPr>
      <w:pStyle w:val="Footer"/>
      <w:tabs>
        <w:tab w:val="clear" w:pos="4513"/>
        <w:tab w:val="clear" w:pos="9026"/>
        <w:tab w:val="right" w:pos="9638"/>
      </w:tabs>
    </w:pPr>
    <w:r>
      <w:t>Inspector-General of Water Compliance</w:t>
    </w:r>
    <w:r w:rsidR="00CF2324">
      <w:t xml:space="preserve"> </w:t>
    </w:r>
    <w:r>
      <w:tab/>
    </w:r>
    <w:r>
      <w:fldChar w:fldCharType="begin"/>
    </w:r>
    <w:r>
      <w:instrText xml:space="preserve"> PAGE   \* MERGEFORMAT </w:instrText>
    </w:r>
    <w:r>
      <w:fldChar w:fldCharType="separate"/>
    </w:r>
    <w:r>
      <w:t>7</w:t>
    </w:r>
    <w:r>
      <w:rPr>
        <w:noProof/>
      </w:rPr>
      <w:fldChar w:fldCharType="end"/>
    </w:r>
    <w:r w:rsidRPr="005C6FEF">
      <w:rPr>
        <w:color w:val="FFFFFF"/>
      </w:rPr>
      <w:t>-General of Water Compliance</w:t>
    </w:r>
    <w:r w:rsidRPr="005C6FEF">
      <w:rPr>
        <w:color w:val="FFFFFF"/>
      </w:rPr>
      <w:tab/>
    </w:r>
    <w:r w:rsidRPr="005C6FEF">
      <w:rPr>
        <w:color w:val="FFFFFF"/>
      </w:rPr>
      <w:fldChar w:fldCharType="begin"/>
    </w:r>
    <w:r w:rsidRPr="005C6FEF">
      <w:rPr>
        <w:color w:val="FFFFFF"/>
      </w:rPr>
      <w:instrText xml:space="preserve"> PAGE   \* MERGEFORMAT </w:instrText>
    </w:r>
    <w:r w:rsidRPr="005C6FEF">
      <w:rPr>
        <w:color w:val="FFFFFF"/>
      </w:rPr>
      <w:fldChar w:fldCharType="separate"/>
    </w:r>
    <w:r w:rsidRPr="005C6FEF">
      <w:rPr>
        <w:color w:val="FFFFFF"/>
      </w:rPr>
      <w:t>7</w:t>
    </w:r>
    <w:r w:rsidRPr="005C6FEF">
      <w:rPr>
        <w:noProof/>
        <w:color w:val="FFFFF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980EF" w14:textId="094A1561" w:rsidR="005C6FEF" w:rsidRPr="00473F5B" w:rsidRDefault="005C6FEF" w:rsidP="00EC0617">
    <w:pPr>
      <w:pStyle w:val="Footer"/>
      <w:tabs>
        <w:tab w:val="clear" w:pos="4513"/>
        <w:tab w:val="clear" w:pos="9026"/>
        <w:tab w:val="left" w:pos="9504"/>
        <w:tab w:val="right" w:pos="9638"/>
      </w:tabs>
    </w:pPr>
    <w:r>
      <w:t>Inspector-General of Water Compliance</w:t>
    </w:r>
    <w:r>
      <w:tab/>
    </w:r>
    <w:r w:rsidR="00EC0617">
      <w:tab/>
    </w:r>
    <w:r>
      <w:fldChar w:fldCharType="begin"/>
    </w:r>
    <w:r>
      <w:instrText xml:space="preserve"> PAGE   \* MERGEFORMAT </w:instrText>
    </w:r>
    <w:r>
      <w:fldChar w:fldCharType="separate"/>
    </w:r>
    <w:r>
      <w:t>7</w:t>
    </w:r>
    <w:r>
      <w:rPr>
        <w:noProof/>
      </w:rPr>
      <w:fldChar w:fldCharType="end"/>
    </w:r>
  </w:p>
  <w:p w14:paraId="76844735" w14:textId="77777777" w:rsidR="005C6FEF" w:rsidRPr="005C6FEF" w:rsidRDefault="005C6FEF" w:rsidP="002C07A5">
    <w:pPr>
      <w:pStyle w:val="Footer"/>
      <w:tabs>
        <w:tab w:val="clear" w:pos="4513"/>
        <w:tab w:val="clear" w:pos="9026"/>
        <w:tab w:val="right" w:pos="9638"/>
      </w:tabs>
      <w:rPr>
        <w:color w:val="FFFFFF"/>
      </w:rPr>
    </w:pPr>
    <w:proofErr w:type="spellStart"/>
    <w:r w:rsidRPr="005C6FEF">
      <w:rPr>
        <w:color w:val="FFFFFF"/>
      </w:rPr>
      <w:t>spector</w:t>
    </w:r>
    <w:proofErr w:type="spellEnd"/>
    <w:r w:rsidRPr="005C6FEF">
      <w:rPr>
        <w:color w:val="FFFFFF"/>
      </w:rPr>
      <w:t>-General of Water Compliance</w:t>
    </w:r>
    <w:r w:rsidRPr="005C6FEF">
      <w:rPr>
        <w:color w:val="FFFFFF"/>
      </w:rPr>
      <w:tab/>
    </w:r>
    <w:r w:rsidRPr="005C6FEF">
      <w:rPr>
        <w:color w:val="FFFFFF"/>
      </w:rPr>
      <w:fldChar w:fldCharType="begin"/>
    </w:r>
    <w:r w:rsidRPr="005C6FEF">
      <w:rPr>
        <w:color w:val="FFFFFF"/>
      </w:rPr>
      <w:instrText xml:space="preserve"> PAGE   \* MERGEFORMAT </w:instrText>
    </w:r>
    <w:r w:rsidRPr="005C6FEF">
      <w:rPr>
        <w:color w:val="FFFFFF"/>
      </w:rPr>
      <w:fldChar w:fldCharType="separate"/>
    </w:r>
    <w:r w:rsidRPr="005C6FEF">
      <w:rPr>
        <w:color w:val="FFFFFF"/>
      </w:rPr>
      <w:t>7</w:t>
    </w:r>
    <w:r w:rsidRPr="005C6FEF">
      <w:rPr>
        <w:noProof/>
        <w:color w:val="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05F3A" w14:textId="77777777" w:rsidR="004F7B4C" w:rsidRDefault="004F7B4C">
      <w:r>
        <w:separator/>
      </w:r>
    </w:p>
  </w:footnote>
  <w:footnote w:type="continuationSeparator" w:id="0">
    <w:p w14:paraId="2C2DC96C" w14:textId="77777777" w:rsidR="004F7B4C" w:rsidRDefault="004F7B4C">
      <w:r>
        <w:continuationSeparator/>
      </w:r>
    </w:p>
  </w:footnote>
  <w:footnote w:type="continuationNotice" w:id="1">
    <w:p w14:paraId="364177FC" w14:textId="77777777" w:rsidR="004F7B4C" w:rsidRDefault="004F7B4C">
      <w:pPr>
        <w:spacing w:after="0"/>
      </w:pPr>
    </w:p>
  </w:footnote>
  <w:footnote w:id="2">
    <w:p w14:paraId="242409B2" w14:textId="46FBE84C" w:rsidR="000D356E" w:rsidRDefault="000D356E">
      <w:pPr>
        <w:pStyle w:val="FootnoteText"/>
      </w:pPr>
      <w:r>
        <w:rPr>
          <w:rStyle w:val="FootnoteReference"/>
        </w:rPr>
        <w:footnoteRef/>
      </w:r>
      <w:r>
        <w:t xml:space="preserve"> </w:t>
      </w:r>
      <w:r w:rsidRPr="001B02B3">
        <w:rPr>
          <w:rFonts w:ascii="Arial" w:hAnsi="Arial" w:cs="Arial"/>
        </w:rPr>
        <w:t xml:space="preserve">Murray–Darling Basin Authority, </w:t>
      </w:r>
      <w:hyperlink r:id="rId1" w:history="1">
        <w:r w:rsidRPr="001B02B3">
          <w:rPr>
            <w:rStyle w:val="Hyperlink"/>
            <w:rFonts w:ascii="Arial" w:hAnsi="Arial" w:cs="Arial"/>
            <w:i/>
            <w:iCs/>
          </w:rPr>
          <w:t>Compliance compact review</w:t>
        </w:r>
      </w:hyperlink>
      <w:r w:rsidRPr="001B02B3">
        <w:rPr>
          <w:rFonts w:ascii="Arial" w:hAnsi="Arial" w:cs="Arial"/>
        </w:rPr>
        <w:t>, May 2021, p</w:t>
      </w:r>
      <w:r w:rsidR="006F31B5" w:rsidRPr="001B02B3">
        <w:rPr>
          <w:rFonts w:ascii="Arial" w:hAnsi="Arial" w:cs="Arial"/>
        </w:rPr>
        <w:t>.</w:t>
      </w:r>
      <w:r w:rsidRPr="001B02B3">
        <w:rPr>
          <w:rFonts w:ascii="Arial" w:hAnsi="Arial" w:cs="Arial"/>
        </w:rPr>
        <w:t xml:space="preserve"> 3.</w:t>
      </w:r>
    </w:p>
  </w:footnote>
  <w:footnote w:id="3">
    <w:p w14:paraId="16ACA4E0" w14:textId="08DA4A63" w:rsidR="000D356E" w:rsidRDefault="000D356E">
      <w:pPr>
        <w:pStyle w:val="FootnoteText"/>
      </w:pPr>
      <w:r>
        <w:rPr>
          <w:rStyle w:val="FootnoteReference"/>
        </w:rPr>
        <w:footnoteRef/>
      </w:r>
      <w:r>
        <w:t xml:space="preserve"> </w:t>
      </w:r>
      <w:r w:rsidRPr="001B02B3">
        <w:rPr>
          <w:rFonts w:ascii="Arial" w:hAnsi="Arial" w:cs="Arial"/>
        </w:rPr>
        <w:t xml:space="preserve">Murray–Darling Basin Authority, </w:t>
      </w:r>
      <w:hyperlink r:id="rId2" w:history="1">
        <w:r w:rsidRPr="001B02B3">
          <w:rPr>
            <w:rStyle w:val="Hyperlink"/>
            <w:rFonts w:ascii="Arial" w:hAnsi="Arial" w:cs="Arial"/>
            <w:i/>
            <w:iCs/>
          </w:rPr>
          <w:t>Compliance compact review</w:t>
        </w:r>
      </w:hyperlink>
      <w:r w:rsidRPr="001B02B3">
        <w:rPr>
          <w:rFonts w:ascii="Arial" w:hAnsi="Arial" w:cs="Arial"/>
        </w:rPr>
        <w:t>, May 2021, p</w:t>
      </w:r>
      <w:r w:rsidR="006F31B5" w:rsidRPr="001B02B3">
        <w:rPr>
          <w:rFonts w:ascii="Arial" w:hAnsi="Arial" w:cs="Arial"/>
        </w:rPr>
        <w:t>.</w:t>
      </w:r>
      <w:r w:rsidRPr="001B02B3">
        <w:rPr>
          <w:rFonts w:ascii="Arial" w:hAnsi="Arial" w:cs="Arial"/>
        </w:rPr>
        <w:t xml:space="preserve"> 3.</w:t>
      </w:r>
    </w:p>
  </w:footnote>
  <w:footnote w:id="4">
    <w:p w14:paraId="06A954FD" w14:textId="63530D9B" w:rsidR="00A6667B" w:rsidRDefault="00A6667B">
      <w:pPr>
        <w:pStyle w:val="FootnoteText"/>
      </w:pPr>
      <w:r>
        <w:rPr>
          <w:rStyle w:val="FootnoteReference"/>
        </w:rPr>
        <w:footnoteRef/>
      </w:r>
      <w:r>
        <w:t xml:space="preserve"> </w:t>
      </w:r>
      <w:hyperlink r:id="rId3" w:history="1">
        <w:r w:rsidRPr="001B02B3">
          <w:rPr>
            <w:rFonts w:ascii="Arial" w:hAnsi="Arial" w:cs="Arial"/>
            <w:color w:val="0000FF"/>
            <w:szCs w:val="22"/>
            <w:u w:val="single"/>
          </w:rPr>
          <w:t>Satellite imagery reveals extent of illegal water take on farm | NSW Dept of Natural Resources Access Regulator</w:t>
        </w:r>
      </w:hyperlink>
    </w:p>
  </w:footnote>
  <w:footnote w:id="5">
    <w:p w14:paraId="2644E48C" w14:textId="77777777" w:rsidR="00BC495E" w:rsidRDefault="00BC495E" w:rsidP="00BC495E">
      <w:pPr>
        <w:pStyle w:val="FootnoteText"/>
      </w:pPr>
      <w:r>
        <w:rPr>
          <w:rStyle w:val="FootnoteReference"/>
        </w:rPr>
        <w:footnoteRef/>
      </w:r>
      <w:r>
        <w:t xml:space="preserve"> </w:t>
      </w:r>
      <w:hyperlink r:id="rId4" w:history="1">
        <w:r w:rsidRPr="001B02B3">
          <w:rPr>
            <w:rFonts w:ascii="Arial" w:hAnsi="Arial" w:cs="Arial"/>
            <w:color w:val="0000FF"/>
            <w:szCs w:val="22"/>
            <w:u w:val="single"/>
          </w:rPr>
          <w:t>Natural Resources Access Regulator Regulatory Framework (nsw.gov.au)</w:t>
        </w:r>
      </w:hyperlink>
    </w:p>
  </w:footnote>
  <w:footnote w:id="6">
    <w:p w14:paraId="33F92C7B" w14:textId="1BD96B27" w:rsidR="002D2A18" w:rsidRPr="001B02B3" w:rsidRDefault="002D2A18">
      <w:pPr>
        <w:pStyle w:val="FootnoteText"/>
        <w:rPr>
          <w:rFonts w:ascii="Arial" w:hAnsi="Arial" w:cs="Arial"/>
        </w:rPr>
      </w:pPr>
      <w:r>
        <w:rPr>
          <w:rStyle w:val="FootnoteReference"/>
        </w:rPr>
        <w:footnoteRef/>
      </w:r>
      <w:r>
        <w:t xml:space="preserve"> </w:t>
      </w:r>
      <w:hyperlink r:id="rId5" w:history="1">
        <w:r w:rsidRPr="001B02B3">
          <w:rPr>
            <w:rFonts w:ascii="Arial" w:hAnsi="Arial" w:cs="Arial"/>
            <w:color w:val="0000FF"/>
            <w:szCs w:val="22"/>
            <w:u w:val="single"/>
          </w:rPr>
          <w:t>2017 MDB-Compliance-Review-Final-Report.pdf</w:t>
        </w:r>
      </w:hyperlink>
    </w:p>
  </w:footnote>
  <w:footnote w:id="7">
    <w:p w14:paraId="48B5D832" w14:textId="5DFB56D1" w:rsidR="002D2A18" w:rsidRPr="001B02B3" w:rsidRDefault="002D2A18">
      <w:pPr>
        <w:pStyle w:val="FootnoteText"/>
        <w:rPr>
          <w:rFonts w:ascii="Arial" w:hAnsi="Arial" w:cs="Arial"/>
        </w:rPr>
      </w:pPr>
      <w:r w:rsidRPr="001B02B3">
        <w:rPr>
          <w:rStyle w:val="FootnoteReference"/>
          <w:rFonts w:ascii="Arial" w:hAnsi="Arial" w:cs="Arial"/>
        </w:rPr>
        <w:footnoteRef/>
      </w:r>
      <w:r w:rsidRPr="001B02B3">
        <w:rPr>
          <w:rFonts w:ascii="Arial" w:hAnsi="Arial" w:cs="Arial"/>
        </w:rPr>
        <w:t xml:space="preserve"> </w:t>
      </w:r>
      <w:hyperlink r:id="rId6" w:history="1">
        <w:r w:rsidRPr="001B02B3">
          <w:rPr>
            <w:rFonts w:ascii="Arial" w:hAnsi="Arial" w:cs="Arial"/>
            <w:color w:val="0000FF"/>
            <w:szCs w:val="22"/>
            <w:u w:val="single"/>
          </w:rPr>
          <w:t>Natural Resources Access Regulator - Progress report 2020-21 (nsw.gov.au)</w:t>
        </w:r>
      </w:hyperlink>
    </w:p>
  </w:footnote>
  <w:footnote w:id="8">
    <w:p w14:paraId="570CDAD4" w14:textId="210F0638" w:rsidR="00F808C7" w:rsidRPr="001B02B3" w:rsidRDefault="00F808C7">
      <w:pPr>
        <w:pStyle w:val="FootnoteText"/>
        <w:rPr>
          <w:rFonts w:ascii="Arial" w:hAnsi="Arial" w:cs="Arial"/>
        </w:rPr>
      </w:pPr>
      <w:r w:rsidRPr="001B02B3">
        <w:rPr>
          <w:rStyle w:val="FootnoteReference"/>
          <w:rFonts w:ascii="Arial" w:hAnsi="Arial" w:cs="Arial"/>
        </w:rPr>
        <w:footnoteRef/>
      </w:r>
      <w:r w:rsidRPr="001B02B3">
        <w:rPr>
          <w:rFonts w:ascii="Arial" w:hAnsi="Arial" w:cs="Arial"/>
        </w:rPr>
        <w:t xml:space="preserve"> </w:t>
      </w:r>
      <w:hyperlink r:id="rId7" w:history="1">
        <w:r w:rsidRPr="001B02B3">
          <w:rPr>
            <w:rFonts w:ascii="Arial" w:hAnsi="Arial" w:cs="Arial"/>
            <w:color w:val="0000FF"/>
            <w:szCs w:val="22"/>
            <w:u w:val="single"/>
          </w:rPr>
          <w:t>Quarterly compliance reports | NSW Dept of Natural Resources Access Regulator</w:t>
        </w:r>
      </w:hyperlink>
    </w:p>
  </w:footnote>
  <w:footnote w:id="9">
    <w:p w14:paraId="3CA5BE65" w14:textId="4021D194" w:rsidR="00F808C7" w:rsidRPr="001B02B3" w:rsidRDefault="00F808C7">
      <w:pPr>
        <w:pStyle w:val="FootnoteText"/>
        <w:rPr>
          <w:rFonts w:ascii="Arial" w:hAnsi="Arial" w:cs="Arial"/>
        </w:rPr>
      </w:pPr>
      <w:r w:rsidRPr="001B02B3">
        <w:rPr>
          <w:rStyle w:val="FootnoteReference"/>
          <w:rFonts w:ascii="Arial" w:hAnsi="Arial" w:cs="Arial"/>
        </w:rPr>
        <w:footnoteRef/>
      </w:r>
      <w:r w:rsidRPr="001B02B3">
        <w:rPr>
          <w:rFonts w:ascii="Arial" w:hAnsi="Arial" w:cs="Arial"/>
        </w:rPr>
        <w:t xml:space="preserve"> </w:t>
      </w:r>
      <w:hyperlink r:id="rId8" w:history="1">
        <w:r w:rsidRPr="001B02B3">
          <w:rPr>
            <w:rFonts w:ascii="Arial" w:hAnsi="Arial" w:cs="Arial"/>
            <w:color w:val="0000FF"/>
            <w:szCs w:val="22"/>
            <w:u w:val="single"/>
          </w:rPr>
          <w:t>Public register   | NSW Dept of Natural Resources Access Regulator</w:t>
        </w:r>
      </w:hyperlink>
    </w:p>
  </w:footnote>
  <w:footnote w:id="10">
    <w:p w14:paraId="0EAA0787" w14:textId="4F21B24D" w:rsidR="003C21E7" w:rsidRDefault="003C21E7">
      <w:pPr>
        <w:pStyle w:val="FootnoteText"/>
      </w:pPr>
      <w:r w:rsidRPr="001B02B3">
        <w:rPr>
          <w:rStyle w:val="FootnoteReference"/>
          <w:rFonts w:ascii="Arial" w:hAnsi="Arial" w:cs="Arial"/>
        </w:rPr>
        <w:footnoteRef/>
      </w:r>
      <w:r w:rsidRPr="001B02B3">
        <w:rPr>
          <w:rFonts w:ascii="Arial" w:hAnsi="Arial" w:cs="Arial"/>
        </w:rPr>
        <w:t xml:space="preserve"> </w:t>
      </w:r>
      <w:hyperlink r:id="rId9" w:history="1">
        <w:r w:rsidRPr="001B02B3">
          <w:rPr>
            <w:rFonts w:ascii="Arial" w:hAnsi="Arial" w:cs="Arial"/>
            <w:color w:val="0000FF"/>
            <w:szCs w:val="22"/>
            <w:u w:val="single"/>
          </w:rPr>
          <w:t>Progress reports | NSW Dept of Natural Resources Access Regulator</w:t>
        </w:r>
      </w:hyperlink>
    </w:p>
  </w:footnote>
  <w:footnote w:id="11">
    <w:p w14:paraId="3D0F66FC" w14:textId="4BC7145D" w:rsidR="004425D1" w:rsidRPr="001B02B3" w:rsidRDefault="004425D1">
      <w:pPr>
        <w:pStyle w:val="FootnoteText"/>
        <w:rPr>
          <w:rFonts w:ascii="Arial" w:hAnsi="Arial" w:cs="Arial"/>
        </w:rPr>
      </w:pPr>
      <w:r>
        <w:rPr>
          <w:rStyle w:val="FootnoteReference"/>
        </w:rPr>
        <w:footnoteRef/>
      </w:r>
      <w:r>
        <w:t xml:space="preserve"> </w:t>
      </w:r>
      <w:hyperlink r:id="rId10" w:history="1">
        <w:r w:rsidR="003510C1" w:rsidRPr="001B02B3">
          <w:rPr>
            <w:rFonts w:ascii="Arial" w:hAnsi="Arial" w:cs="Arial"/>
            <w:color w:val="0000FF"/>
            <w:szCs w:val="22"/>
            <w:u w:val="single"/>
          </w:rPr>
          <w:t>Water Compliance Report 2020-21</w:t>
        </w:r>
      </w:hyperlink>
    </w:p>
  </w:footnote>
  <w:footnote w:id="12">
    <w:p w14:paraId="44DCEAB3" w14:textId="58086F5C" w:rsidR="003F4D2E" w:rsidRPr="001B02B3" w:rsidRDefault="003F4D2E">
      <w:pPr>
        <w:pStyle w:val="FootnoteText"/>
        <w:rPr>
          <w:rFonts w:ascii="Arial" w:hAnsi="Arial" w:cs="Arial"/>
        </w:rPr>
      </w:pPr>
      <w:r w:rsidRPr="001B02B3">
        <w:rPr>
          <w:rStyle w:val="FootnoteReference"/>
          <w:rFonts w:ascii="Arial" w:hAnsi="Arial" w:cs="Arial"/>
        </w:rPr>
        <w:footnoteRef/>
      </w:r>
      <w:r w:rsidRPr="001B02B3">
        <w:rPr>
          <w:rFonts w:ascii="Arial" w:hAnsi="Arial" w:cs="Arial"/>
        </w:rPr>
        <w:t xml:space="preserve"> </w:t>
      </w:r>
      <w:hyperlink r:id="rId11" w:history="1">
        <w:r w:rsidRPr="001B02B3">
          <w:rPr>
            <w:rFonts w:ascii="Arial" w:hAnsi="Arial" w:cs="Arial"/>
            <w:color w:val="0000FF"/>
            <w:szCs w:val="22"/>
            <w:u w:val="single"/>
          </w:rPr>
          <w:t>Compliance and Enforcement Report Card 2020-21 (water.vic.gov.au)</w:t>
        </w:r>
      </w:hyperlink>
    </w:p>
  </w:footnote>
  <w:footnote w:id="13">
    <w:p w14:paraId="7BB6BC01" w14:textId="631E8604" w:rsidR="00E25983" w:rsidRDefault="00E25983">
      <w:pPr>
        <w:pStyle w:val="FootnoteText"/>
      </w:pPr>
      <w:r w:rsidRPr="001B02B3">
        <w:rPr>
          <w:rStyle w:val="FootnoteReference"/>
          <w:rFonts w:ascii="Arial" w:hAnsi="Arial" w:cs="Arial"/>
        </w:rPr>
        <w:footnoteRef/>
      </w:r>
      <w:r w:rsidRPr="001B02B3">
        <w:rPr>
          <w:rFonts w:ascii="Arial" w:hAnsi="Arial" w:cs="Arial"/>
        </w:rPr>
        <w:t xml:space="preserve"> </w:t>
      </w:r>
      <w:hyperlink r:id="rId12" w:history="1">
        <w:r w:rsidRPr="001B02B3">
          <w:rPr>
            <w:rFonts w:ascii="Arial" w:hAnsi="Arial" w:cs="Arial"/>
            <w:color w:val="0000FF"/>
            <w:szCs w:val="22"/>
            <w:u w:val="single"/>
          </w:rPr>
          <w:t>Water Compliance Report 2020-21</w:t>
        </w:r>
      </w:hyperlink>
    </w:p>
  </w:footnote>
  <w:footnote w:id="14">
    <w:p w14:paraId="12C5531D" w14:textId="12C127CF" w:rsidR="00610303" w:rsidRPr="001B02B3" w:rsidRDefault="00610303">
      <w:pPr>
        <w:pStyle w:val="FootnoteText"/>
        <w:rPr>
          <w:rFonts w:ascii="Arial" w:hAnsi="Arial" w:cs="Arial"/>
        </w:rPr>
      </w:pPr>
      <w:r>
        <w:rPr>
          <w:rStyle w:val="FootnoteReference"/>
        </w:rPr>
        <w:footnoteRef/>
      </w:r>
      <w:r>
        <w:t xml:space="preserve"> </w:t>
      </w:r>
      <w:hyperlink r:id="rId13" w:history="1">
        <w:r w:rsidRPr="001B02B3">
          <w:rPr>
            <w:rFonts w:ascii="Arial" w:hAnsi="Arial" w:cs="Arial"/>
            <w:color w:val="0000FF"/>
            <w:szCs w:val="22"/>
            <w:u w:val="single"/>
          </w:rPr>
          <w:t>Program to improve the measurement of overland flow | Department of Regional Development, Manufacturing and Water (rdmw.qld.gov.au)</w:t>
        </w:r>
      </w:hyperlink>
    </w:p>
  </w:footnote>
  <w:footnote w:id="15">
    <w:p w14:paraId="740EE0E9" w14:textId="0DF02E9B" w:rsidR="00595BCE" w:rsidRDefault="00595BCE">
      <w:pPr>
        <w:pStyle w:val="FootnoteText"/>
      </w:pPr>
      <w:r w:rsidRPr="001B02B3">
        <w:rPr>
          <w:rStyle w:val="FootnoteReference"/>
          <w:rFonts w:ascii="Arial" w:hAnsi="Arial" w:cs="Arial"/>
        </w:rPr>
        <w:footnoteRef/>
      </w:r>
      <w:r w:rsidRPr="001B02B3">
        <w:rPr>
          <w:rFonts w:ascii="Arial" w:hAnsi="Arial" w:cs="Arial"/>
        </w:rPr>
        <w:t xml:space="preserve"> </w:t>
      </w:r>
      <w:hyperlink r:id="rId14" w:history="1">
        <w:r w:rsidRPr="001B02B3">
          <w:rPr>
            <w:rFonts w:ascii="Arial" w:hAnsi="Arial" w:cs="Arial"/>
            <w:color w:val="0000FF"/>
            <w:szCs w:val="22"/>
            <w:u w:val="single"/>
          </w:rPr>
          <w:t>Rural Water Futures | Department of Regional Development, Manufacturing and Water (rdmw.qld.gov.au)</w:t>
        </w:r>
      </w:hyperlink>
    </w:p>
  </w:footnote>
  <w:footnote w:id="16">
    <w:p w14:paraId="5D937F4C" w14:textId="2E399C75" w:rsidR="003E2BCA" w:rsidRPr="001B02B3" w:rsidRDefault="003E2BCA">
      <w:pPr>
        <w:pStyle w:val="FootnoteText"/>
        <w:rPr>
          <w:rFonts w:ascii="Arial" w:hAnsi="Arial" w:cs="Arial"/>
        </w:rPr>
      </w:pPr>
      <w:r>
        <w:rPr>
          <w:rStyle w:val="FootnoteReference"/>
        </w:rPr>
        <w:footnoteRef/>
      </w:r>
      <w:r>
        <w:t xml:space="preserve"> </w:t>
      </w:r>
      <w:hyperlink r:id="rId15" w:history="1">
        <w:r w:rsidRPr="001B02B3">
          <w:rPr>
            <w:rFonts w:ascii="Arial" w:hAnsi="Arial" w:cs="Arial"/>
            <w:color w:val="0000FF"/>
            <w:szCs w:val="22"/>
            <w:u w:val="single"/>
          </w:rPr>
          <w:t>annual_compliance_report_-_2020-21.pdf (environment.sa.gov.au)</w:t>
        </w:r>
      </w:hyperlink>
    </w:p>
  </w:footnote>
  <w:footnote w:id="17">
    <w:p w14:paraId="16298200" w14:textId="2F55C2EF" w:rsidR="00CA1342" w:rsidRDefault="00CA1342">
      <w:pPr>
        <w:pStyle w:val="FootnoteText"/>
      </w:pPr>
      <w:r w:rsidRPr="001B02B3">
        <w:rPr>
          <w:rStyle w:val="FootnoteReference"/>
          <w:rFonts w:ascii="Arial" w:hAnsi="Arial" w:cs="Arial"/>
        </w:rPr>
        <w:footnoteRef/>
      </w:r>
      <w:r w:rsidRPr="001B02B3">
        <w:rPr>
          <w:rFonts w:ascii="Arial" w:hAnsi="Arial" w:cs="Arial"/>
        </w:rPr>
        <w:t xml:space="preserve"> </w:t>
      </w:r>
      <w:hyperlink r:id="rId16" w:history="1">
        <w:r w:rsidRPr="001B02B3">
          <w:rPr>
            <w:rFonts w:ascii="Arial" w:hAnsi="Arial" w:cs="Arial"/>
            <w:color w:val="0000FF"/>
            <w:szCs w:val="22"/>
            <w:u w:val="single"/>
          </w:rPr>
          <w:t>sa-licensed-water-use-meter-specifications-gen.pdf (environment.sa.gov.au)</w:t>
        </w:r>
      </w:hyperlink>
    </w:p>
  </w:footnote>
  <w:footnote w:id="18">
    <w:p w14:paraId="0BC96032" w14:textId="2B6264FC" w:rsidR="00BF5EE1" w:rsidRDefault="00BF5EE1">
      <w:pPr>
        <w:pStyle w:val="FootnoteText"/>
      </w:pPr>
      <w:r>
        <w:rPr>
          <w:rStyle w:val="FootnoteReference"/>
        </w:rPr>
        <w:footnoteRef/>
      </w:r>
      <w:r>
        <w:t xml:space="preserve"> </w:t>
      </w:r>
      <w:hyperlink r:id="rId17" w:history="1">
        <w:r w:rsidRPr="001B02B3">
          <w:rPr>
            <w:rFonts w:ascii="Arial" w:hAnsi="Arial" w:cs="Arial"/>
            <w:color w:val="0000FF"/>
            <w:szCs w:val="22"/>
            <w:u w:val="single"/>
          </w:rPr>
          <w:t>Department for Environment and Water - Water compliance reporting</w:t>
        </w:r>
      </w:hyperlink>
    </w:p>
  </w:footnote>
  <w:footnote w:id="19">
    <w:p w14:paraId="7552DE85" w14:textId="6D10045A" w:rsidR="00EF277C" w:rsidRDefault="00EF277C">
      <w:pPr>
        <w:pStyle w:val="FootnoteText"/>
      </w:pPr>
      <w:r>
        <w:rPr>
          <w:rStyle w:val="FootnoteReference"/>
        </w:rPr>
        <w:footnoteRef/>
      </w:r>
      <w:r>
        <w:t xml:space="preserve"> </w:t>
      </w:r>
      <w:hyperlink r:id="rId18" w:history="1">
        <w:r w:rsidRPr="001B02B3">
          <w:rPr>
            <w:rFonts w:ascii="Arial" w:hAnsi="Arial" w:cs="Arial"/>
            <w:color w:val="0000FF"/>
            <w:szCs w:val="22"/>
            <w:u w:val="single"/>
          </w:rPr>
          <w:t>Volume-1-CMTEDD-Annual-Report-2020-21-final.pdf (act.gov.au)</w:t>
        </w:r>
      </w:hyperlink>
    </w:p>
  </w:footnote>
  <w:footnote w:id="20">
    <w:p w14:paraId="30A68BE9" w14:textId="03FD980B" w:rsidR="004C23A6" w:rsidRPr="001B02B3" w:rsidRDefault="004C23A6">
      <w:pPr>
        <w:pStyle w:val="FootnoteText"/>
        <w:rPr>
          <w:rFonts w:ascii="Arial" w:hAnsi="Arial" w:cs="Arial"/>
        </w:rPr>
      </w:pPr>
      <w:r>
        <w:rPr>
          <w:rStyle w:val="FootnoteReference"/>
        </w:rPr>
        <w:footnoteRef/>
      </w:r>
      <w:r>
        <w:t xml:space="preserve"> </w:t>
      </w:r>
      <w:r w:rsidRPr="001B02B3">
        <w:rPr>
          <w:rFonts w:ascii="Arial" w:hAnsi="Arial" w:cs="Arial"/>
        </w:rPr>
        <w:t xml:space="preserve">Murray–Darling Basin Authority, </w:t>
      </w:r>
      <w:r w:rsidRPr="001B02B3">
        <w:rPr>
          <w:rFonts w:ascii="Arial" w:hAnsi="Arial" w:cs="Arial"/>
          <w:i/>
          <w:iCs/>
        </w:rPr>
        <w:t>Compliance compact review</w:t>
      </w:r>
      <w:r w:rsidRPr="001B02B3">
        <w:rPr>
          <w:rFonts w:ascii="Arial" w:hAnsi="Arial" w:cs="Arial"/>
        </w:rPr>
        <w:t>, May 2021, p. 18</w:t>
      </w:r>
    </w:p>
  </w:footnote>
  <w:footnote w:id="21">
    <w:p w14:paraId="01E5CFB9" w14:textId="77777777" w:rsidR="003C2B65" w:rsidRDefault="003C2B65" w:rsidP="003C2B65">
      <w:pPr>
        <w:pStyle w:val="FootnoteText"/>
      </w:pPr>
      <w:r>
        <w:rPr>
          <w:rStyle w:val="FootnoteReference"/>
        </w:rPr>
        <w:footnoteRef/>
      </w:r>
      <w:r>
        <w:t xml:space="preserve"> </w:t>
      </w:r>
      <w:hyperlink r:id="rId19" w:history="1">
        <w:r w:rsidRPr="001B02B3">
          <w:rPr>
            <w:rFonts w:ascii="Arial" w:hAnsi="Arial" w:cs="Arial"/>
            <w:color w:val="0000FF"/>
            <w:szCs w:val="22"/>
            <w:u w:val="single"/>
          </w:rPr>
          <w:t>2017 MDB-Compliance-Review-Final-Report.pdf</w:t>
        </w:r>
      </w:hyperlink>
      <w:r w:rsidRPr="001B02B3">
        <w:rPr>
          <w:rFonts w:ascii="Arial" w:hAnsi="Arial" w:cs="Arial"/>
          <w:szCs w:val="22"/>
        </w:rPr>
        <w:t>, pg. 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3AC78" w14:textId="73A11592" w:rsidR="00524E0F" w:rsidRDefault="00524E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D986A" w14:textId="37853894" w:rsidR="00473F5B" w:rsidRDefault="00473F5B" w:rsidP="005C5D99">
    <w:r w:rsidRPr="003A6733">
      <w:rPr>
        <w:noProof/>
      </w:rPr>
      <w:drawing>
        <wp:anchor distT="0" distB="0" distL="114300" distR="114300" simplePos="0" relativeHeight="251658240" behindDoc="1" locked="0" layoutInCell="1" allowOverlap="1" wp14:anchorId="1BD1B32C" wp14:editId="4F3FD660">
          <wp:simplePos x="0" y="0"/>
          <wp:positionH relativeFrom="column">
            <wp:posOffset>-732790</wp:posOffset>
          </wp:positionH>
          <wp:positionV relativeFrom="paragraph">
            <wp:posOffset>-339725</wp:posOffset>
          </wp:positionV>
          <wp:extent cx="7597588" cy="10751549"/>
          <wp:effectExtent l="0" t="0" r="0" b="571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97588" cy="10751549"/>
                  </a:xfrm>
                  <a:prstGeom prst="rect">
                    <a:avLst/>
                  </a:prstGeom>
                </pic:spPr>
              </pic:pic>
            </a:graphicData>
          </a:graphic>
          <wp14:sizeRelH relativeFrom="page">
            <wp14:pctWidth>0</wp14:pctWidth>
          </wp14:sizeRelH>
          <wp14:sizeRelV relativeFrom="page">
            <wp14:pctHeight>0</wp14:pctHeight>
          </wp14:sizeRelV>
        </wp:anchor>
      </w:drawing>
    </w:r>
  </w:p>
  <w:p w14:paraId="252C6567" w14:textId="7641654D" w:rsidR="00473F5B" w:rsidRDefault="00473F5B" w:rsidP="005C5D99"/>
  <w:p w14:paraId="73BFFFC6" w14:textId="7FF26F01" w:rsidR="00473F5B" w:rsidRDefault="00473F5B" w:rsidP="005C5D99"/>
  <w:p w14:paraId="2EDDB6F7" w14:textId="635470C0" w:rsidR="00473F5B" w:rsidRDefault="00473F5B" w:rsidP="005C5D99"/>
  <w:p w14:paraId="2683189A" w14:textId="4C5888D5" w:rsidR="00473F5B" w:rsidRDefault="00473F5B" w:rsidP="005C5D99"/>
  <w:p w14:paraId="3A0EC190" w14:textId="1CADC713" w:rsidR="00473F5B" w:rsidRDefault="00473F5B" w:rsidP="005C5D99"/>
  <w:p w14:paraId="0B4BD0BB" w14:textId="77777777" w:rsidR="00473F5B" w:rsidRDefault="00473F5B" w:rsidP="005C5D99"/>
  <w:p w14:paraId="5DA02233" w14:textId="5CAEC33F" w:rsidR="001345C9" w:rsidRDefault="001345C9" w:rsidP="005C5D99"/>
  <w:p w14:paraId="79B3195C" w14:textId="30DA5E69" w:rsidR="00617D03" w:rsidRPr="00DC6237" w:rsidRDefault="001345C9" w:rsidP="00071327">
    <w:pPr>
      <w:rPr>
        <w:color w:val="00B050"/>
      </w:rPr>
    </w:pPr>
    <w:r>
      <w:rPr>
        <w:noProof/>
      </w:rPr>
      <w:drawing>
        <wp:anchor distT="0" distB="0" distL="114300" distR="114300" simplePos="0" relativeHeight="251658241" behindDoc="1" locked="0" layoutInCell="1" allowOverlap="1" wp14:anchorId="5FA9B021" wp14:editId="23CFC469">
          <wp:simplePos x="0" y="0"/>
          <wp:positionH relativeFrom="page">
            <wp:posOffset>622300</wp:posOffset>
          </wp:positionH>
          <wp:positionV relativeFrom="page">
            <wp:posOffset>546100</wp:posOffset>
          </wp:positionV>
          <wp:extent cx="3600450" cy="1040130"/>
          <wp:effectExtent l="0" t="0" r="0" b="0"/>
          <wp:wrapNone/>
          <wp:docPr id="25"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3"/>
                  <pic:cNvPicPr>
                    <a:picLocks/>
                  </pic:cNvPicPr>
                </pic:nvPicPr>
                <pic:blipFill>
                  <a:blip r:embed="rId2">
                    <a:extLst>
                      <a:ext uri="{28A0092B-C50C-407E-A947-70E740481C1C}">
                        <a14:useLocalDpi xmlns:a14="http://schemas.microsoft.com/office/drawing/2010/main" val="0"/>
                      </a:ext>
                    </a:extLst>
                  </a:blip>
                  <a:stretch>
                    <a:fillRect/>
                  </a:stretch>
                </pic:blipFill>
                <pic:spPr bwMode="auto">
                  <a:xfrm>
                    <a:off x="0" y="0"/>
                    <a:ext cx="3600450" cy="10401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C7F81" w14:textId="2399014F" w:rsidR="00A4541C" w:rsidRPr="00A4541C" w:rsidRDefault="00A4541C" w:rsidP="00A454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1585A" w14:textId="5546901B" w:rsidR="0099623F" w:rsidRPr="00A4541C" w:rsidRDefault="0099623F" w:rsidP="00A4541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95ABE" w14:textId="77777777" w:rsidR="0099623F" w:rsidRPr="00A4541C" w:rsidRDefault="0099623F" w:rsidP="00A4541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F34CB" w14:textId="7B9B7647" w:rsidR="0099623F" w:rsidRDefault="0099623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25A83" w14:textId="33223786" w:rsidR="0099623F" w:rsidRPr="00DC6237" w:rsidRDefault="0099623F" w:rsidP="00071327">
    <w:pPr>
      <w:rPr>
        <w:color w:val="00B050"/>
      </w:rPr>
    </w:pPr>
  </w:p>
</w:hdr>
</file>

<file path=word/intelligence2.xml><?xml version="1.0" encoding="utf-8"?>
<int2:intelligence xmlns:int2="http://schemas.microsoft.com/office/intelligence/2020/intelligence" xmlns:oel="http://schemas.microsoft.com/office/2019/extlst">
  <int2:observations>
    <int2:textHash int2:hashCode="/6HjQj5zWEGc9M" int2:id="0KmbvWcX">
      <int2:state int2:value="Rejected" int2:type="LegacyProofing"/>
    </int2:textHash>
    <int2:textHash int2:hashCode="cFFmKwTzmabvUv" int2:id="3tXH60PU">
      <int2:state int2:value="Rejected" int2:type="LegacyProofing"/>
    </int2:textHash>
    <int2:textHash int2:hashCode="eEE2O6Gc1qq9t1" int2:id="NrIkwpCY">
      <int2:state int2:value="Rejected" int2:type="LegacyProofing"/>
    </int2:textHash>
    <int2:textHash int2:hashCode="JWCSATu4AES57B" int2:id="UI1UEcNy">
      <int2:state int2:value="Rejected" int2:type="LegacyProofing"/>
    </int2:textHash>
    <int2:textHash int2:hashCode="/jwD4BurKygOk/" int2:id="XBEK3Zku">
      <int2:state int2:value="Rejected" int2:type="LegacyProofing"/>
    </int2:textHash>
    <int2:textHash int2:hashCode="5ficsCVxwgs8bi" int2:id="gIBgSUSC">
      <int2:state int2:value="Rejected" int2:type="LegacyProofing"/>
    </int2:textHash>
    <int2:textHash int2:hashCode="rm2AqzprpNPfRs" int2:id="pVvIIEf4">
      <int2:state int2:value="Rejected" int2:type="LegacyProofing"/>
    </int2:textHash>
    <int2:textHash int2:hashCode="K5k3SIcfUZsfuT" int2:id="sE8Avn1i">
      <int2:state int2:value="Rejected" int2:type="LegacyProofing"/>
    </int2:textHash>
    <int2:textHash int2:hashCode="5MOHGmvaC3o9g5" int2:id="y0CaPMoT">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9F11C8D"/>
    <w:multiLevelType w:val="hybridMultilevel"/>
    <w:tmpl w:val="11565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981418"/>
    <w:multiLevelType w:val="hybridMultilevel"/>
    <w:tmpl w:val="28E89A92"/>
    <w:styleLink w:val="ImportedStyle1"/>
    <w:lvl w:ilvl="0" w:tplc="3F9EE976">
      <w:start w:val="1"/>
      <w:numFmt w:val="bullet"/>
      <w:lvlText w:val="•"/>
      <w:lvlJc w:val="left"/>
      <w:pPr>
        <w:ind w:left="36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16D2B53A">
      <w:start w:val="1"/>
      <w:numFmt w:val="bullet"/>
      <w:lvlText w:val="•"/>
      <w:lvlJc w:val="left"/>
      <w:pPr>
        <w:ind w:left="108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209EC112">
      <w:start w:val="1"/>
      <w:numFmt w:val="bullet"/>
      <w:lvlText w:val="•"/>
      <w:lvlJc w:val="left"/>
      <w:pPr>
        <w:ind w:left="180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3" w:tplc="60644C24">
      <w:start w:val="1"/>
      <w:numFmt w:val="bullet"/>
      <w:lvlText w:val="•"/>
      <w:lvlJc w:val="left"/>
      <w:pPr>
        <w:ind w:left="252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5FAE2E12">
      <w:start w:val="1"/>
      <w:numFmt w:val="bullet"/>
      <w:lvlText w:val="•"/>
      <w:lvlJc w:val="left"/>
      <w:pPr>
        <w:ind w:left="324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E9BC9108">
      <w:start w:val="1"/>
      <w:numFmt w:val="bullet"/>
      <w:lvlText w:val="•"/>
      <w:lvlJc w:val="left"/>
      <w:pPr>
        <w:ind w:left="396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6" w:tplc="6C4AC754">
      <w:start w:val="1"/>
      <w:numFmt w:val="bullet"/>
      <w:lvlText w:val="•"/>
      <w:lvlJc w:val="left"/>
      <w:pPr>
        <w:ind w:left="468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56601AC0">
      <w:start w:val="1"/>
      <w:numFmt w:val="bullet"/>
      <w:lvlText w:val="•"/>
      <w:lvlJc w:val="left"/>
      <w:pPr>
        <w:ind w:left="540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8DE86D7C">
      <w:start w:val="1"/>
      <w:numFmt w:val="bullet"/>
      <w:lvlText w:val="•"/>
      <w:lvlJc w:val="left"/>
      <w:pPr>
        <w:ind w:left="612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B752BA6"/>
    <w:multiLevelType w:val="hybridMultilevel"/>
    <w:tmpl w:val="686C8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830E21"/>
    <w:multiLevelType w:val="hybridMultilevel"/>
    <w:tmpl w:val="87822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4D130A"/>
    <w:multiLevelType w:val="hybridMultilevel"/>
    <w:tmpl w:val="E09676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4C5755F"/>
    <w:multiLevelType w:val="hybridMultilevel"/>
    <w:tmpl w:val="A0148872"/>
    <w:lvl w:ilvl="0" w:tplc="BDA628B8">
      <w:numFmt w:val="bullet"/>
      <w:lvlText w:val="-"/>
      <w:lvlJc w:val="left"/>
      <w:pPr>
        <w:ind w:left="720" w:hanging="360"/>
      </w:pPr>
      <w:rPr>
        <w:rFonts w:ascii="Verdana" w:eastAsia="Calibri" w:hAnsi="Verdan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A46135"/>
    <w:multiLevelType w:val="hybridMultilevel"/>
    <w:tmpl w:val="D2E63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CB43E1"/>
    <w:multiLevelType w:val="hybridMultilevel"/>
    <w:tmpl w:val="9F8ADE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3022DA"/>
    <w:multiLevelType w:val="hybridMultilevel"/>
    <w:tmpl w:val="69881DF8"/>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AB319A"/>
    <w:multiLevelType w:val="hybridMultilevel"/>
    <w:tmpl w:val="4162BEAE"/>
    <w:lvl w:ilvl="0" w:tplc="D6422BC2">
      <w:start w:val="3"/>
      <w:numFmt w:val="bullet"/>
      <w:lvlText w:val="-"/>
      <w:lvlJc w:val="left"/>
      <w:pPr>
        <w:ind w:left="720" w:hanging="360"/>
      </w:pPr>
      <w:rPr>
        <w:rFonts w:ascii="Verdana" w:eastAsia="Calibri" w:hAnsi="Verdan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7F708E"/>
    <w:multiLevelType w:val="hybridMultilevel"/>
    <w:tmpl w:val="A2C8418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541D62"/>
    <w:multiLevelType w:val="hybridMultilevel"/>
    <w:tmpl w:val="FCDAC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3213B6"/>
    <w:multiLevelType w:val="hybridMultilevel"/>
    <w:tmpl w:val="CEC4AA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758723B"/>
    <w:multiLevelType w:val="hybridMultilevel"/>
    <w:tmpl w:val="46C6AE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8817A20"/>
    <w:multiLevelType w:val="hybridMultilevel"/>
    <w:tmpl w:val="F4BC7C48"/>
    <w:lvl w:ilvl="0" w:tplc="BCE05582">
      <w:start w:val="1"/>
      <w:numFmt w:val="bullet"/>
      <w:lvlText w:val="-"/>
      <w:lvlJc w:val="left"/>
      <w:pPr>
        <w:ind w:left="720" w:hanging="360"/>
      </w:pPr>
      <w:rPr>
        <w:rFonts w:ascii="Verdana" w:eastAsia="Calibri" w:hAnsi="Verdan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9B2408"/>
    <w:multiLevelType w:val="hybridMultilevel"/>
    <w:tmpl w:val="EFEE4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57357D"/>
    <w:multiLevelType w:val="hybridMultilevel"/>
    <w:tmpl w:val="902A2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A9F0CA6"/>
    <w:multiLevelType w:val="hybridMultilevel"/>
    <w:tmpl w:val="F65A6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B03768F"/>
    <w:multiLevelType w:val="hybridMultilevel"/>
    <w:tmpl w:val="40FA3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5630DC"/>
    <w:multiLevelType w:val="hybridMultilevel"/>
    <w:tmpl w:val="62F6E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530404"/>
    <w:multiLevelType w:val="hybridMultilevel"/>
    <w:tmpl w:val="02E2EC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A2162A7"/>
    <w:multiLevelType w:val="hybridMultilevel"/>
    <w:tmpl w:val="92CC2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5456429"/>
    <w:multiLevelType w:val="multilevel"/>
    <w:tmpl w:val="D5F21E5A"/>
    <w:lvl w:ilvl="0">
      <w:start w:val="1"/>
      <w:numFmt w:val="decimal"/>
      <w:pStyle w:val="ListNumber"/>
      <w:lvlText w:val="%1."/>
      <w:lvlJc w:val="left"/>
      <w:pPr>
        <w:ind w:left="369" w:hanging="369"/>
      </w:pPr>
      <w:rPr>
        <w:rFonts w:ascii="Calibri" w:hAnsi="Calibri" w:hint="default"/>
        <w:sz w:val="22"/>
        <w:szCs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5" w15:restartNumberingAfterBreak="0">
    <w:nsid w:val="654C4F87"/>
    <w:multiLevelType w:val="hybridMultilevel"/>
    <w:tmpl w:val="D604D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63C59F0"/>
    <w:multiLevelType w:val="multilevel"/>
    <w:tmpl w:val="1C3C8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674A7F"/>
    <w:multiLevelType w:val="hybridMultilevel"/>
    <w:tmpl w:val="6900B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CF83520"/>
    <w:multiLevelType w:val="hybridMultilevel"/>
    <w:tmpl w:val="7C4C0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D8A0DED"/>
    <w:multiLevelType w:val="hybridMultilevel"/>
    <w:tmpl w:val="59F8F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CA2348"/>
    <w:multiLevelType w:val="hybridMultilevel"/>
    <w:tmpl w:val="B03EA8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F0C76CF"/>
    <w:multiLevelType w:val="hybridMultilevel"/>
    <w:tmpl w:val="4DE014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0B0500D"/>
    <w:multiLevelType w:val="hybridMultilevel"/>
    <w:tmpl w:val="77AC68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3A1342C"/>
    <w:multiLevelType w:val="hybridMultilevel"/>
    <w:tmpl w:val="82F6BD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5700C6A"/>
    <w:multiLevelType w:val="hybridMultilevel"/>
    <w:tmpl w:val="DA627B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6" w15:restartNumberingAfterBreak="0">
    <w:nsid w:val="79DC4B00"/>
    <w:multiLevelType w:val="hybridMultilevel"/>
    <w:tmpl w:val="AFA03592"/>
    <w:lvl w:ilvl="0" w:tplc="D6422BC2">
      <w:start w:val="3"/>
      <w:numFmt w:val="bullet"/>
      <w:lvlText w:val="-"/>
      <w:lvlJc w:val="left"/>
      <w:pPr>
        <w:ind w:left="720" w:hanging="360"/>
      </w:pPr>
      <w:rPr>
        <w:rFonts w:ascii="Verdana" w:eastAsia="Calibri" w:hAnsi="Verdan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C104CF5"/>
    <w:multiLevelType w:val="hybridMultilevel"/>
    <w:tmpl w:val="EEB2A50E"/>
    <w:lvl w:ilvl="0" w:tplc="49745958">
      <w:numFmt w:val="bullet"/>
      <w:lvlText w:val="-"/>
      <w:lvlJc w:val="left"/>
      <w:pPr>
        <w:ind w:left="720" w:hanging="360"/>
      </w:pPr>
      <w:rPr>
        <w:rFonts w:ascii="Verdana" w:eastAsia="Calibri" w:hAnsi="Verdan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63508549">
    <w:abstractNumId w:val="35"/>
  </w:num>
  <w:num w:numId="2" w16cid:durableId="869876028">
    <w:abstractNumId w:val="0"/>
  </w:num>
  <w:num w:numId="3" w16cid:durableId="242839615">
    <w:abstractNumId w:val="14"/>
  </w:num>
  <w:num w:numId="4" w16cid:durableId="1861510006">
    <w:abstractNumId w:val="24"/>
  </w:num>
  <w:num w:numId="5" w16cid:durableId="257519320">
    <w:abstractNumId w:val="19"/>
  </w:num>
  <w:num w:numId="6" w16cid:durableId="501896081">
    <w:abstractNumId w:val="29"/>
  </w:num>
  <w:num w:numId="7" w16cid:durableId="426118668">
    <w:abstractNumId w:val="2"/>
  </w:num>
  <w:num w:numId="8" w16cid:durableId="1987735501">
    <w:abstractNumId w:val="26"/>
  </w:num>
  <w:num w:numId="9" w16cid:durableId="708258516">
    <w:abstractNumId w:val="7"/>
  </w:num>
  <w:num w:numId="10" w16cid:durableId="545531434">
    <w:abstractNumId w:val="33"/>
  </w:num>
  <w:num w:numId="11" w16cid:durableId="1331329273">
    <w:abstractNumId w:val="20"/>
  </w:num>
  <w:num w:numId="12" w16cid:durableId="1018699532">
    <w:abstractNumId w:val="12"/>
  </w:num>
  <w:num w:numId="13" w16cid:durableId="825172537">
    <w:abstractNumId w:val="23"/>
  </w:num>
  <w:num w:numId="14" w16cid:durableId="2055737016">
    <w:abstractNumId w:val="27"/>
  </w:num>
  <w:num w:numId="15" w16cid:durableId="1691570538">
    <w:abstractNumId w:val="3"/>
  </w:num>
  <w:num w:numId="16" w16cid:durableId="1441679536">
    <w:abstractNumId w:val="28"/>
  </w:num>
  <w:num w:numId="17" w16cid:durableId="1344236183">
    <w:abstractNumId w:val="32"/>
  </w:num>
  <w:num w:numId="18" w16cid:durableId="52392558">
    <w:abstractNumId w:val="10"/>
  </w:num>
  <w:num w:numId="19" w16cid:durableId="333991473">
    <w:abstractNumId w:val="36"/>
  </w:num>
  <w:num w:numId="20" w16cid:durableId="1647976158">
    <w:abstractNumId w:val="13"/>
  </w:num>
  <w:num w:numId="21" w16cid:durableId="342098916">
    <w:abstractNumId w:val="4"/>
  </w:num>
  <w:num w:numId="22" w16cid:durableId="792945768">
    <w:abstractNumId w:val="31"/>
  </w:num>
  <w:num w:numId="23" w16cid:durableId="852768772">
    <w:abstractNumId w:val="1"/>
  </w:num>
  <w:num w:numId="24" w16cid:durableId="1875583148">
    <w:abstractNumId w:val="17"/>
  </w:num>
  <w:num w:numId="25" w16cid:durableId="1074812130">
    <w:abstractNumId w:val="9"/>
  </w:num>
  <w:num w:numId="26" w16cid:durableId="841117867">
    <w:abstractNumId w:val="11"/>
  </w:num>
  <w:num w:numId="27" w16cid:durableId="853571831">
    <w:abstractNumId w:val="30"/>
  </w:num>
  <w:num w:numId="28" w16cid:durableId="853031221">
    <w:abstractNumId w:val="34"/>
  </w:num>
  <w:num w:numId="29" w16cid:durableId="1285694339">
    <w:abstractNumId w:val="8"/>
  </w:num>
  <w:num w:numId="30" w16cid:durableId="203979604">
    <w:abstractNumId w:val="15"/>
  </w:num>
  <w:num w:numId="31" w16cid:durableId="326520169">
    <w:abstractNumId w:val="18"/>
  </w:num>
  <w:num w:numId="32" w16cid:durableId="1049961328">
    <w:abstractNumId w:val="21"/>
  </w:num>
  <w:num w:numId="33" w16cid:durableId="2054964486">
    <w:abstractNumId w:val="22"/>
  </w:num>
  <w:num w:numId="34" w16cid:durableId="1194001482">
    <w:abstractNumId w:val="5"/>
  </w:num>
  <w:num w:numId="35" w16cid:durableId="1550268070">
    <w:abstractNumId w:val="25"/>
  </w:num>
  <w:num w:numId="36" w16cid:durableId="735057540">
    <w:abstractNumId w:val="16"/>
  </w:num>
  <w:num w:numId="37" w16cid:durableId="1726221192">
    <w:abstractNumId w:val="6"/>
  </w:num>
  <w:num w:numId="38" w16cid:durableId="1210843491">
    <w:abstractNumId w:val="37"/>
  </w:num>
  <w:num w:numId="39" w16cid:durableId="766122015">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efaultTableStyle w:val="TableGridLight"/>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41E"/>
    <w:rsid w:val="000001A1"/>
    <w:rsid w:val="00000674"/>
    <w:rsid w:val="000008B7"/>
    <w:rsid w:val="000023BB"/>
    <w:rsid w:val="000032A0"/>
    <w:rsid w:val="00004BFE"/>
    <w:rsid w:val="0000531C"/>
    <w:rsid w:val="00007DE1"/>
    <w:rsid w:val="000131EE"/>
    <w:rsid w:val="00014B45"/>
    <w:rsid w:val="000210F5"/>
    <w:rsid w:val="00021F18"/>
    <w:rsid w:val="00022280"/>
    <w:rsid w:val="0002413E"/>
    <w:rsid w:val="000245E8"/>
    <w:rsid w:val="00025B22"/>
    <w:rsid w:val="000262C1"/>
    <w:rsid w:val="00033372"/>
    <w:rsid w:val="00044167"/>
    <w:rsid w:val="000514BD"/>
    <w:rsid w:val="00055589"/>
    <w:rsid w:val="000604DF"/>
    <w:rsid w:val="000613B1"/>
    <w:rsid w:val="00061B77"/>
    <w:rsid w:val="00071327"/>
    <w:rsid w:val="000737A1"/>
    <w:rsid w:val="00082E59"/>
    <w:rsid w:val="0008506D"/>
    <w:rsid w:val="00091B06"/>
    <w:rsid w:val="000953CA"/>
    <w:rsid w:val="00097246"/>
    <w:rsid w:val="000A042D"/>
    <w:rsid w:val="000A7B5B"/>
    <w:rsid w:val="000B3BAE"/>
    <w:rsid w:val="000B76B9"/>
    <w:rsid w:val="000C0C06"/>
    <w:rsid w:val="000C3B1E"/>
    <w:rsid w:val="000C4E61"/>
    <w:rsid w:val="000D06D9"/>
    <w:rsid w:val="000D1170"/>
    <w:rsid w:val="000D1751"/>
    <w:rsid w:val="000D356E"/>
    <w:rsid w:val="000D54C5"/>
    <w:rsid w:val="000E0389"/>
    <w:rsid w:val="000E5C12"/>
    <w:rsid w:val="000F1123"/>
    <w:rsid w:val="000F55E7"/>
    <w:rsid w:val="001026E4"/>
    <w:rsid w:val="001049C1"/>
    <w:rsid w:val="00105B6A"/>
    <w:rsid w:val="00106676"/>
    <w:rsid w:val="0010789B"/>
    <w:rsid w:val="00111351"/>
    <w:rsid w:val="001113D2"/>
    <w:rsid w:val="00112EBA"/>
    <w:rsid w:val="00114BA0"/>
    <w:rsid w:val="00125622"/>
    <w:rsid w:val="00127B4E"/>
    <w:rsid w:val="00134417"/>
    <w:rsid w:val="001345C9"/>
    <w:rsid w:val="00140989"/>
    <w:rsid w:val="0014182C"/>
    <w:rsid w:val="00142E0B"/>
    <w:rsid w:val="0014571C"/>
    <w:rsid w:val="00145FFA"/>
    <w:rsid w:val="0015161D"/>
    <w:rsid w:val="00152841"/>
    <w:rsid w:val="00155468"/>
    <w:rsid w:val="00156132"/>
    <w:rsid w:val="0015695F"/>
    <w:rsid w:val="0016411A"/>
    <w:rsid w:val="00164A9B"/>
    <w:rsid w:val="00166060"/>
    <w:rsid w:val="00170142"/>
    <w:rsid w:val="0017077A"/>
    <w:rsid w:val="00170D66"/>
    <w:rsid w:val="00170DC6"/>
    <w:rsid w:val="0017351A"/>
    <w:rsid w:val="001827C2"/>
    <w:rsid w:val="0018698D"/>
    <w:rsid w:val="00186E6F"/>
    <w:rsid w:val="0018795E"/>
    <w:rsid w:val="001960F7"/>
    <w:rsid w:val="001A3047"/>
    <w:rsid w:val="001A3992"/>
    <w:rsid w:val="001A6F08"/>
    <w:rsid w:val="001B02B3"/>
    <w:rsid w:val="001B23FB"/>
    <w:rsid w:val="001B7C5F"/>
    <w:rsid w:val="001C0255"/>
    <w:rsid w:val="001C0526"/>
    <w:rsid w:val="001C0F11"/>
    <w:rsid w:val="001C1ABF"/>
    <w:rsid w:val="001C753C"/>
    <w:rsid w:val="001D12CC"/>
    <w:rsid w:val="001E25FC"/>
    <w:rsid w:val="001E492E"/>
    <w:rsid w:val="001E5444"/>
    <w:rsid w:val="001F11D8"/>
    <w:rsid w:val="001F2A15"/>
    <w:rsid w:val="001F563E"/>
    <w:rsid w:val="002001FE"/>
    <w:rsid w:val="00202C7C"/>
    <w:rsid w:val="00204E35"/>
    <w:rsid w:val="00207ED3"/>
    <w:rsid w:val="00211C87"/>
    <w:rsid w:val="00222C03"/>
    <w:rsid w:val="00226EE9"/>
    <w:rsid w:val="00231706"/>
    <w:rsid w:val="00231A97"/>
    <w:rsid w:val="00234917"/>
    <w:rsid w:val="00241B5D"/>
    <w:rsid w:val="002561B9"/>
    <w:rsid w:val="002655C3"/>
    <w:rsid w:val="00265B2D"/>
    <w:rsid w:val="00266EC6"/>
    <w:rsid w:val="00267291"/>
    <w:rsid w:val="0026795C"/>
    <w:rsid w:val="00271849"/>
    <w:rsid w:val="00272B0B"/>
    <w:rsid w:val="002735E5"/>
    <w:rsid w:val="00274A04"/>
    <w:rsid w:val="00276722"/>
    <w:rsid w:val="00281BE0"/>
    <w:rsid w:val="00285ED2"/>
    <w:rsid w:val="002864E7"/>
    <w:rsid w:val="00287FFE"/>
    <w:rsid w:val="00297BBE"/>
    <w:rsid w:val="002A0883"/>
    <w:rsid w:val="002A2BE1"/>
    <w:rsid w:val="002A47E0"/>
    <w:rsid w:val="002A5A1E"/>
    <w:rsid w:val="002A7384"/>
    <w:rsid w:val="002A7712"/>
    <w:rsid w:val="002B28D9"/>
    <w:rsid w:val="002B4251"/>
    <w:rsid w:val="002C07A5"/>
    <w:rsid w:val="002C086E"/>
    <w:rsid w:val="002C0A1A"/>
    <w:rsid w:val="002C1A66"/>
    <w:rsid w:val="002C32E5"/>
    <w:rsid w:val="002C335B"/>
    <w:rsid w:val="002C6494"/>
    <w:rsid w:val="002C6C13"/>
    <w:rsid w:val="002C7419"/>
    <w:rsid w:val="002D0D99"/>
    <w:rsid w:val="002D2A18"/>
    <w:rsid w:val="002D3197"/>
    <w:rsid w:val="002D3EC0"/>
    <w:rsid w:val="002E0209"/>
    <w:rsid w:val="002E0BCE"/>
    <w:rsid w:val="002E351B"/>
    <w:rsid w:val="00304049"/>
    <w:rsid w:val="00310A8C"/>
    <w:rsid w:val="003114D5"/>
    <w:rsid w:val="00312E59"/>
    <w:rsid w:val="00316253"/>
    <w:rsid w:val="00317496"/>
    <w:rsid w:val="00320097"/>
    <w:rsid w:val="0032356E"/>
    <w:rsid w:val="003268F7"/>
    <w:rsid w:val="003341D4"/>
    <w:rsid w:val="003350AC"/>
    <w:rsid w:val="0033715C"/>
    <w:rsid w:val="003439D3"/>
    <w:rsid w:val="003510C1"/>
    <w:rsid w:val="00352BB1"/>
    <w:rsid w:val="00373BCD"/>
    <w:rsid w:val="00373EF9"/>
    <w:rsid w:val="00374588"/>
    <w:rsid w:val="00374903"/>
    <w:rsid w:val="00376A5A"/>
    <w:rsid w:val="003827C2"/>
    <w:rsid w:val="00384124"/>
    <w:rsid w:val="00384EC2"/>
    <w:rsid w:val="00386710"/>
    <w:rsid w:val="0039416C"/>
    <w:rsid w:val="00395776"/>
    <w:rsid w:val="003A4A78"/>
    <w:rsid w:val="003A6733"/>
    <w:rsid w:val="003A6BA3"/>
    <w:rsid w:val="003A7927"/>
    <w:rsid w:val="003B10AF"/>
    <w:rsid w:val="003B3811"/>
    <w:rsid w:val="003B384B"/>
    <w:rsid w:val="003B4B3B"/>
    <w:rsid w:val="003B64C4"/>
    <w:rsid w:val="003B7B80"/>
    <w:rsid w:val="003C2048"/>
    <w:rsid w:val="003C21E7"/>
    <w:rsid w:val="003C2B65"/>
    <w:rsid w:val="003C464C"/>
    <w:rsid w:val="003D331E"/>
    <w:rsid w:val="003D63BD"/>
    <w:rsid w:val="003D75D9"/>
    <w:rsid w:val="003E2BCA"/>
    <w:rsid w:val="003F0B47"/>
    <w:rsid w:val="003F4D2E"/>
    <w:rsid w:val="003F739D"/>
    <w:rsid w:val="003F7DA8"/>
    <w:rsid w:val="00402EF9"/>
    <w:rsid w:val="00406DCC"/>
    <w:rsid w:val="00407165"/>
    <w:rsid w:val="00407D3B"/>
    <w:rsid w:val="00411BD9"/>
    <w:rsid w:val="00412531"/>
    <w:rsid w:val="0041656D"/>
    <w:rsid w:val="004225A9"/>
    <w:rsid w:val="004232AC"/>
    <w:rsid w:val="00423D49"/>
    <w:rsid w:val="004256BB"/>
    <w:rsid w:val="00425949"/>
    <w:rsid w:val="00427FCE"/>
    <w:rsid w:val="0043077C"/>
    <w:rsid w:val="00437384"/>
    <w:rsid w:val="0044122C"/>
    <w:rsid w:val="004425D1"/>
    <w:rsid w:val="00442694"/>
    <w:rsid w:val="00452E18"/>
    <w:rsid w:val="004533DF"/>
    <w:rsid w:val="00457A79"/>
    <w:rsid w:val="004621AA"/>
    <w:rsid w:val="00463BDC"/>
    <w:rsid w:val="00463BE8"/>
    <w:rsid w:val="0046450A"/>
    <w:rsid w:val="00465B27"/>
    <w:rsid w:val="00465D47"/>
    <w:rsid w:val="00465E5B"/>
    <w:rsid w:val="0047212D"/>
    <w:rsid w:val="00473F5B"/>
    <w:rsid w:val="00474D5B"/>
    <w:rsid w:val="00477FAD"/>
    <w:rsid w:val="00490047"/>
    <w:rsid w:val="00492A67"/>
    <w:rsid w:val="00492C2C"/>
    <w:rsid w:val="004947D6"/>
    <w:rsid w:val="00496DDC"/>
    <w:rsid w:val="004A1811"/>
    <w:rsid w:val="004A291C"/>
    <w:rsid w:val="004A3264"/>
    <w:rsid w:val="004A6FF2"/>
    <w:rsid w:val="004B6AB8"/>
    <w:rsid w:val="004B6FF2"/>
    <w:rsid w:val="004C23A6"/>
    <w:rsid w:val="004C561D"/>
    <w:rsid w:val="004C5942"/>
    <w:rsid w:val="004D01FB"/>
    <w:rsid w:val="004D04B0"/>
    <w:rsid w:val="004D282B"/>
    <w:rsid w:val="004D4416"/>
    <w:rsid w:val="004D5AC5"/>
    <w:rsid w:val="004D705D"/>
    <w:rsid w:val="004E09A7"/>
    <w:rsid w:val="004E1009"/>
    <w:rsid w:val="004E1595"/>
    <w:rsid w:val="004E27D7"/>
    <w:rsid w:val="004E30CC"/>
    <w:rsid w:val="004E7BFE"/>
    <w:rsid w:val="004F3375"/>
    <w:rsid w:val="004F33A8"/>
    <w:rsid w:val="004F4506"/>
    <w:rsid w:val="004F5BB5"/>
    <w:rsid w:val="004F7B4C"/>
    <w:rsid w:val="00505775"/>
    <w:rsid w:val="005102AB"/>
    <w:rsid w:val="00510BCE"/>
    <w:rsid w:val="0051432E"/>
    <w:rsid w:val="00524E0F"/>
    <w:rsid w:val="005268BF"/>
    <w:rsid w:val="00526EFA"/>
    <w:rsid w:val="005359F0"/>
    <w:rsid w:val="00540EF9"/>
    <w:rsid w:val="005429EF"/>
    <w:rsid w:val="00543041"/>
    <w:rsid w:val="00544151"/>
    <w:rsid w:val="00550972"/>
    <w:rsid w:val="00555708"/>
    <w:rsid w:val="00555D78"/>
    <w:rsid w:val="00556AEA"/>
    <w:rsid w:val="0055778F"/>
    <w:rsid w:val="00564FB9"/>
    <w:rsid w:val="005716E1"/>
    <w:rsid w:val="005744BE"/>
    <w:rsid w:val="00576B33"/>
    <w:rsid w:val="00577A3A"/>
    <w:rsid w:val="005800CE"/>
    <w:rsid w:val="00582858"/>
    <w:rsid w:val="00585FD1"/>
    <w:rsid w:val="005921F2"/>
    <w:rsid w:val="00595BCE"/>
    <w:rsid w:val="00597F86"/>
    <w:rsid w:val="005A7136"/>
    <w:rsid w:val="005B2F67"/>
    <w:rsid w:val="005B3678"/>
    <w:rsid w:val="005C4E96"/>
    <w:rsid w:val="005C5D99"/>
    <w:rsid w:val="005C6FEF"/>
    <w:rsid w:val="005C7807"/>
    <w:rsid w:val="005D266C"/>
    <w:rsid w:val="005D4C49"/>
    <w:rsid w:val="005E0F3B"/>
    <w:rsid w:val="005E1CD1"/>
    <w:rsid w:val="005E3F3F"/>
    <w:rsid w:val="005E4D64"/>
    <w:rsid w:val="005E5C62"/>
    <w:rsid w:val="005F26BB"/>
    <w:rsid w:val="00603D3B"/>
    <w:rsid w:val="00606C45"/>
    <w:rsid w:val="00610303"/>
    <w:rsid w:val="00610362"/>
    <w:rsid w:val="006155F1"/>
    <w:rsid w:val="006174B2"/>
    <w:rsid w:val="00617D03"/>
    <w:rsid w:val="00622053"/>
    <w:rsid w:val="0063010D"/>
    <w:rsid w:val="006318A8"/>
    <w:rsid w:val="00633635"/>
    <w:rsid w:val="00646C96"/>
    <w:rsid w:val="00655FFA"/>
    <w:rsid w:val="00657B4C"/>
    <w:rsid w:val="0066217F"/>
    <w:rsid w:val="00662532"/>
    <w:rsid w:val="006669EB"/>
    <w:rsid w:val="006701E1"/>
    <w:rsid w:val="00675AA2"/>
    <w:rsid w:val="00682E26"/>
    <w:rsid w:val="00685F11"/>
    <w:rsid w:val="00686764"/>
    <w:rsid w:val="00697BE9"/>
    <w:rsid w:val="006A3411"/>
    <w:rsid w:val="006A3A2F"/>
    <w:rsid w:val="006B0CA7"/>
    <w:rsid w:val="006B2B83"/>
    <w:rsid w:val="006B3503"/>
    <w:rsid w:val="006B5377"/>
    <w:rsid w:val="006B581B"/>
    <w:rsid w:val="006B67AC"/>
    <w:rsid w:val="006C009E"/>
    <w:rsid w:val="006C06D7"/>
    <w:rsid w:val="006C3FA0"/>
    <w:rsid w:val="006C4056"/>
    <w:rsid w:val="006C4867"/>
    <w:rsid w:val="006D01B3"/>
    <w:rsid w:val="006D5579"/>
    <w:rsid w:val="006E0EC3"/>
    <w:rsid w:val="006E2B5F"/>
    <w:rsid w:val="006E3385"/>
    <w:rsid w:val="006F0C21"/>
    <w:rsid w:val="006F31B5"/>
    <w:rsid w:val="006F3470"/>
    <w:rsid w:val="006F4948"/>
    <w:rsid w:val="006F5358"/>
    <w:rsid w:val="007004F4"/>
    <w:rsid w:val="0070078D"/>
    <w:rsid w:val="00710673"/>
    <w:rsid w:val="007176C7"/>
    <w:rsid w:val="00721771"/>
    <w:rsid w:val="00723BDE"/>
    <w:rsid w:val="00725B2A"/>
    <w:rsid w:val="00726FE6"/>
    <w:rsid w:val="00742C3D"/>
    <w:rsid w:val="00743ABB"/>
    <w:rsid w:val="007440F7"/>
    <w:rsid w:val="0074454B"/>
    <w:rsid w:val="00745895"/>
    <w:rsid w:val="00746582"/>
    <w:rsid w:val="007467B5"/>
    <w:rsid w:val="00751BF0"/>
    <w:rsid w:val="00752418"/>
    <w:rsid w:val="00763141"/>
    <w:rsid w:val="00764469"/>
    <w:rsid w:val="00766FD5"/>
    <w:rsid w:val="00770DD9"/>
    <w:rsid w:val="007741AE"/>
    <w:rsid w:val="00774B4C"/>
    <w:rsid w:val="00783454"/>
    <w:rsid w:val="007861AA"/>
    <w:rsid w:val="00792822"/>
    <w:rsid w:val="007935B6"/>
    <w:rsid w:val="00796D34"/>
    <w:rsid w:val="007979AB"/>
    <w:rsid w:val="007A1C93"/>
    <w:rsid w:val="007A1DEA"/>
    <w:rsid w:val="007A29DB"/>
    <w:rsid w:val="007A5B77"/>
    <w:rsid w:val="007B0F6D"/>
    <w:rsid w:val="007B2C13"/>
    <w:rsid w:val="007B2CA5"/>
    <w:rsid w:val="007B77F0"/>
    <w:rsid w:val="007C3F00"/>
    <w:rsid w:val="007C40B5"/>
    <w:rsid w:val="007D5C95"/>
    <w:rsid w:val="007E17AB"/>
    <w:rsid w:val="007E666F"/>
    <w:rsid w:val="008015ED"/>
    <w:rsid w:val="0080248D"/>
    <w:rsid w:val="00803BA4"/>
    <w:rsid w:val="0080536E"/>
    <w:rsid w:val="00821285"/>
    <w:rsid w:val="00821D3C"/>
    <w:rsid w:val="00826DDC"/>
    <w:rsid w:val="0083071F"/>
    <w:rsid w:val="00830C02"/>
    <w:rsid w:val="00843C1C"/>
    <w:rsid w:val="008507F0"/>
    <w:rsid w:val="00854106"/>
    <w:rsid w:val="00861326"/>
    <w:rsid w:val="00871265"/>
    <w:rsid w:val="0087312F"/>
    <w:rsid w:val="008773E5"/>
    <w:rsid w:val="00886A7C"/>
    <w:rsid w:val="00886B91"/>
    <w:rsid w:val="008908D2"/>
    <w:rsid w:val="00892B80"/>
    <w:rsid w:val="008A0665"/>
    <w:rsid w:val="008A2AB3"/>
    <w:rsid w:val="008A4D0F"/>
    <w:rsid w:val="008A6BDC"/>
    <w:rsid w:val="008A70AE"/>
    <w:rsid w:val="008A7636"/>
    <w:rsid w:val="008B1BA2"/>
    <w:rsid w:val="008B2AD2"/>
    <w:rsid w:val="008B4697"/>
    <w:rsid w:val="008B50D9"/>
    <w:rsid w:val="008B657F"/>
    <w:rsid w:val="008B7E56"/>
    <w:rsid w:val="008D0592"/>
    <w:rsid w:val="008D5EF9"/>
    <w:rsid w:val="008E06FC"/>
    <w:rsid w:val="008E5E7A"/>
    <w:rsid w:val="008E6C6E"/>
    <w:rsid w:val="008F0860"/>
    <w:rsid w:val="008F1600"/>
    <w:rsid w:val="008F1E81"/>
    <w:rsid w:val="008F202F"/>
    <w:rsid w:val="008F4E4B"/>
    <w:rsid w:val="008F6E29"/>
    <w:rsid w:val="00903621"/>
    <w:rsid w:val="00905FAD"/>
    <w:rsid w:val="009067DC"/>
    <w:rsid w:val="009125C0"/>
    <w:rsid w:val="009132B0"/>
    <w:rsid w:val="009154F7"/>
    <w:rsid w:val="00916456"/>
    <w:rsid w:val="00931831"/>
    <w:rsid w:val="00935188"/>
    <w:rsid w:val="00937058"/>
    <w:rsid w:val="009412E0"/>
    <w:rsid w:val="009427AA"/>
    <w:rsid w:val="0094369E"/>
    <w:rsid w:val="00945659"/>
    <w:rsid w:val="00956A4E"/>
    <w:rsid w:val="00961D4B"/>
    <w:rsid w:val="0096706F"/>
    <w:rsid w:val="00967EC4"/>
    <w:rsid w:val="00970043"/>
    <w:rsid w:val="009709DC"/>
    <w:rsid w:val="0097551C"/>
    <w:rsid w:val="00976217"/>
    <w:rsid w:val="00981855"/>
    <w:rsid w:val="00983025"/>
    <w:rsid w:val="00986915"/>
    <w:rsid w:val="009918A8"/>
    <w:rsid w:val="0099623F"/>
    <w:rsid w:val="00997872"/>
    <w:rsid w:val="009A2AAB"/>
    <w:rsid w:val="009A412F"/>
    <w:rsid w:val="009A5B19"/>
    <w:rsid w:val="009A74DE"/>
    <w:rsid w:val="009C25D9"/>
    <w:rsid w:val="009C3510"/>
    <w:rsid w:val="009C47DF"/>
    <w:rsid w:val="009D3B7B"/>
    <w:rsid w:val="009D41F9"/>
    <w:rsid w:val="009E0739"/>
    <w:rsid w:val="009E078F"/>
    <w:rsid w:val="009E1C22"/>
    <w:rsid w:val="009E5085"/>
    <w:rsid w:val="009E51E2"/>
    <w:rsid w:val="009E7DE6"/>
    <w:rsid w:val="009F0367"/>
    <w:rsid w:val="009F3091"/>
    <w:rsid w:val="00A0041E"/>
    <w:rsid w:val="00A02DC8"/>
    <w:rsid w:val="00A03C86"/>
    <w:rsid w:val="00A122AB"/>
    <w:rsid w:val="00A15E6C"/>
    <w:rsid w:val="00A233AE"/>
    <w:rsid w:val="00A27E49"/>
    <w:rsid w:val="00A4261E"/>
    <w:rsid w:val="00A4541C"/>
    <w:rsid w:val="00A4573B"/>
    <w:rsid w:val="00A47A5F"/>
    <w:rsid w:val="00A53A59"/>
    <w:rsid w:val="00A53DD2"/>
    <w:rsid w:val="00A54AE9"/>
    <w:rsid w:val="00A57ABD"/>
    <w:rsid w:val="00A61852"/>
    <w:rsid w:val="00A645E5"/>
    <w:rsid w:val="00A6667B"/>
    <w:rsid w:val="00A73D0C"/>
    <w:rsid w:val="00A74736"/>
    <w:rsid w:val="00A74C3E"/>
    <w:rsid w:val="00A74C64"/>
    <w:rsid w:val="00A85D9F"/>
    <w:rsid w:val="00A87AA7"/>
    <w:rsid w:val="00A9207A"/>
    <w:rsid w:val="00A94BCC"/>
    <w:rsid w:val="00AA0B8E"/>
    <w:rsid w:val="00AA2167"/>
    <w:rsid w:val="00AA4AE3"/>
    <w:rsid w:val="00AA7CB2"/>
    <w:rsid w:val="00AB3EE5"/>
    <w:rsid w:val="00AB7714"/>
    <w:rsid w:val="00AC4678"/>
    <w:rsid w:val="00AC5B94"/>
    <w:rsid w:val="00AC5E69"/>
    <w:rsid w:val="00AD05E7"/>
    <w:rsid w:val="00AD1D03"/>
    <w:rsid w:val="00AD24C3"/>
    <w:rsid w:val="00AE236F"/>
    <w:rsid w:val="00AE3648"/>
    <w:rsid w:val="00AF63BF"/>
    <w:rsid w:val="00B07E8C"/>
    <w:rsid w:val="00B106BD"/>
    <w:rsid w:val="00B11388"/>
    <w:rsid w:val="00B1156A"/>
    <w:rsid w:val="00B12041"/>
    <w:rsid w:val="00B25458"/>
    <w:rsid w:val="00B34BB1"/>
    <w:rsid w:val="00B34D0E"/>
    <w:rsid w:val="00B422E6"/>
    <w:rsid w:val="00B51968"/>
    <w:rsid w:val="00B74F7C"/>
    <w:rsid w:val="00B81712"/>
    <w:rsid w:val="00B86445"/>
    <w:rsid w:val="00B92245"/>
    <w:rsid w:val="00B924B6"/>
    <w:rsid w:val="00B93734"/>
    <w:rsid w:val="00B9591F"/>
    <w:rsid w:val="00B962E0"/>
    <w:rsid w:val="00B972EE"/>
    <w:rsid w:val="00BA0F24"/>
    <w:rsid w:val="00BA1F33"/>
    <w:rsid w:val="00BA2DEB"/>
    <w:rsid w:val="00BA3D6C"/>
    <w:rsid w:val="00BA7881"/>
    <w:rsid w:val="00BB1A35"/>
    <w:rsid w:val="00BB1DC8"/>
    <w:rsid w:val="00BB52D9"/>
    <w:rsid w:val="00BB6D9B"/>
    <w:rsid w:val="00BB787A"/>
    <w:rsid w:val="00BB7C72"/>
    <w:rsid w:val="00BC495E"/>
    <w:rsid w:val="00BC71CB"/>
    <w:rsid w:val="00BD3C68"/>
    <w:rsid w:val="00BD565A"/>
    <w:rsid w:val="00BD5941"/>
    <w:rsid w:val="00BD72F6"/>
    <w:rsid w:val="00BE3222"/>
    <w:rsid w:val="00BE4601"/>
    <w:rsid w:val="00BE6035"/>
    <w:rsid w:val="00BE76F0"/>
    <w:rsid w:val="00BE7AD4"/>
    <w:rsid w:val="00BF034D"/>
    <w:rsid w:val="00BF4C99"/>
    <w:rsid w:val="00BF5484"/>
    <w:rsid w:val="00BF5EE1"/>
    <w:rsid w:val="00BF7140"/>
    <w:rsid w:val="00BF7940"/>
    <w:rsid w:val="00C0103F"/>
    <w:rsid w:val="00C1565C"/>
    <w:rsid w:val="00C20072"/>
    <w:rsid w:val="00C22AE6"/>
    <w:rsid w:val="00C23D24"/>
    <w:rsid w:val="00C322D8"/>
    <w:rsid w:val="00C3739D"/>
    <w:rsid w:val="00C409FF"/>
    <w:rsid w:val="00C44438"/>
    <w:rsid w:val="00C4688F"/>
    <w:rsid w:val="00C46CDB"/>
    <w:rsid w:val="00C47057"/>
    <w:rsid w:val="00C5102F"/>
    <w:rsid w:val="00C512DD"/>
    <w:rsid w:val="00C52D09"/>
    <w:rsid w:val="00C5495A"/>
    <w:rsid w:val="00C65F8C"/>
    <w:rsid w:val="00C721EA"/>
    <w:rsid w:val="00C73D08"/>
    <w:rsid w:val="00C7400D"/>
    <w:rsid w:val="00C8166B"/>
    <w:rsid w:val="00C827DA"/>
    <w:rsid w:val="00C82C04"/>
    <w:rsid w:val="00C83D74"/>
    <w:rsid w:val="00C90CA8"/>
    <w:rsid w:val="00C94FD4"/>
    <w:rsid w:val="00C95744"/>
    <w:rsid w:val="00C96586"/>
    <w:rsid w:val="00CA1342"/>
    <w:rsid w:val="00CA5A5C"/>
    <w:rsid w:val="00CA5C06"/>
    <w:rsid w:val="00CA62BF"/>
    <w:rsid w:val="00CA7422"/>
    <w:rsid w:val="00CA7D86"/>
    <w:rsid w:val="00CB189E"/>
    <w:rsid w:val="00CB1E26"/>
    <w:rsid w:val="00CB2C8C"/>
    <w:rsid w:val="00CB5979"/>
    <w:rsid w:val="00CC0232"/>
    <w:rsid w:val="00CC0D65"/>
    <w:rsid w:val="00CC76D5"/>
    <w:rsid w:val="00CC7983"/>
    <w:rsid w:val="00CD0575"/>
    <w:rsid w:val="00CD12E6"/>
    <w:rsid w:val="00CD3EFD"/>
    <w:rsid w:val="00CD725B"/>
    <w:rsid w:val="00CE1D94"/>
    <w:rsid w:val="00CE3CC5"/>
    <w:rsid w:val="00CE63BC"/>
    <w:rsid w:val="00CF13E6"/>
    <w:rsid w:val="00CF2324"/>
    <w:rsid w:val="00CF7A50"/>
    <w:rsid w:val="00D0033D"/>
    <w:rsid w:val="00D02834"/>
    <w:rsid w:val="00D14B92"/>
    <w:rsid w:val="00D14D90"/>
    <w:rsid w:val="00D16377"/>
    <w:rsid w:val="00D17295"/>
    <w:rsid w:val="00D17D2F"/>
    <w:rsid w:val="00D20660"/>
    <w:rsid w:val="00D3516F"/>
    <w:rsid w:val="00D36921"/>
    <w:rsid w:val="00D37335"/>
    <w:rsid w:val="00D4373B"/>
    <w:rsid w:val="00D446A8"/>
    <w:rsid w:val="00D45632"/>
    <w:rsid w:val="00D47950"/>
    <w:rsid w:val="00D50C76"/>
    <w:rsid w:val="00D53A22"/>
    <w:rsid w:val="00D55F96"/>
    <w:rsid w:val="00D61F77"/>
    <w:rsid w:val="00D624A3"/>
    <w:rsid w:val="00D65EAE"/>
    <w:rsid w:val="00D670CF"/>
    <w:rsid w:val="00D67F8A"/>
    <w:rsid w:val="00D775D1"/>
    <w:rsid w:val="00D77888"/>
    <w:rsid w:val="00D80621"/>
    <w:rsid w:val="00D82C3F"/>
    <w:rsid w:val="00D82E5A"/>
    <w:rsid w:val="00D82FCB"/>
    <w:rsid w:val="00D831E3"/>
    <w:rsid w:val="00D933FC"/>
    <w:rsid w:val="00DA10D4"/>
    <w:rsid w:val="00DA3810"/>
    <w:rsid w:val="00DA3A45"/>
    <w:rsid w:val="00DB4BB7"/>
    <w:rsid w:val="00DB77BF"/>
    <w:rsid w:val="00DC1A25"/>
    <w:rsid w:val="00DC3014"/>
    <w:rsid w:val="00DC453A"/>
    <w:rsid w:val="00DC6237"/>
    <w:rsid w:val="00DC6BE4"/>
    <w:rsid w:val="00DC7204"/>
    <w:rsid w:val="00DE06C0"/>
    <w:rsid w:val="00DF1C67"/>
    <w:rsid w:val="00DF2153"/>
    <w:rsid w:val="00DF3719"/>
    <w:rsid w:val="00DF4BDA"/>
    <w:rsid w:val="00DF6B59"/>
    <w:rsid w:val="00E14AFD"/>
    <w:rsid w:val="00E200CC"/>
    <w:rsid w:val="00E22ECD"/>
    <w:rsid w:val="00E25983"/>
    <w:rsid w:val="00E2667B"/>
    <w:rsid w:val="00E269A5"/>
    <w:rsid w:val="00E2755E"/>
    <w:rsid w:val="00E27737"/>
    <w:rsid w:val="00E32ADB"/>
    <w:rsid w:val="00E37134"/>
    <w:rsid w:val="00E37723"/>
    <w:rsid w:val="00E442CE"/>
    <w:rsid w:val="00E4445C"/>
    <w:rsid w:val="00E445C4"/>
    <w:rsid w:val="00E51BFA"/>
    <w:rsid w:val="00E54ED1"/>
    <w:rsid w:val="00E56ACF"/>
    <w:rsid w:val="00E60830"/>
    <w:rsid w:val="00E648D4"/>
    <w:rsid w:val="00E65C6C"/>
    <w:rsid w:val="00E703A0"/>
    <w:rsid w:val="00E7098B"/>
    <w:rsid w:val="00E72366"/>
    <w:rsid w:val="00E74CA4"/>
    <w:rsid w:val="00E75161"/>
    <w:rsid w:val="00E77B8C"/>
    <w:rsid w:val="00E839B9"/>
    <w:rsid w:val="00E83D63"/>
    <w:rsid w:val="00E8493C"/>
    <w:rsid w:val="00E867ED"/>
    <w:rsid w:val="00E86D00"/>
    <w:rsid w:val="00E86EA2"/>
    <w:rsid w:val="00E94320"/>
    <w:rsid w:val="00E97A4A"/>
    <w:rsid w:val="00EA293D"/>
    <w:rsid w:val="00EB419B"/>
    <w:rsid w:val="00EB6D55"/>
    <w:rsid w:val="00EC0617"/>
    <w:rsid w:val="00EC0E8D"/>
    <w:rsid w:val="00EC0FD2"/>
    <w:rsid w:val="00EC187C"/>
    <w:rsid w:val="00EC43CA"/>
    <w:rsid w:val="00ED1B2C"/>
    <w:rsid w:val="00ED30D0"/>
    <w:rsid w:val="00ED327E"/>
    <w:rsid w:val="00ED5FA8"/>
    <w:rsid w:val="00ED7266"/>
    <w:rsid w:val="00EE00D1"/>
    <w:rsid w:val="00EF277C"/>
    <w:rsid w:val="00F117EE"/>
    <w:rsid w:val="00F23F93"/>
    <w:rsid w:val="00F25F8F"/>
    <w:rsid w:val="00F267AC"/>
    <w:rsid w:val="00F3130F"/>
    <w:rsid w:val="00F33200"/>
    <w:rsid w:val="00F33452"/>
    <w:rsid w:val="00F34652"/>
    <w:rsid w:val="00F42AFD"/>
    <w:rsid w:val="00F42CB1"/>
    <w:rsid w:val="00F523A1"/>
    <w:rsid w:val="00F529E9"/>
    <w:rsid w:val="00F64DDA"/>
    <w:rsid w:val="00F6628D"/>
    <w:rsid w:val="00F70602"/>
    <w:rsid w:val="00F70A65"/>
    <w:rsid w:val="00F7215D"/>
    <w:rsid w:val="00F80348"/>
    <w:rsid w:val="00F806B6"/>
    <w:rsid w:val="00F808C7"/>
    <w:rsid w:val="00F8107D"/>
    <w:rsid w:val="00F81F21"/>
    <w:rsid w:val="00F92297"/>
    <w:rsid w:val="00F93899"/>
    <w:rsid w:val="00F93B97"/>
    <w:rsid w:val="00FA0421"/>
    <w:rsid w:val="00FA55C8"/>
    <w:rsid w:val="00FA69DC"/>
    <w:rsid w:val="00FA6D5B"/>
    <w:rsid w:val="00FB0DE5"/>
    <w:rsid w:val="00FB2DBE"/>
    <w:rsid w:val="00FC2697"/>
    <w:rsid w:val="00FC60B5"/>
    <w:rsid w:val="00FC7C27"/>
    <w:rsid w:val="00FD1C48"/>
    <w:rsid w:val="00FD47E8"/>
    <w:rsid w:val="00FD7B86"/>
    <w:rsid w:val="00FE0C2F"/>
    <w:rsid w:val="00FE21E0"/>
    <w:rsid w:val="00FE4348"/>
    <w:rsid w:val="00FE66B8"/>
    <w:rsid w:val="00FF3CDE"/>
    <w:rsid w:val="00FF4100"/>
    <w:rsid w:val="0805D314"/>
    <w:rsid w:val="0B6C04EF"/>
    <w:rsid w:val="138C0D00"/>
    <w:rsid w:val="169DAC93"/>
    <w:rsid w:val="19EE45DE"/>
    <w:rsid w:val="1EC1B701"/>
    <w:rsid w:val="26850F70"/>
    <w:rsid w:val="33B5D3C2"/>
    <w:rsid w:val="395BF1F5"/>
    <w:rsid w:val="51BB0136"/>
    <w:rsid w:val="52A83284"/>
    <w:rsid w:val="5307BD2E"/>
    <w:rsid w:val="57AA02EA"/>
    <w:rsid w:val="5A4060F9"/>
    <w:rsid w:val="6014D14F"/>
    <w:rsid w:val="645A4FFA"/>
    <w:rsid w:val="6639BF0F"/>
    <w:rsid w:val="745F0FA2"/>
    <w:rsid w:val="7B6F0981"/>
    <w:rsid w:val="7B71A3CF"/>
    <w:rsid w:val="7D0AD9E2"/>
    <w:rsid w:val="7FB62FE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53787BA"/>
  <w15:docId w15:val="{171F0E72-744A-4822-A4B1-CBE13A7E2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DD9"/>
    <w:pPr>
      <w:spacing w:after="200"/>
    </w:pPr>
    <w:rPr>
      <w:rFonts w:ascii="Verdana" w:hAnsi="Verdana"/>
      <w:sz w:val="20"/>
      <w:lang w:eastAsia="en-US"/>
    </w:rPr>
  </w:style>
  <w:style w:type="paragraph" w:styleId="Heading1">
    <w:name w:val="heading 1"/>
    <w:basedOn w:val="Normal"/>
    <w:next w:val="Normal"/>
    <w:link w:val="Heading1Char"/>
    <w:uiPriority w:val="9"/>
    <w:qFormat/>
    <w:rsid w:val="00DF2153"/>
    <w:pPr>
      <w:pageBreakBefore/>
      <w:tabs>
        <w:tab w:val="center" w:pos="4513"/>
        <w:tab w:val="right" w:pos="9026"/>
      </w:tabs>
      <w:spacing w:after="480"/>
      <w:outlineLvl w:val="0"/>
    </w:pPr>
    <w:rPr>
      <w:b/>
      <w:color w:val="4C6968" w:themeColor="text1"/>
      <w:sz w:val="50"/>
      <w:szCs w:val="24"/>
    </w:rPr>
  </w:style>
  <w:style w:type="paragraph" w:styleId="Heading2">
    <w:name w:val="heading 2"/>
    <w:basedOn w:val="Normal"/>
    <w:next w:val="Normal"/>
    <w:link w:val="Heading2Char"/>
    <w:uiPriority w:val="9"/>
    <w:qFormat/>
    <w:rsid w:val="003268F7"/>
    <w:pPr>
      <w:keepNext/>
      <w:spacing w:before="360" w:after="240"/>
      <w:outlineLvl w:val="1"/>
    </w:pPr>
    <w:rPr>
      <w:b/>
      <w:color w:val="48555E" w:themeColor="text2"/>
      <w:sz w:val="32"/>
      <w:szCs w:val="20"/>
    </w:rPr>
  </w:style>
  <w:style w:type="paragraph" w:styleId="Heading3">
    <w:name w:val="heading 3"/>
    <w:basedOn w:val="Normal"/>
    <w:next w:val="Normal"/>
    <w:link w:val="Heading3Char"/>
    <w:uiPriority w:val="9"/>
    <w:qFormat/>
    <w:rsid w:val="003268F7"/>
    <w:pPr>
      <w:keepNext/>
      <w:spacing w:before="120" w:after="120"/>
      <w:outlineLvl w:val="2"/>
    </w:pPr>
    <w:rPr>
      <w:rFonts w:cs="Arial"/>
      <w:b/>
      <w:color w:val="48555E" w:themeColor="text2"/>
      <w:sz w:val="26"/>
    </w:rPr>
  </w:style>
  <w:style w:type="paragraph" w:styleId="Heading4">
    <w:name w:val="heading 4"/>
    <w:basedOn w:val="Normal"/>
    <w:next w:val="Normal"/>
    <w:link w:val="Heading4Char"/>
    <w:uiPriority w:val="9"/>
    <w:qFormat/>
    <w:rsid w:val="003268F7"/>
    <w:pPr>
      <w:keepNext/>
      <w:spacing w:before="120"/>
      <w:outlineLvl w:val="3"/>
    </w:pPr>
    <w:rPr>
      <w:rFonts w:cs="Arial"/>
      <w:sz w:val="22"/>
    </w:rPr>
  </w:style>
  <w:style w:type="paragraph" w:styleId="Heading5">
    <w:name w:val="heading 5"/>
    <w:basedOn w:val="Normal"/>
    <w:next w:val="Normal"/>
    <w:link w:val="Heading5Char"/>
    <w:uiPriority w:val="9"/>
    <w:unhideWhenUsed/>
    <w:rsid w:val="008015ED"/>
    <w:pPr>
      <w:keepNext/>
      <w:keepLines/>
      <w:spacing w:before="40" w:after="240"/>
      <w:outlineLvl w:val="4"/>
    </w:pPr>
    <w:rPr>
      <w:rFonts w:eastAsiaTheme="majorEastAsia" w:cstheme="majorBidi"/>
      <w:i/>
      <w:color w:val="4C6968"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unhideWhenUsed/>
    <w:rsid w:val="00CA62BF"/>
    <w:rPr>
      <w:b/>
      <w:color w:val="4C6968" w:themeColor="text1"/>
      <w:sz w:val="24"/>
    </w:rPr>
  </w:style>
  <w:style w:type="character" w:customStyle="1" w:styleId="DateChar">
    <w:name w:val="Date Char"/>
    <w:basedOn w:val="DefaultParagraphFont"/>
    <w:link w:val="Date"/>
    <w:uiPriority w:val="99"/>
    <w:rsid w:val="00CA62BF"/>
    <w:rPr>
      <w:rFonts w:ascii="Verdana" w:hAnsi="Verdana"/>
      <w:b/>
      <w:color w:val="4C6968" w:themeColor="text1"/>
      <w:sz w:val="24"/>
      <w:lang w:eastAsia="en-US"/>
    </w:rPr>
  </w:style>
  <w:style w:type="paragraph" w:styleId="Footer">
    <w:name w:val="footer"/>
    <w:basedOn w:val="Normal"/>
    <w:link w:val="FooterChar"/>
    <w:uiPriority w:val="99"/>
    <w:unhideWhenUsed/>
    <w:rsid w:val="00DE06C0"/>
    <w:pPr>
      <w:tabs>
        <w:tab w:val="center" w:pos="4513"/>
        <w:tab w:val="right" w:pos="9026"/>
      </w:tabs>
      <w:spacing w:after="0"/>
    </w:pPr>
    <w:rPr>
      <w:sz w:val="16"/>
    </w:rPr>
  </w:style>
  <w:style w:type="character" w:customStyle="1" w:styleId="FooterChar">
    <w:name w:val="Footer Char"/>
    <w:basedOn w:val="DefaultParagraphFont"/>
    <w:link w:val="Footer"/>
    <w:uiPriority w:val="99"/>
    <w:rsid w:val="00DE06C0"/>
    <w:rPr>
      <w:rFonts w:ascii="Verdana" w:hAnsi="Verdana"/>
      <w:sz w:val="16"/>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numbering" w:customStyle="1" w:styleId="KeyPoints">
    <w:name w:val="Key Points"/>
    <w:basedOn w:val="NoList"/>
    <w:uiPriority w:val="99"/>
    <w:pPr>
      <w:numPr>
        <w:numId w:val="1"/>
      </w:numPr>
    </w:pPr>
  </w:style>
  <w:style w:type="paragraph" w:customStyle="1" w:styleId="1NumberedPointsStyle">
    <w:name w:val="1. Numbered Points Style"/>
    <w:basedOn w:val="Normal"/>
    <w:uiPriority w:val="99"/>
    <w:semiHidden/>
  </w:style>
  <w:style w:type="numbering" w:customStyle="1" w:styleId="BulletList">
    <w:name w:val="Bullet List"/>
    <w:uiPriority w:val="99"/>
    <w:pPr>
      <w:numPr>
        <w:numId w:val="2"/>
      </w:numPr>
    </w:pPr>
  </w:style>
  <w:style w:type="paragraph" w:customStyle="1" w:styleId="1BulletStyleList">
    <w:name w:val="1. Bullet Style List"/>
    <w:basedOn w:val="Normal"/>
    <w:uiPriority w:val="99"/>
    <w:semiHidden/>
    <w:rPr>
      <w:rFonts w:eastAsia="Times New Roman"/>
      <w:szCs w:val="20"/>
      <w:lang w:eastAsia="en-AU"/>
    </w:rPr>
  </w:style>
  <w:style w:type="character" w:customStyle="1" w:styleId="Heading1Char">
    <w:name w:val="Heading 1 Char"/>
    <w:basedOn w:val="DefaultParagraphFont"/>
    <w:link w:val="Heading1"/>
    <w:uiPriority w:val="9"/>
    <w:rsid w:val="00DF2153"/>
    <w:rPr>
      <w:rFonts w:ascii="Verdana" w:hAnsi="Verdana"/>
      <w:b/>
      <w:color w:val="4C6968" w:themeColor="text1"/>
      <w:sz w:val="50"/>
      <w:szCs w:val="24"/>
      <w:lang w:eastAsia="en-US"/>
    </w:rPr>
  </w:style>
  <w:style w:type="character" w:customStyle="1" w:styleId="Heading2Char">
    <w:name w:val="Heading 2 Char"/>
    <w:basedOn w:val="DefaultParagraphFont"/>
    <w:link w:val="Heading2"/>
    <w:uiPriority w:val="9"/>
    <w:rsid w:val="003268F7"/>
    <w:rPr>
      <w:rFonts w:ascii="Verdana" w:hAnsi="Verdana"/>
      <w:b/>
      <w:color w:val="48555E" w:themeColor="text2"/>
      <w:sz w:val="32"/>
      <w:szCs w:val="20"/>
      <w:lang w:eastAsia="en-US"/>
    </w:rPr>
  </w:style>
  <w:style w:type="character" w:customStyle="1" w:styleId="Heading3Char">
    <w:name w:val="Heading 3 Char"/>
    <w:basedOn w:val="DefaultParagraphFont"/>
    <w:link w:val="Heading3"/>
    <w:uiPriority w:val="9"/>
    <w:rsid w:val="003268F7"/>
    <w:rPr>
      <w:rFonts w:ascii="Verdana" w:hAnsi="Verdana" w:cs="Arial"/>
      <w:b/>
      <w:color w:val="48555E" w:themeColor="text2"/>
      <w:sz w:val="26"/>
      <w:lang w:eastAsia="en-US"/>
    </w:rPr>
  </w:style>
  <w:style w:type="character" w:customStyle="1" w:styleId="Heading4Char">
    <w:name w:val="Heading 4 Char"/>
    <w:basedOn w:val="DefaultParagraphFont"/>
    <w:link w:val="Heading4"/>
    <w:uiPriority w:val="9"/>
    <w:rsid w:val="003268F7"/>
    <w:rPr>
      <w:rFonts w:ascii="Verdana" w:hAnsi="Verdana" w:cs="Arial"/>
      <w:lang w:eastAsia="en-US"/>
    </w:rPr>
  </w:style>
  <w:style w:type="paragraph" w:styleId="ListBullet">
    <w:name w:val="List Bullet"/>
    <w:basedOn w:val="Normal"/>
    <w:uiPriority w:val="99"/>
    <w:unhideWhenUsed/>
    <w:qFormat/>
    <w:rsid w:val="007C3F00"/>
    <w:pPr>
      <w:spacing w:after="120"/>
    </w:pPr>
  </w:style>
  <w:style w:type="paragraph" w:styleId="ListBullet2">
    <w:name w:val="List Bullet 2"/>
    <w:basedOn w:val="Normal"/>
    <w:uiPriority w:val="99"/>
    <w:unhideWhenUsed/>
  </w:style>
  <w:style w:type="numbering" w:customStyle="1" w:styleId="Attach">
    <w:name w:val="Attach"/>
    <w:basedOn w:val="NoList"/>
    <w:uiPriority w:val="99"/>
    <w:pPr>
      <w:numPr>
        <w:numId w:val="3"/>
      </w:numPr>
    </w:pPr>
  </w:style>
  <w:style w:type="character" w:customStyle="1" w:styleId="Heading5Char">
    <w:name w:val="Heading 5 Char"/>
    <w:basedOn w:val="DefaultParagraphFont"/>
    <w:link w:val="Heading5"/>
    <w:uiPriority w:val="9"/>
    <w:rsid w:val="008015ED"/>
    <w:rPr>
      <w:rFonts w:ascii="Verdana" w:eastAsiaTheme="majorEastAsia" w:hAnsi="Verdana" w:cstheme="majorBidi"/>
      <w:i/>
      <w:color w:val="4C6968" w:themeColor="text1"/>
      <w:sz w:val="20"/>
      <w:lang w:eastAsia="en-US"/>
    </w:rPr>
  </w:style>
  <w:style w:type="paragraph" w:styleId="ListNumber">
    <w:name w:val="List Number"/>
    <w:basedOn w:val="Normal"/>
    <w:uiPriority w:val="99"/>
    <w:qFormat/>
    <w:pPr>
      <w:numPr>
        <w:numId w:val="4"/>
      </w:numPr>
      <w:spacing w:before="120" w:after="120"/>
    </w:pPr>
  </w:style>
  <w:style w:type="paragraph" w:styleId="ListNumber2">
    <w:name w:val="List Number 2"/>
    <w:basedOn w:val="Normal"/>
    <w:uiPriority w:val="99"/>
    <w:rsid w:val="00FE0C2F"/>
    <w:pPr>
      <w:numPr>
        <w:ilvl w:val="1"/>
        <w:numId w:val="4"/>
      </w:numPr>
      <w:spacing w:after="120"/>
    </w:pPr>
    <w:rPr>
      <w:rFonts w:cs="Segoe UI"/>
    </w:rPr>
  </w:style>
  <w:style w:type="paragraph" w:styleId="ListNumber3">
    <w:name w:val="List Number 3"/>
    <w:basedOn w:val="Normal"/>
    <w:uiPriority w:val="99"/>
    <w:rsid w:val="00FE0C2F"/>
    <w:pPr>
      <w:numPr>
        <w:ilvl w:val="2"/>
        <w:numId w:val="4"/>
      </w:numPr>
      <w:spacing w:after="120"/>
      <w:ind w:left="1106"/>
    </w:pPr>
    <w:rPr>
      <w:rFonts w:cs="Segoe UI"/>
    </w:rPr>
  </w:style>
  <w:style w:type="paragraph" w:styleId="Header">
    <w:name w:val="header"/>
    <w:basedOn w:val="Normal"/>
    <w:link w:val="HeaderChar"/>
    <w:uiPriority w:val="99"/>
    <w:unhideWhenUsed/>
    <w:rsid w:val="004E09A7"/>
    <w:pPr>
      <w:tabs>
        <w:tab w:val="center" w:pos="4513"/>
        <w:tab w:val="right" w:pos="9026"/>
      </w:tabs>
      <w:spacing w:after="0"/>
    </w:pPr>
  </w:style>
  <w:style w:type="character" w:customStyle="1" w:styleId="HeaderChar">
    <w:name w:val="Header Char"/>
    <w:basedOn w:val="DefaultParagraphFont"/>
    <w:link w:val="Header"/>
    <w:uiPriority w:val="99"/>
    <w:rsid w:val="004E09A7"/>
    <w:rPr>
      <w:rFonts w:ascii="Verdana" w:hAnsi="Verdana"/>
      <w:sz w:val="20"/>
      <w:lang w:eastAsia="en-US"/>
    </w:rPr>
  </w:style>
  <w:style w:type="table" w:styleId="TableGrid">
    <w:name w:val="Table Grid"/>
    <w:basedOn w:val="TableNormal"/>
    <w:uiPriority w:val="59"/>
    <w:tblPr>
      <w:tblBorders>
        <w:top w:val="single" w:sz="4" w:space="0" w:color="4C6968" w:themeColor="text1"/>
        <w:left w:val="single" w:sz="4" w:space="0" w:color="4C6968" w:themeColor="text1"/>
        <w:bottom w:val="single" w:sz="4" w:space="0" w:color="4C6968" w:themeColor="text1"/>
        <w:right w:val="single" w:sz="4" w:space="0" w:color="4C6968" w:themeColor="text1"/>
        <w:insideH w:val="single" w:sz="4" w:space="0" w:color="4C6968" w:themeColor="text1"/>
        <w:insideV w:val="single" w:sz="4" w:space="0" w:color="4C6968" w:themeColor="text1"/>
      </w:tblBorders>
    </w:tblPr>
  </w:style>
  <w:style w:type="paragraph" w:styleId="Title">
    <w:name w:val="Title"/>
    <w:basedOn w:val="Normal"/>
    <w:next w:val="Normal"/>
    <w:link w:val="TitleChar"/>
    <w:uiPriority w:val="10"/>
    <w:qFormat/>
    <w:rsid w:val="00473F5B"/>
    <w:pPr>
      <w:spacing w:after="0"/>
      <w:contextualSpacing/>
    </w:pPr>
    <w:rPr>
      <w:rFonts w:eastAsiaTheme="majorEastAsia" w:cstheme="majorBidi"/>
      <w:b/>
      <w:color w:val="FFFFFF"/>
      <w:spacing w:val="-10"/>
      <w:kern w:val="28"/>
      <w:sz w:val="70"/>
      <w:szCs w:val="56"/>
    </w:rPr>
  </w:style>
  <w:style w:type="character" w:customStyle="1" w:styleId="TitleChar">
    <w:name w:val="Title Char"/>
    <w:basedOn w:val="DefaultParagraphFont"/>
    <w:link w:val="Title"/>
    <w:uiPriority w:val="10"/>
    <w:rsid w:val="00473F5B"/>
    <w:rPr>
      <w:rFonts w:ascii="Verdana" w:eastAsiaTheme="majorEastAsia" w:hAnsi="Verdana" w:cstheme="majorBidi"/>
      <w:b/>
      <w:color w:val="FFFFFF"/>
      <w:spacing w:val="-10"/>
      <w:kern w:val="28"/>
      <w:sz w:val="70"/>
      <w:szCs w:val="56"/>
      <w:lang w:eastAsia="en-US"/>
    </w:rPr>
  </w:style>
  <w:style w:type="character" w:styleId="CommentReference">
    <w:name w:val="annotation reference"/>
    <w:basedOn w:val="DefaultParagraphFont"/>
    <w:uiPriority w:val="99"/>
    <w:semiHidden/>
    <w:unhideWhenUsed/>
    <w:rPr>
      <w:sz w:val="16"/>
      <w:szCs w:val="16"/>
    </w:rPr>
  </w:style>
  <w:style w:type="table" w:styleId="PlainTable1">
    <w:name w:val="Plain Table 1"/>
    <w:basedOn w:val="TableNormal"/>
    <w:uiPriority w:val="41"/>
    <w:rsid w:val="007C3F00"/>
    <w:tblPr>
      <w:tblStyleRowBandSize w:val="1"/>
      <w:tblStyleColBandSize w:val="1"/>
      <w:tblBorders>
        <w:top w:val="single" w:sz="4" w:space="0" w:color="72ADC4" w:themeColor="background1" w:themeShade="BF"/>
        <w:left w:val="single" w:sz="4" w:space="0" w:color="72ADC4" w:themeColor="background1" w:themeShade="BF"/>
        <w:bottom w:val="single" w:sz="4" w:space="0" w:color="72ADC4" w:themeColor="background1" w:themeShade="BF"/>
        <w:right w:val="single" w:sz="4" w:space="0" w:color="72ADC4" w:themeColor="background1" w:themeShade="BF"/>
        <w:insideH w:val="single" w:sz="4" w:space="0" w:color="72ADC4" w:themeColor="background1" w:themeShade="BF"/>
        <w:insideV w:val="single" w:sz="4" w:space="0" w:color="72ADC4" w:themeColor="background1" w:themeShade="BF"/>
      </w:tblBorders>
    </w:tblPr>
    <w:tblStylePr w:type="firstRow">
      <w:rPr>
        <w:b/>
        <w:bCs/>
      </w:rPr>
    </w:tblStylePr>
    <w:tblStylePr w:type="lastRow">
      <w:rPr>
        <w:b/>
        <w:bCs/>
      </w:rPr>
      <w:tblPr/>
      <w:tcPr>
        <w:tcBorders>
          <w:top w:val="double" w:sz="4" w:space="0" w:color="72ADC4" w:themeColor="background1" w:themeShade="BF"/>
        </w:tcBorders>
      </w:tcPr>
    </w:tblStylePr>
    <w:tblStylePr w:type="firstCol">
      <w:rPr>
        <w:b/>
        <w:bCs/>
      </w:rPr>
    </w:tblStylePr>
    <w:tblStylePr w:type="lastCol">
      <w:rPr>
        <w:b/>
        <w:bCs/>
      </w:rPr>
    </w:tblStylePr>
    <w:tblStylePr w:type="band1Vert">
      <w:tblPr/>
      <w:tcPr>
        <w:shd w:val="clear" w:color="auto" w:fill="ACCFDC" w:themeFill="background1" w:themeFillShade="F2"/>
      </w:tcPr>
    </w:tblStylePr>
    <w:tblStylePr w:type="band1Horz">
      <w:tblPr/>
      <w:tcPr>
        <w:shd w:val="clear" w:color="auto" w:fill="ACCFDC" w:themeFill="background1" w:themeFillShade="F2"/>
      </w:tcPr>
    </w:tblStylePr>
  </w:style>
  <w:style w:type="paragraph" w:customStyle="1" w:styleId="TableHeader">
    <w:name w:val="Table Header"/>
    <w:basedOn w:val="Normal"/>
    <w:qFormat/>
    <w:rsid w:val="003268F7"/>
    <w:pPr>
      <w:spacing w:before="120" w:after="120"/>
    </w:pPr>
    <w:rPr>
      <w:b/>
      <w:color w:val="FFFFFF"/>
    </w:rPr>
  </w:style>
  <w:style w:type="paragraph" w:styleId="CommentSubject">
    <w:name w:val="annotation subject"/>
    <w:basedOn w:val="Normal"/>
    <w:next w:val="Normal"/>
    <w:link w:val="CommentSubjectChar"/>
    <w:uiPriority w:val="99"/>
    <w:semiHidden/>
    <w:unhideWhenUsed/>
    <w:rsid w:val="00CA62BF"/>
    <w:rPr>
      <w:b/>
      <w:bCs/>
      <w:szCs w:val="20"/>
    </w:rPr>
  </w:style>
  <w:style w:type="character" w:customStyle="1" w:styleId="CommentSubjectChar">
    <w:name w:val="Comment Subject Char"/>
    <w:basedOn w:val="DefaultParagraphFont"/>
    <w:link w:val="CommentSubject"/>
    <w:uiPriority w:val="99"/>
    <w:semiHidden/>
    <w:rsid w:val="00CA62BF"/>
    <w:rPr>
      <w:rFonts w:ascii="Calibri" w:hAnsi="Calibri"/>
      <w:b/>
      <w:bCs/>
      <w:sz w:val="20"/>
      <w:szCs w:val="20"/>
      <w:lang w:eastAsia="en-US"/>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szCs w:val="24"/>
      <w:lang w:eastAsia="en-AU"/>
    </w:rPr>
  </w:style>
  <w:style w:type="paragraph" w:customStyle="1" w:styleId="TableText">
    <w:name w:val="Table Text"/>
    <w:basedOn w:val="Normal"/>
    <w:qFormat/>
    <w:rsid w:val="003268F7"/>
    <w:pPr>
      <w:spacing w:before="120" w:after="120"/>
    </w:pPr>
  </w:style>
  <w:style w:type="character" w:styleId="PlaceholderText">
    <w:name w:val="Placeholder Text"/>
    <w:basedOn w:val="DefaultParagraphFont"/>
    <w:uiPriority w:val="99"/>
    <w:semiHidden/>
    <w:rPr>
      <w:color w:val="808080"/>
    </w:rPr>
  </w:style>
  <w:style w:type="character" w:styleId="Hyperlink">
    <w:name w:val="Hyperlink"/>
    <w:basedOn w:val="DefaultParagraphFont"/>
    <w:uiPriority w:val="99"/>
    <w:unhideWhenUsed/>
    <w:rPr>
      <w:color w:val="48545E" w:themeColor="hyperlink"/>
      <w:u w:val="single"/>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sid w:val="00AA7CB2"/>
    <w:rPr>
      <w:color w:val="FFFFFF" w:themeColor="followedHyperlink"/>
      <w:u w:val="single"/>
    </w:rPr>
  </w:style>
  <w:style w:type="character" w:styleId="UnresolvedMention">
    <w:name w:val="Unresolved Mention"/>
    <w:basedOn w:val="DefaultParagraphFont"/>
    <w:uiPriority w:val="99"/>
    <w:semiHidden/>
    <w:unhideWhenUsed/>
    <w:rsid w:val="00AA7CB2"/>
    <w:rPr>
      <w:color w:val="605E5C"/>
      <w:shd w:val="clear" w:color="auto" w:fill="E1DFDD"/>
    </w:rPr>
  </w:style>
  <w:style w:type="paragraph" w:customStyle="1" w:styleId="TableHeading">
    <w:name w:val="Table Heading"/>
    <w:basedOn w:val="Normal"/>
    <w:qFormat/>
    <w:rsid w:val="003268F7"/>
    <w:pPr>
      <w:spacing w:before="240" w:after="120"/>
    </w:pPr>
    <w:rPr>
      <w:color w:val="4C6968" w:themeColor="text1"/>
    </w:rPr>
  </w:style>
  <w:style w:type="table" w:styleId="TableGridLight">
    <w:name w:val="Grid Table Light"/>
    <w:basedOn w:val="TableNormal"/>
    <w:uiPriority w:val="40"/>
    <w:rsid w:val="003268F7"/>
    <w:rPr>
      <w:rFonts w:ascii="Verdana" w:hAnsi="Verdana"/>
      <w:sz w:val="20"/>
    </w:rPr>
    <w:tblPr>
      <w:tblBorders>
        <w:top w:val="single" w:sz="4" w:space="0" w:color="48555E" w:themeColor="text2"/>
        <w:bottom w:val="single" w:sz="4" w:space="0" w:color="48555E" w:themeColor="text2"/>
        <w:insideH w:val="single" w:sz="4" w:space="0" w:color="48555E" w:themeColor="text2"/>
      </w:tblBorders>
    </w:tblPr>
    <w:tblStylePr w:type="firstRow">
      <w:tblPr/>
      <w:tcPr>
        <w:shd w:val="clear" w:color="auto" w:fill="4C6968" w:themeFill="text1"/>
      </w:tcPr>
    </w:tblStylePr>
  </w:style>
  <w:style w:type="paragraph" w:styleId="Subtitle">
    <w:name w:val="Subtitle"/>
    <w:basedOn w:val="Normal"/>
    <w:next w:val="Normal"/>
    <w:link w:val="SubtitleChar"/>
    <w:uiPriority w:val="11"/>
    <w:unhideWhenUsed/>
    <w:qFormat/>
    <w:rsid w:val="00E56ACF"/>
    <w:pPr>
      <w:numPr>
        <w:ilvl w:val="1"/>
      </w:numPr>
      <w:spacing w:before="360" w:after="160"/>
    </w:pPr>
    <w:rPr>
      <w:rFonts w:eastAsiaTheme="minorEastAsia" w:cstheme="minorBidi"/>
      <w:color w:val="FFFFFF"/>
      <w:spacing w:val="15"/>
      <w:sz w:val="30"/>
    </w:rPr>
  </w:style>
  <w:style w:type="character" w:customStyle="1" w:styleId="SubtitleChar">
    <w:name w:val="Subtitle Char"/>
    <w:basedOn w:val="DefaultParagraphFont"/>
    <w:link w:val="Subtitle"/>
    <w:uiPriority w:val="11"/>
    <w:rsid w:val="00E56ACF"/>
    <w:rPr>
      <w:rFonts w:ascii="Verdana" w:eastAsiaTheme="minorEastAsia" w:hAnsi="Verdana" w:cstheme="minorBidi"/>
      <w:color w:val="FFFFFF"/>
      <w:spacing w:val="15"/>
      <w:sz w:val="30"/>
      <w:lang w:eastAsia="en-US"/>
    </w:rPr>
  </w:style>
  <w:style w:type="paragraph" w:customStyle="1" w:styleId="Author">
    <w:name w:val="Author"/>
    <w:basedOn w:val="Normal"/>
    <w:qFormat/>
    <w:rsid w:val="00E56ACF"/>
    <w:pPr>
      <w:spacing w:before="600" w:after="120"/>
    </w:pPr>
    <w:rPr>
      <w:color w:val="FFFFFF"/>
    </w:rPr>
  </w:style>
  <w:style w:type="paragraph" w:customStyle="1" w:styleId="IntroductionParagraph">
    <w:name w:val="Introduction Paragraph"/>
    <w:basedOn w:val="Normal"/>
    <w:qFormat/>
    <w:rsid w:val="002C07A5"/>
    <w:pPr>
      <w:spacing w:after="360"/>
    </w:pPr>
    <w:rPr>
      <w:b/>
      <w:color w:val="FFFFFF"/>
      <w:sz w:val="28"/>
    </w:rPr>
  </w:style>
  <w:style w:type="paragraph" w:customStyle="1" w:styleId="NormalWhite">
    <w:name w:val="Normal White"/>
    <w:basedOn w:val="Normal"/>
    <w:qFormat/>
    <w:rsid w:val="002C07A5"/>
    <w:rPr>
      <w:color w:val="FFFFFF"/>
    </w:rPr>
  </w:style>
  <w:style w:type="paragraph" w:customStyle="1" w:styleId="FigureHeading">
    <w:name w:val="Figure Heading"/>
    <w:basedOn w:val="TableHeading"/>
    <w:qFormat/>
    <w:rsid w:val="00142E0B"/>
  </w:style>
  <w:style w:type="paragraph" w:styleId="TOC2">
    <w:name w:val="toc 2"/>
    <w:basedOn w:val="Normal"/>
    <w:next w:val="Normal"/>
    <w:autoRedefine/>
    <w:uiPriority w:val="39"/>
    <w:unhideWhenUsed/>
    <w:rsid w:val="00E4445C"/>
    <w:pPr>
      <w:tabs>
        <w:tab w:val="right" w:leader="dot" w:pos="9628"/>
      </w:tabs>
      <w:spacing w:after="100"/>
      <w:ind w:left="198"/>
    </w:pPr>
    <w:rPr>
      <w:noProof/>
    </w:rPr>
  </w:style>
  <w:style w:type="paragraph" w:styleId="TOC1">
    <w:name w:val="toc 1"/>
    <w:basedOn w:val="Normal"/>
    <w:next w:val="Normal"/>
    <w:autoRedefine/>
    <w:uiPriority w:val="39"/>
    <w:unhideWhenUsed/>
    <w:rsid w:val="00D14D90"/>
    <w:pPr>
      <w:tabs>
        <w:tab w:val="right" w:leader="dot" w:pos="9628"/>
      </w:tabs>
      <w:spacing w:before="240" w:after="100"/>
    </w:pPr>
    <w:rPr>
      <w:b/>
      <w:noProof/>
      <w:color w:val="48555E" w:themeColor="text2"/>
      <w:sz w:val="24"/>
    </w:rPr>
  </w:style>
  <w:style w:type="paragraph" w:styleId="TOC3">
    <w:name w:val="toc 3"/>
    <w:basedOn w:val="Normal"/>
    <w:next w:val="Normal"/>
    <w:autoRedefine/>
    <w:uiPriority w:val="39"/>
    <w:unhideWhenUsed/>
    <w:rsid w:val="00BE6035"/>
    <w:pPr>
      <w:tabs>
        <w:tab w:val="right" w:leader="dot" w:pos="9628"/>
      </w:tabs>
      <w:spacing w:after="100"/>
      <w:ind w:left="403"/>
    </w:pPr>
    <w:rPr>
      <w:noProof/>
    </w:rPr>
  </w:style>
  <w:style w:type="paragraph" w:customStyle="1" w:styleId="AppendicesHeading1">
    <w:name w:val="Appendices Heading 1"/>
    <w:basedOn w:val="Heading1"/>
    <w:qFormat/>
    <w:rsid w:val="007935B6"/>
  </w:style>
  <w:style w:type="paragraph" w:customStyle="1" w:styleId="AppendicesHeading2">
    <w:name w:val="Appendices Heading 2"/>
    <w:basedOn w:val="Heading2"/>
    <w:qFormat/>
    <w:rsid w:val="007935B6"/>
  </w:style>
  <w:style w:type="paragraph" w:customStyle="1" w:styleId="AppendicesHeading3">
    <w:name w:val="Appendices Heading 3"/>
    <w:basedOn w:val="Heading3"/>
    <w:qFormat/>
    <w:rsid w:val="007935B6"/>
  </w:style>
  <w:style w:type="paragraph" w:customStyle="1" w:styleId="AppendicesHeading4">
    <w:name w:val="Appendices Heading 4"/>
    <w:basedOn w:val="Heading4"/>
    <w:qFormat/>
    <w:rsid w:val="007935B6"/>
  </w:style>
  <w:style w:type="paragraph" w:customStyle="1" w:styleId="AppendicesHeading5">
    <w:name w:val="Appendices Heading 5"/>
    <w:basedOn w:val="Heading5"/>
    <w:qFormat/>
    <w:rsid w:val="007935B6"/>
  </w:style>
  <w:style w:type="paragraph" w:customStyle="1" w:styleId="Instructions">
    <w:name w:val="Instructions"/>
    <w:basedOn w:val="Normal"/>
    <w:qFormat/>
    <w:rsid w:val="001C0F11"/>
    <w:pPr>
      <w:pBdr>
        <w:top w:val="single" w:sz="4" w:space="1" w:color="BCD8E3" w:themeColor="background1"/>
        <w:left w:val="single" w:sz="4" w:space="4" w:color="BCD8E3" w:themeColor="background1"/>
        <w:bottom w:val="single" w:sz="4" w:space="1" w:color="BCD8E3" w:themeColor="background1"/>
        <w:right w:val="single" w:sz="4" w:space="4" w:color="BCD8E3" w:themeColor="background1"/>
      </w:pBdr>
      <w:shd w:val="clear" w:color="auto" w:fill="BCD8E3" w:themeFill="background1"/>
      <w:ind w:left="113" w:right="113"/>
    </w:pPr>
  </w:style>
  <w:style w:type="paragraph" w:customStyle="1" w:styleId="Footnote">
    <w:name w:val="Footnote"/>
    <w:qFormat/>
    <w:rsid w:val="00E65C6C"/>
    <w:pPr>
      <w:pBdr>
        <w:top w:val="nil"/>
        <w:left w:val="nil"/>
        <w:bottom w:val="nil"/>
        <w:right w:val="nil"/>
        <w:between w:val="nil"/>
        <w:bar w:val="nil"/>
      </w:pBdr>
    </w:pPr>
    <w:rPr>
      <w:rFonts w:ascii="Times New Roman" w:eastAsia="Helvetica Neue" w:hAnsi="Times New Roman" w:cs="Helvetica Neue"/>
      <w:color w:val="000000"/>
      <w:u w:color="000000"/>
      <w:bdr w:val="nil"/>
      <w14:textOutline w14:w="12700" w14:cap="flat" w14:cmpd="sng" w14:algn="ctr">
        <w14:noFill/>
        <w14:prstDash w14:val="solid"/>
        <w14:miter w14:lim="400000"/>
      </w14:textOutline>
    </w:rPr>
  </w:style>
  <w:style w:type="character" w:styleId="FootnoteReference">
    <w:name w:val="footnote reference"/>
    <w:basedOn w:val="DefaultParagraphFont"/>
    <w:uiPriority w:val="99"/>
    <w:unhideWhenUsed/>
    <w:qFormat/>
    <w:rsid w:val="00E65C6C"/>
    <w:rPr>
      <w:rFonts w:ascii="Times New Roman" w:hAnsi="Times New Roman"/>
      <w:sz w:val="24"/>
      <w:vertAlign w:val="superscript"/>
    </w:rPr>
  </w:style>
  <w:style w:type="paragraph" w:styleId="CommentText">
    <w:name w:val="annotation text"/>
    <w:basedOn w:val="Normal"/>
    <w:link w:val="CommentTextChar"/>
    <w:uiPriority w:val="99"/>
    <w:unhideWhenUsed/>
    <w:rsid w:val="009C25D9"/>
    <w:rPr>
      <w:szCs w:val="20"/>
    </w:rPr>
  </w:style>
  <w:style w:type="character" w:customStyle="1" w:styleId="CommentTextChar">
    <w:name w:val="Comment Text Char"/>
    <w:basedOn w:val="DefaultParagraphFont"/>
    <w:link w:val="CommentText"/>
    <w:uiPriority w:val="99"/>
    <w:rsid w:val="009C25D9"/>
    <w:rPr>
      <w:rFonts w:ascii="Verdana" w:hAnsi="Verdana"/>
      <w:sz w:val="20"/>
      <w:szCs w:val="20"/>
      <w:lang w:eastAsia="en-US"/>
    </w:rPr>
  </w:style>
  <w:style w:type="paragraph" w:styleId="ListParagraph">
    <w:name w:val="List Paragraph"/>
    <w:basedOn w:val="Normal"/>
    <w:uiPriority w:val="34"/>
    <w:rsid w:val="009C25D9"/>
    <w:pPr>
      <w:pBdr>
        <w:top w:val="nil"/>
        <w:left w:val="nil"/>
        <w:bottom w:val="nil"/>
        <w:right w:val="nil"/>
        <w:between w:val="nil"/>
        <w:bar w:val="nil"/>
      </w:pBdr>
      <w:spacing w:before="120" w:after="120" w:line="264" w:lineRule="auto"/>
      <w:ind w:left="720"/>
      <w:contextualSpacing/>
    </w:pPr>
    <w:rPr>
      <w:rFonts w:ascii="Times New Roman" w:eastAsia="Arial Unicode MS" w:hAnsi="Times New Roman"/>
      <w:sz w:val="24"/>
      <w:szCs w:val="24"/>
      <w:bdr w:val="nil"/>
    </w:rPr>
  </w:style>
  <w:style w:type="character" w:customStyle="1" w:styleId="None">
    <w:name w:val="None"/>
    <w:rsid w:val="00D82C3F"/>
  </w:style>
  <w:style w:type="paragraph" w:styleId="FootnoteText">
    <w:name w:val="footnote text"/>
    <w:basedOn w:val="Normal"/>
    <w:link w:val="FootnoteTextChar"/>
    <w:uiPriority w:val="99"/>
    <w:semiHidden/>
    <w:unhideWhenUsed/>
    <w:rsid w:val="000D356E"/>
    <w:pPr>
      <w:spacing w:after="0"/>
    </w:pPr>
    <w:rPr>
      <w:szCs w:val="20"/>
    </w:rPr>
  </w:style>
  <w:style w:type="character" w:customStyle="1" w:styleId="FootnoteTextChar">
    <w:name w:val="Footnote Text Char"/>
    <w:basedOn w:val="DefaultParagraphFont"/>
    <w:link w:val="FootnoteText"/>
    <w:uiPriority w:val="99"/>
    <w:semiHidden/>
    <w:rsid w:val="000D356E"/>
    <w:rPr>
      <w:rFonts w:ascii="Verdana" w:hAnsi="Verdana"/>
      <w:sz w:val="20"/>
      <w:szCs w:val="20"/>
      <w:lang w:eastAsia="en-US"/>
    </w:rPr>
  </w:style>
  <w:style w:type="numbering" w:customStyle="1" w:styleId="ImportedStyle1">
    <w:name w:val="Imported Style 1"/>
    <w:rsid w:val="0044122C"/>
    <w:pPr>
      <w:numPr>
        <w:numId w:val="7"/>
      </w:numPr>
    </w:pPr>
  </w:style>
  <w:style w:type="character" w:styleId="Emphasis">
    <w:name w:val="Emphasis"/>
    <w:basedOn w:val="DefaultParagraphFont"/>
    <w:uiPriority w:val="20"/>
    <w:qFormat/>
    <w:rsid w:val="00004BFE"/>
    <w:rPr>
      <w:i/>
      <w:iCs/>
    </w:rPr>
  </w:style>
  <w:style w:type="table" w:styleId="GridTable2-Accent1">
    <w:name w:val="Grid Table 2 Accent 1"/>
    <w:basedOn w:val="TableNormal"/>
    <w:uiPriority w:val="47"/>
    <w:rsid w:val="00452E18"/>
    <w:tblPr>
      <w:tblStyleRowBandSize w:val="1"/>
      <w:tblStyleColBandSize w:val="1"/>
      <w:tblBorders>
        <w:top w:val="single" w:sz="2" w:space="0" w:color="8CACAA" w:themeColor="accent1" w:themeTint="99"/>
        <w:bottom w:val="single" w:sz="2" w:space="0" w:color="8CACAA" w:themeColor="accent1" w:themeTint="99"/>
        <w:insideH w:val="single" w:sz="2" w:space="0" w:color="8CACAA" w:themeColor="accent1" w:themeTint="99"/>
        <w:insideV w:val="single" w:sz="2" w:space="0" w:color="8CACAA" w:themeColor="accent1" w:themeTint="99"/>
      </w:tblBorders>
    </w:tblPr>
    <w:tblStylePr w:type="firstRow">
      <w:rPr>
        <w:b/>
        <w:bCs/>
      </w:rPr>
      <w:tblPr/>
      <w:tcPr>
        <w:tcBorders>
          <w:top w:val="nil"/>
          <w:bottom w:val="single" w:sz="12" w:space="0" w:color="8CACAA" w:themeColor="accent1" w:themeTint="99"/>
          <w:insideH w:val="nil"/>
          <w:insideV w:val="nil"/>
        </w:tcBorders>
        <w:shd w:val="clear" w:color="auto" w:fill="BCD8E3" w:themeFill="background1"/>
      </w:tcPr>
    </w:tblStylePr>
    <w:tblStylePr w:type="lastRow">
      <w:rPr>
        <w:b/>
        <w:bCs/>
      </w:rPr>
      <w:tblPr/>
      <w:tcPr>
        <w:tcBorders>
          <w:top w:val="double" w:sz="2" w:space="0" w:color="8CACAA" w:themeColor="accent1" w:themeTint="99"/>
          <w:bottom w:val="nil"/>
          <w:insideH w:val="nil"/>
          <w:insideV w:val="nil"/>
        </w:tcBorders>
        <w:shd w:val="clear" w:color="auto" w:fill="BCD8E3" w:themeFill="background1"/>
      </w:tcPr>
    </w:tblStylePr>
    <w:tblStylePr w:type="firstCol">
      <w:rPr>
        <w:b/>
        <w:bCs/>
      </w:rPr>
    </w:tblStylePr>
    <w:tblStylePr w:type="lastCol">
      <w:rPr>
        <w:b/>
        <w:bCs/>
      </w:rPr>
    </w:tblStylePr>
    <w:tblStylePr w:type="band1Vert">
      <w:tblPr/>
      <w:tcPr>
        <w:shd w:val="clear" w:color="auto" w:fill="D8E3E2" w:themeFill="accent1" w:themeFillTint="33"/>
      </w:tcPr>
    </w:tblStylePr>
    <w:tblStylePr w:type="band1Horz">
      <w:tblPr/>
      <w:tcPr>
        <w:shd w:val="clear" w:color="auto" w:fill="D8E3E2" w:themeFill="accent1" w:themeFillTint="33"/>
      </w:tcPr>
    </w:tblStylePr>
  </w:style>
  <w:style w:type="table" w:styleId="GridTable2-Accent4">
    <w:name w:val="Grid Table 2 Accent 4"/>
    <w:basedOn w:val="TableNormal"/>
    <w:uiPriority w:val="47"/>
    <w:rsid w:val="00452E18"/>
    <w:tblPr>
      <w:tblStyleRowBandSize w:val="1"/>
      <w:tblStyleColBandSize w:val="1"/>
      <w:tblBorders>
        <w:top w:val="single" w:sz="2" w:space="0" w:color="A7BAB3" w:themeColor="accent4" w:themeTint="99"/>
        <w:bottom w:val="single" w:sz="2" w:space="0" w:color="A7BAB3" w:themeColor="accent4" w:themeTint="99"/>
        <w:insideH w:val="single" w:sz="2" w:space="0" w:color="A7BAB3" w:themeColor="accent4" w:themeTint="99"/>
        <w:insideV w:val="single" w:sz="2" w:space="0" w:color="A7BAB3" w:themeColor="accent4" w:themeTint="99"/>
      </w:tblBorders>
    </w:tblPr>
    <w:tblStylePr w:type="firstRow">
      <w:rPr>
        <w:b/>
        <w:bCs/>
      </w:rPr>
      <w:tblPr/>
      <w:tcPr>
        <w:tcBorders>
          <w:top w:val="nil"/>
          <w:bottom w:val="single" w:sz="12" w:space="0" w:color="A7BAB3" w:themeColor="accent4" w:themeTint="99"/>
          <w:insideH w:val="nil"/>
          <w:insideV w:val="nil"/>
        </w:tcBorders>
        <w:shd w:val="clear" w:color="auto" w:fill="BCD8E3" w:themeFill="background1"/>
      </w:tcPr>
    </w:tblStylePr>
    <w:tblStylePr w:type="lastRow">
      <w:rPr>
        <w:b/>
        <w:bCs/>
      </w:rPr>
      <w:tblPr/>
      <w:tcPr>
        <w:tcBorders>
          <w:top w:val="double" w:sz="2" w:space="0" w:color="A7BAB3" w:themeColor="accent4" w:themeTint="99"/>
          <w:bottom w:val="nil"/>
          <w:insideH w:val="nil"/>
          <w:insideV w:val="nil"/>
        </w:tcBorders>
        <w:shd w:val="clear" w:color="auto" w:fill="BCD8E3" w:themeFill="background1"/>
      </w:tcPr>
    </w:tblStylePr>
    <w:tblStylePr w:type="firstCol">
      <w:rPr>
        <w:b/>
        <w:bCs/>
      </w:rPr>
    </w:tblStylePr>
    <w:tblStylePr w:type="lastCol">
      <w:rPr>
        <w:b/>
        <w:bCs/>
      </w:rPr>
    </w:tblStylePr>
    <w:tblStylePr w:type="band1Vert">
      <w:tblPr/>
      <w:tcPr>
        <w:shd w:val="clear" w:color="auto" w:fill="E1E8E5" w:themeFill="accent4" w:themeFillTint="33"/>
      </w:tcPr>
    </w:tblStylePr>
    <w:tblStylePr w:type="band1Horz">
      <w:tblPr/>
      <w:tcPr>
        <w:shd w:val="clear" w:color="auto" w:fill="E1E8E5" w:themeFill="accent4" w:themeFillTint="33"/>
      </w:tcPr>
    </w:tblStylePr>
  </w:style>
  <w:style w:type="table" w:styleId="ListTable3-Accent4">
    <w:name w:val="List Table 3 Accent 4"/>
    <w:basedOn w:val="TableNormal"/>
    <w:uiPriority w:val="48"/>
    <w:rsid w:val="003510C1"/>
    <w:tblPr>
      <w:tblStyleRowBandSize w:val="1"/>
      <w:tblStyleColBandSize w:val="1"/>
      <w:tblBorders>
        <w:top w:val="single" w:sz="4" w:space="0" w:color="6E8C81" w:themeColor="accent4"/>
        <w:left w:val="single" w:sz="4" w:space="0" w:color="6E8C81" w:themeColor="accent4"/>
        <w:bottom w:val="single" w:sz="4" w:space="0" w:color="6E8C81" w:themeColor="accent4"/>
        <w:right w:val="single" w:sz="4" w:space="0" w:color="6E8C81" w:themeColor="accent4"/>
      </w:tblBorders>
    </w:tblPr>
    <w:tblStylePr w:type="firstRow">
      <w:rPr>
        <w:b/>
        <w:bCs/>
        <w:color w:val="BCD8E3" w:themeColor="background1"/>
      </w:rPr>
      <w:tblPr/>
      <w:tcPr>
        <w:shd w:val="clear" w:color="auto" w:fill="6E8C81" w:themeFill="accent4"/>
      </w:tcPr>
    </w:tblStylePr>
    <w:tblStylePr w:type="lastRow">
      <w:rPr>
        <w:b/>
        <w:bCs/>
      </w:rPr>
      <w:tblPr/>
      <w:tcPr>
        <w:tcBorders>
          <w:top w:val="double" w:sz="4" w:space="0" w:color="6E8C81" w:themeColor="accent4"/>
        </w:tcBorders>
        <w:shd w:val="clear" w:color="auto" w:fill="BCD8E3" w:themeFill="background1"/>
      </w:tcPr>
    </w:tblStylePr>
    <w:tblStylePr w:type="firstCol">
      <w:rPr>
        <w:b/>
        <w:bCs/>
      </w:rPr>
      <w:tblPr/>
      <w:tcPr>
        <w:tcBorders>
          <w:right w:val="nil"/>
        </w:tcBorders>
        <w:shd w:val="clear" w:color="auto" w:fill="BCD8E3" w:themeFill="background1"/>
      </w:tcPr>
    </w:tblStylePr>
    <w:tblStylePr w:type="lastCol">
      <w:rPr>
        <w:b/>
        <w:bCs/>
      </w:rPr>
      <w:tblPr/>
      <w:tcPr>
        <w:tcBorders>
          <w:left w:val="nil"/>
        </w:tcBorders>
        <w:shd w:val="clear" w:color="auto" w:fill="BCD8E3" w:themeFill="background1"/>
      </w:tcPr>
    </w:tblStylePr>
    <w:tblStylePr w:type="band1Vert">
      <w:tblPr/>
      <w:tcPr>
        <w:tcBorders>
          <w:left w:val="single" w:sz="4" w:space="0" w:color="6E8C81" w:themeColor="accent4"/>
          <w:right w:val="single" w:sz="4" w:space="0" w:color="6E8C81" w:themeColor="accent4"/>
        </w:tcBorders>
      </w:tcPr>
    </w:tblStylePr>
    <w:tblStylePr w:type="band1Horz">
      <w:tblPr/>
      <w:tcPr>
        <w:tcBorders>
          <w:top w:val="single" w:sz="4" w:space="0" w:color="6E8C81" w:themeColor="accent4"/>
          <w:bottom w:val="single" w:sz="4" w:space="0" w:color="6E8C8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E8C81" w:themeColor="accent4"/>
          <w:left w:val="nil"/>
        </w:tcBorders>
      </w:tcPr>
    </w:tblStylePr>
    <w:tblStylePr w:type="swCell">
      <w:tblPr/>
      <w:tcPr>
        <w:tcBorders>
          <w:top w:val="double" w:sz="4" w:space="0" w:color="6E8C81" w:themeColor="accent4"/>
          <w:right w:val="nil"/>
        </w:tcBorders>
      </w:tcPr>
    </w:tblStylePr>
  </w:style>
  <w:style w:type="paragraph" w:styleId="Revision">
    <w:name w:val="Revision"/>
    <w:hidden/>
    <w:uiPriority w:val="99"/>
    <w:semiHidden/>
    <w:rsid w:val="00155468"/>
    <w:rPr>
      <w:rFonts w:ascii="Verdana" w:hAnsi="Verdana"/>
      <w:sz w:val="20"/>
      <w:lang w:eastAsia="en-US"/>
    </w:rPr>
  </w:style>
  <w:style w:type="character" w:customStyle="1" w:styleId="normaltextrun">
    <w:name w:val="normaltextrun"/>
    <w:basedOn w:val="DefaultParagraphFont"/>
    <w:rsid w:val="004621AA"/>
  </w:style>
  <w:style w:type="character" w:customStyle="1" w:styleId="eop">
    <w:name w:val="eop"/>
    <w:basedOn w:val="DefaultParagraphFont"/>
    <w:rsid w:val="004621AA"/>
  </w:style>
  <w:style w:type="paragraph" w:customStyle="1" w:styleId="paragraph">
    <w:name w:val="paragraph"/>
    <w:basedOn w:val="Normal"/>
    <w:rsid w:val="005E1CD1"/>
    <w:pPr>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03767">
      <w:bodyDiv w:val="1"/>
      <w:marLeft w:val="0"/>
      <w:marRight w:val="0"/>
      <w:marTop w:val="0"/>
      <w:marBottom w:val="0"/>
      <w:divBdr>
        <w:top w:val="none" w:sz="0" w:space="0" w:color="auto"/>
        <w:left w:val="none" w:sz="0" w:space="0" w:color="auto"/>
        <w:bottom w:val="none" w:sz="0" w:space="0" w:color="auto"/>
        <w:right w:val="none" w:sz="0" w:space="0" w:color="auto"/>
      </w:divBdr>
      <w:divsChild>
        <w:div w:id="144397795">
          <w:marLeft w:val="0"/>
          <w:marRight w:val="0"/>
          <w:marTop w:val="0"/>
          <w:marBottom w:val="0"/>
          <w:divBdr>
            <w:top w:val="none" w:sz="0" w:space="0" w:color="auto"/>
            <w:left w:val="none" w:sz="0" w:space="0" w:color="auto"/>
            <w:bottom w:val="none" w:sz="0" w:space="0" w:color="auto"/>
            <w:right w:val="none" w:sz="0" w:space="0" w:color="auto"/>
          </w:divBdr>
          <w:divsChild>
            <w:div w:id="1157264909">
              <w:marLeft w:val="0"/>
              <w:marRight w:val="0"/>
              <w:marTop w:val="0"/>
              <w:marBottom w:val="0"/>
              <w:divBdr>
                <w:top w:val="single" w:sz="6" w:space="0" w:color="666666"/>
                <w:left w:val="single" w:sz="6" w:space="0" w:color="666666"/>
                <w:bottom w:val="single" w:sz="48" w:space="0" w:color="000000"/>
                <w:right w:val="single" w:sz="6" w:space="0" w:color="666666"/>
              </w:divBdr>
              <w:divsChild>
                <w:div w:id="562184448">
                  <w:marLeft w:val="0"/>
                  <w:marRight w:val="0"/>
                  <w:marTop w:val="0"/>
                  <w:marBottom w:val="0"/>
                  <w:divBdr>
                    <w:top w:val="none" w:sz="0" w:space="0" w:color="auto"/>
                    <w:left w:val="none" w:sz="0" w:space="0" w:color="auto"/>
                    <w:bottom w:val="none" w:sz="0" w:space="0" w:color="auto"/>
                    <w:right w:val="none" w:sz="0" w:space="0" w:color="auto"/>
                  </w:divBdr>
                  <w:divsChild>
                    <w:div w:id="629476871">
                      <w:marLeft w:val="150"/>
                      <w:marRight w:val="0"/>
                      <w:marTop w:val="150"/>
                      <w:marBottom w:val="0"/>
                      <w:divBdr>
                        <w:top w:val="none" w:sz="0" w:space="0" w:color="auto"/>
                        <w:left w:val="none" w:sz="0" w:space="0" w:color="auto"/>
                        <w:bottom w:val="none" w:sz="0" w:space="0" w:color="auto"/>
                        <w:right w:val="none" w:sz="0" w:space="0" w:color="auto"/>
                      </w:divBdr>
                      <w:divsChild>
                        <w:div w:id="805513206">
                          <w:marLeft w:val="0"/>
                          <w:marRight w:val="0"/>
                          <w:marTop w:val="0"/>
                          <w:marBottom w:val="0"/>
                          <w:divBdr>
                            <w:top w:val="none" w:sz="0" w:space="0" w:color="auto"/>
                            <w:left w:val="none" w:sz="0" w:space="0" w:color="auto"/>
                            <w:bottom w:val="none" w:sz="0" w:space="0" w:color="auto"/>
                            <w:right w:val="none" w:sz="0" w:space="0" w:color="auto"/>
                          </w:divBdr>
                          <w:divsChild>
                            <w:div w:id="1205947322">
                              <w:marLeft w:val="0"/>
                              <w:marRight w:val="0"/>
                              <w:marTop w:val="0"/>
                              <w:marBottom w:val="0"/>
                              <w:divBdr>
                                <w:top w:val="none" w:sz="0" w:space="0" w:color="auto"/>
                                <w:left w:val="none" w:sz="0" w:space="0" w:color="auto"/>
                                <w:bottom w:val="none" w:sz="0" w:space="0" w:color="auto"/>
                                <w:right w:val="none" w:sz="0" w:space="0" w:color="auto"/>
                              </w:divBdr>
                              <w:divsChild>
                                <w:div w:id="1520924222">
                                  <w:marLeft w:val="0"/>
                                  <w:marRight w:val="0"/>
                                  <w:marTop w:val="0"/>
                                  <w:marBottom w:val="0"/>
                                  <w:divBdr>
                                    <w:top w:val="none" w:sz="0" w:space="0" w:color="auto"/>
                                    <w:left w:val="none" w:sz="0" w:space="0" w:color="auto"/>
                                    <w:bottom w:val="none" w:sz="0" w:space="0" w:color="auto"/>
                                    <w:right w:val="none" w:sz="0" w:space="0" w:color="auto"/>
                                  </w:divBdr>
                                  <w:divsChild>
                                    <w:div w:id="1266616800">
                                      <w:marLeft w:val="0"/>
                                      <w:marRight w:val="0"/>
                                      <w:marTop w:val="0"/>
                                      <w:marBottom w:val="0"/>
                                      <w:divBdr>
                                        <w:top w:val="none" w:sz="0" w:space="0" w:color="auto"/>
                                        <w:left w:val="none" w:sz="0" w:space="0" w:color="auto"/>
                                        <w:bottom w:val="none" w:sz="0" w:space="0" w:color="auto"/>
                                        <w:right w:val="none" w:sz="0" w:space="0" w:color="auto"/>
                                      </w:divBdr>
                                      <w:divsChild>
                                        <w:div w:id="327951791">
                                          <w:marLeft w:val="0"/>
                                          <w:marRight w:val="0"/>
                                          <w:marTop w:val="0"/>
                                          <w:marBottom w:val="0"/>
                                          <w:divBdr>
                                            <w:top w:val="none" w:sz="0" w:space="0" w:color="auto"/>
                                            <w:left w:val="none" w:sz="0" w:space="0" w:color="auto"/>
                                            <w:bottom w:val="none" w:sz="0" w:space="0" w:color="auto"/>
                                            <w:right w:val="none" w:sz="0" w:space="0" w:color="auto"/>
                                          </w:divBdr>
                                          <w:divsChild>
                                            <w:div w:id="2080905658">
                                              <w:marLeft w:val="0"/>
                                              <w:marRight w:val="0"/>
                                              <w:marTop w:val="0"/>
                                              <w:marBottom w:val="0"/>
                                              <w:divBdr>
                                                <w:top w:val="none" w:sz="0" w:space="0" w:color="auto"/>
                                                <w:left w:val="none" w:sz="0" w:space="0" w:color="auto"/>
                                                <w:bottom w:val="none" w:sz="0" w:space="0" w:color="auto"/>
                                                <w:right w:val="none" w:sz="0" w:space="0" w:color="auto"/>
                                              </w:divBdr>
                                              <w:divsChild>
                                                <w:div w:id="209881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9701918">
      <w:bodyDiv w:val="1"/>
      <w:marLeft w:val="0"/>
      <w:marRight w:val="0"/>
      <w:marTop w:val="0"/>
      <w:marBottom w:val="0"/>
      <w:divBdr>
        <w:top w:val="none" w:sz="0" w:space="0" w:color="auto"/>
        <w:left w:val="none" w:sz="0" w:space="0" w:color="auto"/>
        <w:bottom w:val="none" w:sz="0" w:space="0" w:color="auto"/>
        <w:right w:val="none" w:sz="0" w:space="0" w:color="auto"/>
      </w:divBdr>
    </w:div>
    <w:div w:id="330452024">
      <w:bodyDiv w:val="1"/>
      <w:marLeft w:val="0"/>
      <w:marRight w:val="0"/>
      <w:marTop w:val="0"/>
      <w:marBottom w:val="0"/>
      <w:divBdr>
        <w:top w:val="none" w:sz="0" w:space="0" w:color="auto"/>
        <w:left w:val="none" w:sz="0" w:space="0" w:color="auto"/>
        <w:bottom w:val="none" w:sz="0" w:space="0" w:color="auto"/>
        <w:right w:val="none" w:sz="0" w:space="0" w:color="auto"/>
      </w:divBdr>
    </w:div>
    <w:div w:id="569853858">
      <w:bodyDiv w:val="1"/>
      <w:marLeft w:val="0"/>
      <w:marRight w:val="0"/>
      <w:marTop w:val="0"/>
      <w:marBottom w:val="0"/>
      <w:divBdr>
        <w:top w:val="none" w:sz="0" w:space="0" w:color="auto"/>
        <w:left w:val="none" w:sz="0" w:space="0" w:color="auto"/>
        <w:bottom w:val="none" w:sz="0" w:space="0" w:color="auto"/>
        <w:right w:val="none" w:sz="0" w:space="0" w:color="auto"/>
      </w:divBdr>
    </w:div>
    <w:div w:id="848763584">
      <w:bodyDiv w:val="1"/>
      <w:marLeft w:val="0"/>
      <w:marRight w:val="0"/>
      <w:marTop w:val="0"/>
      <w:marBottom w:val="0"/>
      <w:divBdr>
        <w:top w:val="none" w:sz="0" w:space="0" w:color="auto"/>
        <w:left w:val="none" w:sz="0" w:space="0" w:color="auto"/>
        <w:bottom w:val="none" w:sz="0" w:space="0" w:color="auto"/>
        <w:right w:val="none" w:sz="0" w:space="0" w:color="auto"/>
      </w:divBdr>
    </w:div>
    <w:div w:id="851577486">
      <w:bodyDiv w:val="1"/>
      <w:marLeft w:val="0"/>
      <w:marRight w:val="0"/>
      <w:marTop w:val="0"/>
      <w:marBottom w:val="0"/>
      <w:divBdr>
        <w:top w:val="none" w:sz="0" w:space="0" w:color="auto"/>
        <w:left w:val="none" w:sz="0" w:space="0" w:color="auto"/>
        <w:bottom w:val="none" w:sz="0" w:space="0" w:color="auto"/>
        <w:right w:val="none" w:sz="0" w:space="0" w:color="auto"/>
      </w:divBdr>
    </w:div>
    <w:div w:id="1004012186">
      <w:bodyDiv w:val="1"/>
      <w:marLeft w:val="0"/>
      <w:marRight w:val="0"/>
      <w:marTop w:val="0"/>
      <w:marBottom w:val="0"/>
      <w:divBdr>
        <w:top w:val="none" w:sz="0" w:space="0" w:color="auto"/>
        <w:left w:val="none" w:sz="0" w:space="0" w:color="auto"/>
        <w:bottom w:val="none" w:sz="0" w:space="0" w:color="auto"/>
        <w:right w:val="none" w:sz="0" w:space="0" w:color="auto"/>
      </w:divBdr>
      <w:divsChild>
        <w:div w:id="1429733839">
          <w:marLeft w:val="0"/>
          <w:marRight w:val="0"/>
          <w:marTop w:val="0"/>
          <w:marBottom w:val="0"/>
          <w:divBdr>
            <w:top w:val="none" w:sz="0" w:space="0" w:color="auto"/>
            <w:left w:val="none" w:sz="0" w:space="0" w:color="auto"/>
            <w:bottom w:val="none" w:sz="0" w:space="0" w:color="auto"/>
            <w:right w:val="none" w:sz="0" w:space="0" w:color="auto"/>
          </w:divBdr>
        </w:div>
        <w:div w:id="2065715435">
          <w:marLeft w:val="0"/>
          <w:marRight w:val="0"/>
          <w:marTop w:val="0"/>
          <w:marBottom w:val="0"/>
          <w:divBdr>
            <w:top w:val="none" w:sz="0" w:space="0" w:color="auto"/>
            <w:left w:val="none" w:sz="0" w:space="0" w:color="auto"/>
            <w:bottom w:val="none" w:sz="0" w:space="0" w:color="auto"/>
            <w:right w:val="none" w:sz="0" w:space="0" w:color="auto"/>
          </w:divBdr>
        </w:div>
        <w:div w:id="1981955174">
          <w:marLeft w:val="0"/>
          <w:marRight w:val="0"/>
          <w:marTop w:val="0"/>
          <w:marBottom w:val="0"/>
          <w:divBdr>
            <w:top w:val="none" w:sz="0" w:space="0" w:color="auto"/>
            <w:left w:val="none" w:sz="0" w:space="0" w:color="auto"/>
            <w:bottom w:val="none" w:sz="0" w:space="0" w:color="auto"/>
            <w:right w:val="none" w:sz="0" w:space="0" w:color="auto"/>
          </w:divBdr>
        </w:div>
      </w:divsChild>
    </w:div>
    <w:div w:id="1091195590">
      <w:bodyDiv w:val="1"/>
      <w:marLeft w:val="0"/>
      <w:marRight w:val="0"/>
      <w:marTop w:val="0"/>
      <w:marBottom w:val="0"/>
      <w:divBdr>
        <w:top w:val="none" w:sz="0" w:space="0" w:color="auto"/>
        <w:left w:val="none" w:sz="0" w:space="0" w:color="auto"/>
        <w:bottom w:val="none" w:sz="0" w:space="0" w:color="auto"/>
        <w:right w:val="none" w:sz="0" w:space="0" w:color="auto"/>
      </w:divBdr>
    </w:div>
    <w:div w:id="1708990622">
      <w:bodyDiv w:val="1"/>
      <w:marLeft w:val="0"/>
      <w:marRight w:val="0"/>
      <w:marTop w:val="0"/>
      <w:marBottom w:val="0"/>
      <w:divBdr>
        <w:top w:val="none" w:sz="0" w:space="0" w:color="auto"/>
        <w:left w:val="none" w:sz="0" w:space="0" w:color="auto"/>
        <w:bottom w:val="none" w:sz="0" w:space="0" w:color="auto"/>
        <w:right w:val="none" w:sz="0" w:space="0" w:color="auto"/>
      </w:divBdr>
      <w:divsChild>
        <w:div w:id="986591248">
          <w:marLeft w:val="0"/>
          <w:marRight w:val="0"/>
          <w:marTop w:val="0"/>
          <w:marBottom w:val="0"/>
          <w:divBdr>
            <w:top w:val="none" w:sz="0" w:space="0" w:color="auto"/>
            <w:left w:val="none" w:sz="0" w:space="0" w:color="auto"/>
            <w:bottom w:val="none" w:sz="0" w:space="0" w:color="auto"/>
            <w:right w:val="none" w:sz="0" w:space="0" w:color="auto"/>
          </w:divBdr>
          <w:divsChild>
            <w:div w:id="1172724320">
              <w:marLeft w:val="0"/>
              <w:marRight w:val="0"/>
              <w:marTop w:val="0"/>
              <w:marBottom w:val="0"/>
              <w:divBdr>
                <w:top w:val="single" w:sz="6" w:space="0" w:color="666666"/>
                <w:left w:val="single" w:sz="6" w:space="0" w:color="666666"/>
                <w:bottom w:val="single" w:sz="48" w:space="0" w:color="000000"/>
                <w:right w:val="single" w:sz="6" w:space="0" w:color="666666"/>
              </w:divBdr>
              <w:divsChild>
                <w:div w:id="1874033384">
                  <w:marLeft w:val="0"/>
                  <w:marRight w:val="0"/>
                  <w:marTop w:val="0"/>
                  <w:marBottom w:val="0"/>
                  <w:divBdr>
                    <w:top w:val="none" w:sz="0" w:space="0" w:color="auto"/>
                    <w:left w:val="none" w:sz="0" w:space="0" w:color="auto"/>
                    <w:bottom w:val="none" w:sz="0" w:space="0" w:color="auto"/>
                    <w:right w:val="none" w:sz="0" w:space="0" w:color="auto"/>
                  </w:divBdr>
                  <w:divsChild>
                    <w:div w:id="290744654">
                      <w:marLeft w:val="150"/>
                      <w:marRight w:val="0"/>
                      <w:marTop w:val="150"/>
                      <w:marBottom w:val="0"/>
                      <w:divBdr>
                        <w:top w:val="none" w:sz="0" w:space="0" w:color="auto"/>
                        <w:left w:val="none" w:sz="0" w:space="0" w:color="auto"/>
                        <w:bottom w:val="none" w:sz="0" w:space="0" w:color="auto"/>
                        <w:right w:val="none" w:sz="0" w:space="0" w:color="auto"/>
                      </w:divBdr>
                      <w:divsChild>
                        <w:div w:id="1945720995">
                          <w:marLeft w:val="0"/>
                          <w:marRight w:val="0"/>
                          <w:marTop w:val="0"/>
                          <w:marBottom w:val="0"/>
                          <w:divBdr>
                            <w:top w:val="none" w:sz="0" w:space="0" w:color="auto"/>
                            <w:left w:val="none" w:sz="0" w:space="0" w:color="auto"/>
                            <w:bottom w:val="none" w:sz="0" w:space="0" w:color="auto"/>
                            <w:right w:val="none" w:sz="0" w:space="0" w:color="auto"/>
                          </w:divBdr>
                          <w:divsChild>
                            <w:div w:id="572086575">
                              <w:marLeft w:val="0"/>
                              <w:marRight w:val="0"/>
                              <w:marTop w:val="0"/>
                              <w:marBottom w:val="0"/>
                              <w:divBdr>
                                <w:top w:val="none" w:sz="0" w:space="0" w:color="auto"/>
                                <w:left w:val="none" w:sz="0" w:space="0" w:color="auto"/>
                                <w:bottom w:val="none" w:sz="0" w:space="0" w:color="auto"/>
                                <w:right w:val="none" w:sz="0" w:space="0" w:color="auto"/>
                              </w:divBdr>
                              <w:divsChild>
                                <w:div w:id="143010660">
                                  <w:marLeft w:val="0"/>
                                  <w:marRight w:val="0"/>
                                  <w:marTop w:val="0"/>
                                  <w:marBottom w:val="0"/>
                                  <w:divBdr>
                                    <w:top w:val="none" w:sz="0" w:space="0" w:color="auto"/>
                                    <w:left w:val="none" w:sz="0" w:space="0" w:color="auto"/>
                                    <w:bottom w:val="none" w:sz="0" w:space="0" w:color="auto"/>
                                    <w:right w:val="none" w:sz="0" w:space="0" w:color="auto"/>
                                  </w:divBdr>
                                  <w:divsChild>
                                    <w:div w:id="499203016">
                                      <w:marLeft w:val="0"/>
                                      <w:marRight w:val="0"/>
                                      <w:marTop w:val="0"/>
                                      <w:marBottom w:val="0"/>
                                      <w:divBdr>
                                        <w:top w:val="none" w:sz="0" w:space="0" w:color="auto"/>
                                        <w:left w:val="none" w:sz="0" w:space="0" w:color="auto"/>
                                        <w:bottom w:val="none" w:sz="0" w:space="0" w:color="auto"/>
                                        <w:right w:val="none" w:sz="0" w:space="0" w:color="auto"/>
                                      </w:divBdr>
                                      <w:divsChild>
                                        <w:div w:id="485636354">
                                          <w:marLeft w:val="0"/>
                                          <w:marRight w:val="0"/>
                                          <w:marTop w:val="0"/>
                                          <w:marBottom w:val="0"/>
                                          <w:divBdr>
                                            <w:top w:val="none" w:sz="0" w:space="0" w:color="auto"/>
                                            <w:left w:val="none" w:sz="0" w:space="0" w:color="auto"/>
                                            <w:bottom w:val="none" w:sz="0" w:space="0" w:color="auto"/>
                                            <w:right w:val="none" w:sz="0" w:space="0" w:color="auto"/>
                                          </w:divBdr>
                                          <w:divsChild>
                                            <w:div w:id="200362086">
                                              <w:marLeft w:val="0"/>
                                              <w:marRight w:val="0"/>
                                              <w:marTop w:val="0"/>
                                              <w:marBottom w:val="0"/>
                                              <w:divBdr>
                                                <w:top w:val="none" w:sz="0" w:space="0" w:color="auto"/>
                                                <w:left w:val="none" w:sz="0" w:space="0" w:color="auto"/>
                                                <w:bottom w:val="none" w:sz="0" w:space="0" w:color="auto"/>
                                                <w:right w:val="none" w:sz="0" w:space="0" w:color="auto"/>
                                              </w:divBdr>
                                              <w:divsChild>
                                                <w:div w:id="213976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image" Target="media/image6.png"/><Relationship Id="rId39" Type="http://schemas.openxmlformats.org/officeDocument/2006/relationships/image" Target="media/image10.jfif"/><Relationship Id="rId21" Type="http://schemas.openxmlformats.org/officeDocument/2006/relationships/header" Target="header4.xml"/><Relationship Id="rId34" Type="http://schemas.openxmlformats.org/officeDocument/2006/relationships/hyperlink" Target="https://www.rdmw.qld.gov.au/water/consultations-initiatives/rural-water-futures/strengthened-water-measurement" TargetMode="External"/><Relationship Id="rId42" Type="http://schemas.openxmlformats.org/officeDocument/2006/relationships/footer" Target="footer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mdba.gov.au/sites/default/files/Basin-Compliance-Compact-180702-D18-31184.pdf" TargetMode="External"/><Relationship Id="rId32" Type="http://schemas.openxmlformats.org/officeDocument/2006/relationships/hyperlink" Target="https://www.rdmw.qld.gov.au/__data/assets/pdf_file/0010/1458379/qmdb-compliance-enforcement.pdf" TargetMode="External"/><Relationship Id="rId37" Type="http://schemas.openxmlformats.org/officeDocument/2006/relationships/image" Target="media/image9.png"/><Relationship Id="rId40" Type="http://schemas.openxmlformats.org/officeDocument/2006/relationships/header" Target="header6.xml"/><Relationship Id="rId45"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mailto:copyright@dcceew.gov.au" TargetMode="External"/><Relationship Id="rId23" Type="http://schemas.openxmlformats.org/officeDocument/2006/relationships/footer" Target="footer4.xml"/><Relationship Id="rId28" Type="http://schemas.openxmlformats.org/officeDocument/2006/relationships/hyperlink" Target="https://www.premier.vic.gov.au/zero-tolerance-water-theft-victoria" TargetMode="External"/><Relationship Id="rId36" Type="http://schemas.openxmlformats.org/officeDocument/2006/relationships/hyperlink" Target="https://cdn.environment.sa.gov.au/environment/docs/sa-licensed-water-use-metering-policy.pdf"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www.rdmw.qld.gov.au/__data/assets/pdf_file/0005/1581422/qmdb-compliance-enforcement-2021.pdf"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hyperlink" Target="https://waterregister.vic.gov.au/" TargetMode="External"/><Relationship Id="rId30" Type="http://schemas.openxmlformats.org/officeDocument/2006/relationships/hyperlink" Target="https://www.rdmw.qld.gov.au/__data/assets/pdf_file/0005/1581422/qmdb-compliance-enforcement-2021.pdf" TargetMode="External"/><Relationship Id="rId35" Type="http://schemas.openxmlformats.org/officeDocument/2006/relationships/image" Target="media/image8.png"/><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igwc.gov.au/reviews-reports" TargetMode="External"/><Relationship Id="rId25" Type="http://schemas.openxmlformats.org/officeDocument/2006/relationships/image" Target="media/image5.png"/><Relationship Id="rId33" Type="http://schemas.openxmlformats.org/officeDocument/2006/relationships/hyperlink" Target="https://www.mdba.gov.au/basin-plan/sustainable-diversion-limits/enhancing-water-monitoring-information" TargetMode="External"/><Relationship Id="rId38" Type="http://schemas.openxmlformats.org/officeDocument/2006/relationships/hyperlink" Target="file://act001cl08fs01/home2$/KL0033/My%20Documents/Pearson%20Review/State%20background%20documents/MDBA/murray-darling-basin-compliance-compact-assurance-report-2020.pdf" TargetMode="External"/><Relationship Id="rId20" Type="http://schemas.openxmlformats.org/officeDocument/2006/relationships/image" Target="media/image4.png"/><Relationship Id="rId41" Type="http://schemas.openxmlformats.org/officeDocument/2006/relationships/header" Target="header7.xml"/></Relationships>
</file>

<file path=word/_rels/footnotes.xml.rels><?xml version="1.0" encoding="UTF-8" standalone="yes"?>
<Relationships xmlns="http://schemas.openxmlformats.org/package/2006/relationships"><Relationship Id="rId8" Type="http://schemas.openxmlformats.org/officeDocument/2006/relationships/hyperlink" Target="https://www.nrar.nsw.gov.au/progress-and-outcomes/public-register" TargetMode="External"/><Relationship Id="rId13" Type="http://schemas.openxmlformats.org/officeDocument/2006/relationships/hyperlink" Target="https://www.rdmw.qld.gov.au/water/consultations-initiatives/rural-water-futures/projects/measurement-overland-flow" TargetMode="External"/><Relationship Id="rId18" Type="http://schemas.openxmlformats.org/officeDocument/2006/relationships/hyperlink" Target="https://www.cmtedd.act.gov.au/__data/assets/pdf_file/0007/1909951/Volume-1-CMTEDD-Annual-Report-2020-21-final.pdf" TargetMode="External"/><Relationship Id="rId3" Type="http://schemas.openxmlformats.org/officeDocument/2006/relationships/hyperlink" Target="https://www.nrar.nsw.gov.au/news/satellite-imagery-reveals-extent-of-illegal-water-take-on-farm" TargetMode="External"/><Relationship Id="rId7" Type="http://schemas.openxmlformats.org/officeDocument/2006/relationships/hyperlink" Target="https://www.nrar.nsw.gov.au/progress-and-outcomes/qrt-reports" TargetMode="External"/><Relationship Id="rId12" Type="http://schemas.openxmlformats.org/officeDocument/2006/relationships/hyperlink" Target="https://www.water.vic.gov.au/water-for-agriculture/taking-and-using-water/compliance-reports/water-compliance-report-2020-21" TargetMode="External"/><Relationship Id="rId17" Type="http://schemas.openxmlformats.org/officeDocument/2006/relationships/hyperlink" Target="https://www.environment.sa.gov.au/topics/compliance/water-compliance/water-compliance-reporting" TargetMode="External"/><Relationship Id="rId2" Type="http://schemas.openxmlformats.org/officeDocument/2006/relationships/hyperlink" Target="https://www.mdba.gov.au/sites/default/files/pubs/murray-darling-basin-compliance-compact-2021.pdf" TargetMode="External"/><Relationship Id="rId16" Type="http://schemas.openxmlformats.org/officeDocument/2006/relationships/hyperlink" Target="https://cdn.environment.sa.gov.au/environment/docs/sa-licensed-water-use-meter-specifications-gen.pdf" TargetMode="External"/><Relationship Id="rId1" Type="http://schemas.openxmlformats.org/officeDocument/2006/relationships/hyperlink" Target="https://www.mdba.gov.au/sites/default/files/pubs/murray-darling-basin-compliance-compact-2021.pdf" TargetMode="External"/><Relationship Id="rId6" Type="http://schemas.openxmlformats.org/officeDocument/2006/relationships/hyperlink" Target="https://www.nrar.nsw.gov.au/__data/assets/pdf_file/0006/477015/NRAR-progress-report-2020-21.pdf" TargetMode="External"/><Relationship Id="rId11" Type="http://schemas.openxmlformats.org/officeDocument/2006/relationships/hyperlink" Target="https://www.water.vic.gov.au/water-for-agriculture/taking-and-using-water/non-urban-water-compliance-and-enforcement-in-victoria/compliance-and-enforcement-report-card" TargetMode="External"/><Relationship Id="rId5" Type="http://schemas.openxmlformats.org/officeDocument/2006/relationships/hyperlink" Target="file://act001cl08fs01/home2$/KL0033/My%20Documents/Pearson%20Review/State%20background%20documents/MDBA/2017%20MDB-Compliance-Review-Final-Report.pdf" TargetMode="External"/><Relationship Id="rId15" Type="http://schemas.openxmlformats.org/officeDocument/2006/relationships/hyperlink" Target="https://cdn.environment.sa.gov.au/environment/docs/annual_compliance_report_-_2020-21.pdf" TargetMode="External"/><Relationship Id="rId10" Type="http://schemas.openxmlformats.org/officeDocument/2006/relationships/hyperlink" Target="https://www.water.vic.gov.au/water-for-agriculture/taking-and-using-water/compliance-reports/water-compliance-report-2020-21" TargetMode="External"/><Relationship Id="rId19" Type="http://schemas.openxmlformats.org/officeDocument/2006/relationships/hyperlink" Target="file://act001cl08fs01/home2$/KL0033/My%20Documents/Pearson%20Review/State%20background%20documents/MDBA/2017%20MDB-Compliance-Review-Final-Report.pdf" TargetMode="External"/><Relationship Id="rId4" Type="http://schemas.openxmlformats.org/officeDocument/2006/relationships/hyperlink" Target="https://www.industry.nsw.gov.au/__data/assets/pdf_file/0018/212517/NRAR-regulatory-framework.pdf" TargetMode="External"/><Relationship Id="rId9" Type="http://schemas.openxmlformats.org/officeDocument/2006/relationships/hyperlink" Target="https://www.nrar.nsw.gov.au/progress-and-outcomes/progress-reports" TargetMode="External"/><Relationship Id="rId14" Type="http://schemas.openxmlformats.org/officeDocument/2006/relationships/hyperlink" Target="https://www.rdmw.qld.gov.au/water/consultations-initiatives/rural-water-futur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IGWC">
      <a:dk1>
        <a:srgbClr val="4C6968"/>
      </a:dk1>
      <a:lt1>
        <a:srgbClr val="BCD8E3"/>
      </a:lt1>
      <a:dk2>
        <a:srgbClr val="48555E"/>
      </a:dk2>
      <a:lt2>
        <a:srgbClr val="E7E6E6"/>
      </a:lt2>
      <a:accent1>
        <a:srgbClr val="4C6968"/>
      </a:accent1>
      <a:accent2>
        <a:srgbClr val="48545E"/>
      </a:accent2>
      <a:accent3>
        <a:srgbClr val="BCD7E2"/>
      </a:accent3>
      <a:accent4>
        <a:srgbClr val="6E8C81"/>
      </a:accent4>
      <a:accent5>
        <a:srgbClr val="F0C88A"/>
      </a:accent5>
      <a:accent6>
        <a:srgbClr val="CE9282"/>
      </a:accent6>
      <a:hlink>
        <a:srgbClr val="48545E"/>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95b51c2-b2ac-4224-a5b5-069909057829">
      <UserInfo>
        <DisplayName>Parsons, Andrew</DisplayName>
        <AccountId>187</AccountId>
        <AccountType/>
      </UserInfo>
    </SharedWithUsers>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F14400-9C31-4228-BEBD-280318148616}">
  <ds:schemaRefs>
    <ds:schemaRef ds:uri="http://schemas.microsoft.com/office/2006/metadata/properties"/>
    <ds:schemaRef ds:uri="http://purl.org/dc/dcmitype/"/>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28699d96-231d-483f-8406-f80ed7573ccd"/>
    <ds:schemaRef ds:uri="faa728ad-f6f7-45f7-9bfa-680f39ae2815"/>
    <ds:schemaRef ds:uri="http://purl.org/dc/elements/1.1/"/>
  </ds:schemaRefs>
</ds:datastoreItem>
</file>

<file path=customXml/itemProps2.xml><?xml version="1.0" encoding="utf-8"?>
<ds:datastoreItem xmlns:ds="http://schemas.openxmlformats.org/officeDocument/2006/customXml" ds:itemID="{825A0DA6-23CF-48B7-B6E2-12506CEAF058}"/>
</file>

<file path=customXml/itemProps3.xml><?xml version="1.0" encoding="utf-8"?>
<ds:datastoreItem xmlns:ds="http://schemas.openxmlformats.org/officeDocument/2006/customXml" ds:itemID="{77195089-9C66-4297-8BD5-EE276691F558}">
  <ds:schemaRefs>
    <ds:schemaRef ds:uri="http://schemas.openxmlformats.org/officeDocument/2006/bibliography"/>
  </ds:schemaRefs>
</ds:datastoreItem>
</file>

<file path=customXml/itemProps4.xml><?xml version="1.0" encoding="utf-8"?>
<ds:datastoreItem xmlns:ds="http://schemas.openxmlformats.org/officeDocument/2006/customXml" ds:itemID="{DCC9D1DC-5E1B-45F6-99EB-E93431354B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25</Pages>
  <Words>8488</Words>
  <Characters>48385</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Compliance and enforcement across the Murray-Darling Basin</vt:lpstr>
    </vt:vector>
  </TitlesOfParts>
  <Manager/>
  <Company/>
  <LinksUpToDate>false</LinksUpToDate>
  <CharactersWithSpaces>56760</CharactersWithSpaces>
  <SharedDoc>false</SharedDoc>
  <HLinks>
    <vt:vector size="336" baseType="variant">
      <vt:variant>
        <vt:i4>589936</vt:i4>
      </vt:variant>
      <vt:variant>
        <vt:i4>174</vt:i4>
      </vt:variant>
      <vt:variant>
        <vt:i4>0</vt:i4>
      </vt:variant>
      <vt:variant>
        <vt:i4>5</vt:i4>
      </vt:variant>
      <vt:variant>
        <vt:lpwstr>\\act001cl08fs01\home2$\KL0033\My Documents\Pearson Review\State background documents\MDBA\murray-darling-basin-compliance-compact-assurance-report-2020.pdf</vt:lpwstr>
      </vt:variant>
      <vt:variant>
        <vt:lpwstr/>
      </vt:variant>
      <vt:variant>
        <vt:i4>1900552</vt:i4>
      </vt:variant>
      <vt:variant>
        <vt:i4>171</vt:i4>
      </vt:variant>
      <vt:variant>
        <vt:i4>0</vt:i4>
      </vt:variant>
      <vt:variant>
        <vt:i4>5</vt:i4>
      </vt:variant>
      <vt:variant>
        <vt:lpwstr>https://cdn.environment.sa.gov.au/environment/docs/sa-licensed-water-use-metering-policy.pdf</vt:lpwstr>
      </vt:variant>
      <vt:variant>
        <vt:lpwstr/>
      </vt:variant>
      <vt:variant>
        <vt:i4>7012476</vt:i4>
      </vt:variant>
      <vt:variant>
        <vt:i4>168</vt:i4>
      </vt:variant>
      <vt:variant>
        <vt:i4>0</vt:i4>
      </vt:variant>
      <vt:variant>
        <vt:i4>5</vt:i4>
      </vt:variant>
      <vt:variant>
        <vt:lpwstr>https://www.rdmw.qld.gov.au/water/consultations-initiatives/rural-water-futures/strengthened-water-measurement</vt:lpwstr>
      </vt:variant>
      <vt:variant>
        <vt:lpwstr/>
      </vt:variant>
      <vt:variant>
        <vt:i4>7995455</vt:i4>
      </vt:variant>
      <vt:variant>
        <vt:i4>165</vt:i4>
      </vt:variant>
      <vt:variant>
        <vt:i4>0</vt:i4>
      </vt:variant>
      <vt:variant>
        <vt:i4>5</vt:i4>
      </vt:variant>
      <vt:variant>
        <vt:lpwstr>https://www.mdba.gov.au/basin-plan/sustainable-diversion-limits/enhancing-water-monitoring-information</vt:lpwstr>
      </vt:variant>
      <vt:variant>
        <vt:lpwstr/>
      </vt:variant>
      <vt:variant>
        <vt:i4>6488079</vt:i4>
      </vt:variant>
      <vt:variant>
        <vt:i4>162</vt:i4>
      </vt:variant>
      <vt:variant>
        <vt:i4>0</vt:i4>
      </vt:variant>
      <vt:variant>
        <vt:i4>5</vt:i4>
      </vt:variant>
      <vt:variant>
        <vt:lpwstr>https://www.rdmw.qld.gov.au/__data/assets/pdf_file/0010/1458379/qmdb-compliance-enforcement.pdf</vt:lpwstr>
      </vt:variant>
      <vt:variant>
        <vt:lpwstr/>
      </vt:variant>
      <vt:variant>
        <vt:i4>2031665</vt:i4>
      </vt:variant>
      <vt:variant>
        <vt:i4>159</vt:i4>
      </vt:variant>
      <vt:variant>
        <vt:i4>0</vt:i4>
      </vt:variant>
      <vt:variant>
        <vt:i4>5</vt:i4>
      </vt:variant>
      <vt:variant>
        <vt:lpwstr>https://www.rdmw.qld.gov.au/__data/assets/pdf_file/0005/1581422/qmdb-compliance-enforcement-2021.pdf</vt:lpwstr>
      </vt:variant>
      <vt:variant>
        <vt:lpwstr/>
      </vt:variant>
      <vt:variant>
        <vt:i4>2031665</vt:i4>
      </vt:variant>
      <vt:variant>
        <vt:i4>156</vt:i4>
      </vt:variant>
      <vt:variant>
        <vt:i4>0</vt:i4>
      </vt:variant>
      <vt:variant>
        <vt:i4>5</vt:i4>
      </vt:variant>
      <vt:variant>
        <vt:lpwstr>https://www.rdmw.qld.gov.au/__data/assets/pdf_file/0005/1581422/qmdb-compliance-enforcement-2021.pdf</vt:lpwstr>
      </vt:variant>
      <vt:variant>
        <vt:lpwstr/>
      </vt:variant>
      <vt:variant>
        <vt:i4>7012456</vt:i4>
      </vt:variant>
      <vt:variant>
        <vt:i4>153</vt:i4>
      </vt:variant>
      <vt:variant>
        <vt:i4>0</vt:i4>
      </vt:variant>
      <vt:variant>
        <vt:i4>5</vt:i4>
      </vt:variant>
      <vt:variant>
        <vt:lpwstr>https://www.premier.vic.gov.au/zero-tolerance-water-theft-victoria</vt:lpwstr>
      </vt:variant>
      <vt:variant>
        <vt:lpwstr/>
      </vt:variant>
      <vt:variant>
        <vt:i4>4915294</vt:i4>
      </vt:variant>
      <vt:variant>
        <vt:i4>150</vt:i4>
      </vt:variant>
      <vt:variant>
        <vt:i4>0</vt:i4>
      </vt:variant>
      <vt:variant>
        <vt:i4>5</vt:i4>
      </vt:variant>
      <vt:variant>
        <vt:lpwstr>https://waterregister.vic.gov.au/</vt:lpwstr>
      </vt:variant>
      <vt:variant>
        <vt:lpwstr/>
      </vt:variant>
      <vt:variant>
        <vt:i4>3211348</vt:i4>
      </vt:variant>
      <vt:variant>
        <vt:i4>147</vt:i4>
      </vt:variant>
      <vt:variant>
        <vt:i4>0</vt:i4>
      </vt:variant>
      <vt:variant>
        <vt:i4>5</vt:i4>
      </vt:variant>
      <vt:variant>
        <vt:lpwstr>https://www.industry.nsw.gov.au/__data/assets/pdf_file/0006/317859/floodplain-harvesting-measurement-policy.pdf</vt:lpwstr>
      </vt:variant>
      <vt:variant>
        <vt:lpwstr/>
      </vt:variant>
      <vt:variant>
        <vt:i4>5570591</vt:i4>
      </vt:variant>
      <vt:variant>
        <vt:i4>144</vt:i4>
      </vt:variant>
      <vt:variant>
        <vt:i4>0</vt:i4>
      </vt:variant>
      <vt:variant>
        <vt:i4>5</vt:i4>
      </vt:variant>
      <vt:variant>
        <vt:lpwstr>https://www.mdba.gov.au/sites/default/files/Basin-Compliance-Compact-180702-D18-31184.pdf</vt:lpwstr>
      </vt:variant>
      <vt:variant>
        <vt:lpwstr/>
      </vt:variant>
      <vt:variant>
        <vt:i4>1703997</vt:i4>
      </vt:variant>
      <vt:variant>
        <vt:i4>137</vt:i4>
      </vt:variant>
      <vt:variant>
        <vt:i4>0</vt:i4>
      </vt:variant>
      <vt:variant>
        <vt:i4>5</vt:i4>
      </vt:variant>
      <vt:variant>
        <vt:lpwstr/>
      </vt:variant>
      <vt:variant>
        <vt:lpwstr>_Toc109718423</vt:lpwstr>
      </vt:variant>
      <vt:variant>
        <vt:i4>1703997</vt:i4>
      </vt:variant>
      <vt:variant>
        <vt:i4>131</vt:i4>
      </vt:variant>
      <vt:variant>
        <vt:i4>0</vt:i4>
      </vt:variant>
      <vt:variant>
        <vt:i4>5</vt:i4>
      </vt:variant>
      <vt:variant>
        <vt:lpwstr/>
      </vt:variant>
      <vt:variant>
        <vt:lpwstr>_Toc109718422</vt:lpwstr>
      </vt:variant>
      <vt:variant>
        <vt:i4>1703997</vt:i4>
      </vt:variant>
      <vt:variant>
        <vt:i4>125</vt:i4>
      </vt:variant>
      <vt:variant>
        <vt:i4>0</vt:i4>
      </vt:variant>
      <vt:variant>
        <vt:i4>5</vt:i4>
      </vt:variant>
      <vt:variant>
        <vt:lpwstr/>
      </vt:variant>
      <vt:variant>
        <vt:lpwstr>_Toc109718421</vt:lpwstr>
      </vt:variant>
      <vt:variant>
        <vt:i4>1703997</vt:i4>
      </vt:variant>
      <vt:variant>
        <vt:i4>119</vt:i4>
      </vt:variant>
      <vt:variant>
        <vt:i4>0</vt:i4>
      </vt:variant>
      <vt:variant>
        <vt:i4>5</vt:i4>
      </vt:variant>
      <vt:variant>
        <vt:lpwstr/>
      </vt:variant>
      <vt:variant>
        <vt:lpwstr>_Toc109718420</vt:lpwstr>
      </vt:variant>
      <vt:variant>
        <vt:i4>1638461</vt:i4>
      </vt:variant>
      <vt:variant>
        <vt:i4>113</vt:i4>
      </vt:variant>
      <vt:variant>
        <vt:i4>0</vt:i4>
      </vt:variant>
      <vt:variant>
        <vt:i4>5</vt:i4>
      </vt:variant>
      <vt:variant>
        <vt:lpwstr/>
      </vt:variant>
      <vt:variant>
        <vt:lpwstr>_Toc109718419</vt:lpwstr>
      </vt:variant>
      <vt:variant>
        <vt:i4>1638461</vt:i4>
      </vt:variant>
      <vt:variant>
        <vt:i4>107</vt:i4>
      </vt:variant>
      <vt:variant>
        <vt:i4>0</vt:i4>
      </vt:variant>
      <vt:variant>
        <vt:i4>5</vt:i4>
      </vt:variant>
      <vt:variant>
        <vt:lpwstr/>
      </vt:variant>
      <vt:variant>
        <vt:lpwstr>_Toc109718418</vt:lpwstr>
      </vt:variant>
      <vt:variant>
        <vt:i4>1638461</vt:i4>
      </vt:variant>
      <vt:variant>
        <vt:i4>101</vt:i4>
      </vt:variant>
      <vt:variant>
        <vt:i4>0</vt:i4>
      </vt:variant>
      <vt:variant>
        <vt:i4>5</vt:i4>
      </vt:variant>
      <vt:variant>
        <vt:lpwstr/>
      </vt:variant>
      <vt:variant>
        <vt:lpwstr>_Toc109718417</vt:lpwstr>
      </vt:variant>
      <vt:variant>
        <vt:i4>1638461</vt:i4>
      </vt:variant>
      <vt:variant>
        <vt:i4>95</vt:i4>
      </vt:variant>
      <vt:variant>
        <vt:i4>0</vt:i4>
      </vt:variant>
      <vt:variant>
        <vt:i4>5</vt:i4>
      </vt:variant>
      <vt:variant>
        <vt:lpwstr/>
      </vt:variant>
      <vt:variant>
        <vt:lpwstr>_Toc109718416</vt:lpwstr>
      </vt:variant>
      <vt:variant>
        <vt:i4>1638461</vt:i4>
      </vt:variant>
      <vt:variant>
        <vt:i4>89</vt:i4>
      </vt:variant>
      <vt:variant>
        <vt:i4>0</vt:i4>
      </vt:variant>
      <vt:variant>
        <vt:i4>5</vt:i4>
      </vt:variant>
      <vt:variant>
        <vt:lpwstr/>
      </vt:variant>
      <vt:variant>
        <vt:lpwstr>_Toc109718415</vt:lpwstr>
      </vt:variant>
      <vt:variant>
        <vt:i4>1638461</vt:i4>
      </vt:variant>
      <vt:variant>
        <vt:i4>83</vt:i4>
      </vt:variant>
      <vt:variant>
        <vt:i4>0</vt:i4>
      </vt:variant>
      <vt:variant>
        <vt:i4>5</vt:i4>
      </vt:variant>
      <vt:variant>
        <vt:lpwstr/>
      </vt:variant>
      <vt:variant>
        <vt:lpwstr>_Toc109718414</vt:lpwstr>
      </vt:variant>
      <vt:variant>
        <vt:i4>1638461</vt:i4>
      </vt:variant>
      <vt:variant>
        <vt:i4>77</vt:i4>
      </vt:variant>
      <vt:variant>
        <vt:i4>0</vt:i4>
      </vt:variant>
      <vt:variant>
        <vt:i4>5</vt:i4>
      </vt:variant>
      <vt:variant>
        <vt:lpwstr/>
      </vt:variant>
      <vt:variant>
        <vt:lpwstr>_Toc109718413</vt:lpwstr>
      </vt:variant>
      <vt:variant>
        <vt:i4>1638461</vt:i4>
      </vt:variant>
      <vt:variant>
        <vt:i4>71</vt:i4>
      </vt:variant>
      <vt:variant>
        <vt:i4>0</vt:i4>
      </vt:variant>
      <vt:variant>
        <vt:i4>5</vt:i4>
      </vt:variant>
      <vt:variant>
        <vt:lpwstr/>
      </vt:variant>
      <vt:variant>
        <vt:lpwstr>_Toc109718412</vt:lpwstr>
      </vt:variant>
      <vt:variant>
        <vt:i4>1638461</vt:i4>
      </vt:variant>
      <vt:variant>
        <vt:i4>65</vt:i4>
      </vt:variant>
      <vt:variant>
        <vt:i4>0</vt:i4>
      </vt:variant>
      <vt:variant>
        <vt:i4>5</vt:i4>
      </vt:variant>
      <vt:variant>
        <vt:lpwstr/>
      </vt:variant>
      <vt:variant>
        <vt:lpwstr>_Toc109718411</vt:lpwstr>
      </vt:variant>
      <vt:variant>
        <vt:i4>1638461</vt:i4>
      </vt:variant>
      <vt:variant>
        <vt:i4>59</vt:i4>
      </vt:variant>
      <vt:variant>
        <vt:i4>0</vt:i4>
      </vt:variant>
      <vt:variant>
        <vt:i4>5</vt:i4>
      </vt:variant>
      <vt:variant>
        <vt:lpwstr/>
      </vt:variant>
      <vt:variant>
        <vt:lpwstr>_Toc109718410</vt:lpwstr>
      </vt:variant>
      <vt:variant>
        <vt:i4>1572925</vt:i4>
      </vt:variant>
      <vt:variant>
        <vt:i4>53</vt:i4>
      </vt:variant>
      <vt:variant>
        <vt:i4>0</vt:i4>
      </vt:variant>
      <vt:variant>
        <vt:i4>5</vt:i4>
      </vt:variant>
      <vt:variant>
        <vt:lpwstr/>
      </vt:variant>
      <vt:variant>
        <vt:lpwstr>_Toc109718409</vt:lpwstr>
      </vt:variant>
      <vt:variant>
        <vt:i4>1572925</vt:i4>
      </vt:variant>
      <vt:variant>
        <vt:i4>47</vt:i4>
      </vt:variant>
      <vt:variant>
        <vt:i4>0</vt:i4>
      </vt:variant>
      <vt:variant>
        <vt:i4>5</vt:i4>
      </vt:variant>
      <vt:variant>
        <vt:lpwstr/>
      </vt:variant>
      <vt:variant>
        <vt:lpwstr>_Toc109718408</vt:lpwstr>
      </vt:variant>
      <vt:variant>
        <vt:i4>1572925</vt:i4>
      </vt:variant>
      <vt:variant>
        <vt:i4>41</vt:i4>
      </vt:variant>
      <vt:variant>
        <vt:i4>0</vt:i4>
      </vt:variant>
      <vt:variant>
        <vt:i4>5</vt:i4>
      </vt:variant>
      <vt:variant>
        <vt:lpwstr/>
      </vt:variant>
      <vt:variant>
        <vt:lpwstr>_Toc109718407</vt:lpwstr>
      </vt:variant>
      <vt:variant>
        <vt:i4>1572925</vt:i4>
      </vt:variant>
      <vt:variant>
        <vt:i4>35</vt:i4>
      </vt:variant>
      <vt:variant>
        <vt:i4>0</vt:i4>
      </vt:variant>
      <vt:variant>
        <vt:i4>5</vt:i4>
      </vt:variant>
      <vt:variant>
        <vt:lpwstr/>
      </vt:variant>
      <vt:variant>
        <vt:lpwstr>_Toc109718406</vt:lpwstr>
      </vt:variant>
      <vt:variant>
        <vt:i4>1572925</vt:i4>
      </vt:variant>
      <vt:variant>
        <vt:i4>29</vt:i4>
      </vt:variant>
      <vt:variant>
        <vt:i4>0</vt:i4>
      </vt:variant>
      <vt:variant>
        <vt:i4>5</vt:i4>
      </vt:variant>
      <vt:variant>
        <vt:lpwstr/>
      </vt:variant>
      <vt:variant>
        <vt:lpwstr>_Toc109718405</vt:lpwstr>
      </vt:variant>
      <vt:variant>
        <vt:i4>1572925</vt:i4>
      </vt:variant>
      <vt:variant>
        <vt:i4>23</vt:i4>
      </vt:variant>
      <vt:variant>
        <vt:i4>0</vt:i4>
      </vt:variant>
      <vt:variant>
        <vt:i4>5</vt:i4>
      </vt:variant>
      <vt:variant>
        <vt:lpwstr/>
      </vt:variant>
      <vt:variant>
        <vt:lpwstr>_Toc109718404</vt:lpwstr>
      </vt:variant>
      <vt:variant>
        <vt:i4>1572925</vt:i4>
      </vt:variant>
      <vt:variant>
        <vt:i4>17</vt:i4>
      </vt:variant>
      <vt:variant>
        <vt:i4>0</vt:i4>
      </vt:variant>
      <vt:variant>
        <vt:i4>5</vt:i4>
      </vt:variant>
      <vt:variant>
        <vt:lpwstr/>
      </vt:variant>
      <vt:variant>
        <vt:lpwstr>_Toc109718403</vt:lpwstr>
      </vt:variant>
      <vt:variant>
        <vt:i4>1572925</vt:i4>
      </vt:variant>
      <vt:variant>
        <vt:i4>11</vt:i4>
      </vt:variant>
      <vt:variant>
        <vt:i4>0</vt:i4>
      </vt:variant>
      <vt:variant>
        <vt:i4>5</vt:i4>
      </vt:variant>
      <vt:variant>
        <vt:lpwstr/>
      </vt:variant>
      <vt:variant>
        <vt:lpwstr>_Toc109718402</vt:lpwstr>
      </vt:variant>
      <vt:variant>
        <vt:i4>3080228</vt:i4>
      </vt:variant>
      <vt:variant>
        <vt:i4>6</vt:i4>
      </vt:variant>
      <vt:variant>
        <vt:i4>0</vt:i4>
      </vt:variant>
      <vt:variant>
        <vt:i4>5</vt:i4>
      </vt:variant>
      <vt:variant>
        <vt:lpwstr>http://www.igwc.gov.au/</vt:lpwstr>
      </vt:variant>
      <vt:variant>
        <vt:lpwstr/>
      </vt:variant>
      <vt:variant>
        <vt:i4>4063267</vt:i4>
      </vt:variant>
      <vt:variant>
        <vt:i4>3</vt:i4>
      </vt:variant>
      <vt:variant>
        <vt:i4>0</vt:i4>
      </vt:variant>
      <vt:variant>
        <vt:i4>5</vt:i4>
      </vt:variant>
      <vt:variant>
        <vt:lpwstr>http://www.igwc.gov.au/reviews-reports</vt:lpwstr>
      </vt:variant>
      <vt:variant>
        <vt:lpwstr/>
      </vt:variant>
      <vt:variant>
        <vt:i4>7077903</vt:i4>
      </vt:variant>
      <vt:variant>
        <vt:i4>0</vt:i4>
      </vt:variant>
      <vt:variant>
        <vt:i4>0</vt:i4>
      </vt:variant>
      <vt:variant>
        <vt:i4>5</vt:i4>
      </vt:variant>
      <vt:variant>
        <vt:lpwstr>mailto:copyright@agriculture.gov.au</vt:lpwstr>
      </vt:variant>
      <vt:variant>
        <vt:lpwstr/>
      </vt:variant>
      <vt:variant>
        <vt:i4>6357000</vt:i4>
      </vt:variant>
      <vt:variant>
        <vt:i4>57</vt:i4>
      </vt:variant>
      <vt:variant>
        <vt:i4>0</vt:i4>
      </vt:variant>
      <vt:variant>
        <vt:i4>5</vt:i4>
      </vt:variant>
      <vt:variant>
        <vt:lpwstr>\\act001cl08fs01\home2$\KL0033\My Documents\Pearson Review\State background documents\MDBA\2017 MDB-Compliance-Review-Final-Report.pdf</vt:lpwstr>
      </vt:variant>
      <vt:variant>
        <vt:lpwstr/>
      </vt:variant>
      <vt:variant>
        <vt:i4>1900658</vt:i4>
      </vt:variant>
      <vt:variant>
        <vt:i4>54</vt:i4>
      </vt:variant>
      <vt:variant>
        <vt:i4>0</vt:i4>
      </vt:variant>
      <vt:variant>
        <vt:i4>5</vt:i4>
      </vt:variant>
      <vt:variant>
        <vt:lpwstr>https://www.cmtedd.act.gov.au/__data/assets/pdf_file/0007/1909951/Volume-1-CMTEDD-Annual-Report-2020-21-final.pdf</vt:lpwstr>
      </vt:variant>
      <vt:variant>
        <vt:lpwstr/>
      </vt:variant>
      <vt:variant>
        <vt:i4>7405681</vt:i4>
      </vt:variant>
      <vt:variant>
        <vt:i4>51</vt:i4>
      </vt:variant>
      <vt:variant>
        <vt:i4>0</vt:i4>
      </vt:variant>
      <vt:variant>
        <vt:i4>5</vt:i4>
      </vt:variant>
      <vt:variant>
        <vt:lpwstr>https://www.environment.sa.gov.au/topics/compliance/water-compliance/water-compliance-reporting</vt:lpwstr>
      </vt:variant>
      <vt:variant>
        <vt:lpwstr/>
      </vt:variant>
      <vt:variant>
        <vt:i4>4522009</vt:i4>
      </vt:variant>
      <vt:variant>
        <vt:i4>48</vt:i4>
      </vt:variant>
      <vt:variant>
        <vt:i4>0</vt:i4>
      </vt:variant>
      <vt:variant>
        <vt:i4>5</vt:i4>
      </vt:variant>
      <vt:variant>
        <vt:lpwstr>https://cdn.environment.sa.gov.au/environment/docs/sa-licensed-water-use-meter-specifications-gen.pdf</vt:lpwstr>
      </vt:variant>
      <vt:variant>
        <vt:lpwstr/>
      </vt:variant>
      <vt:variant>
        <vt:i4>3932283</vt:i4>
      </vt:variant>
      <vt:variant>
        <vt:i4>45</vt:i4>
      </vt:variant>
      <vt:variant>
        <vt:i4>0</vt:i4>
      </vt:variant>
      <vt:variant>
        <vt:i4>5</vt:i4>
      </vt:variant>
      <vt:variant>
        <vt:lpwstr>https://cdn.environment.sa.gov.au/environment/docs/annual_compliance_report_-_2020-21.pdf</vt:lpwstr>
      </vt:variant>
      <vt:variant>
        <vt:lpwstr/>
      </vt:variant>
      <vt:variant>
        <vt:i4>2883703</vt:i4>
      </vt:variant>
      <vt:variant>
        <vt:i4>42</vt:i4>
      </vt:variant>
      <vt:variant>
        <vt:i4>0</vt:i4>
      </vt:variant>
      <vt:variant>
        <vt:i4>5</vt:i4>
      </vt:variant>
      <vt:variant>
        <vt:lpwstr>https://www.rdmw.qld.gov.au/water/consultations-initiatives/rural-water-futures</vt:lpwstr>
      </vt:variant>
      <vt:variant>
        <vt:lpwstr/>
      </vt:variant>
      <vt:variant>
        <vt:i4>3670119</vt:i4>
      </vt:variant>
      <vt:variant>
        <vt:i4>39</vt:i4>
      </vt:variant>
      <vt:variant>
        <vt:i4>0</vt:i4>
      </vt:variant>
      <vt:variant>
        <vt:i4>5</vt:i4>
      </vt:variant>
      <vt:variant>
        <vt:lpwstr>https://www.rdmw.qld.gov.au/water/consultations-initiatives/rural-water-futures/projects/measurement-overland-flow</vt:lpwstr>
      </vt:variant>
      <vt:variant>
        <vt:lpwstr/>
      </vt:variant>
      <vt:variant>
        <vt:i4>6029317</vt:i4>
      </vt:variant>
      <vt:variant>
        <vt:i4>36</vt:i4>
      </vt:variant>
      <vt:variant>
        <vt:i4>0</vt:i4>
      </vt:variant>
      <vt:variant>
        <vt:i4>5</vt:i4>
      </vt:variant>
      <vt:variant>
        <vt:lpwstr>https://www.water.vic.gov.au/water-for-agriculture/taking-and-using-water/compliance-reports/water-compliance-report-2020-21</vt:lpwstr>
      </vt:variant>
      <vt:variant>
        <vt:lpwstr/>
      </vt:variant>
      <vt:variant>
        <vt:i4>3342459</vt:i4>
      </vt:variant>
      <vt:variant>
        <vt:i4>33</vt:i4>
      </vt:variant>
      <vt:variant>
        <vt:i4>0</vt:i4>
      </vt:variant>
      <vt:variant>
        <vt:i4>5</vt:i4>
      </vt:variant>
      <vt:variant>
        <vt:lpwstr>https://www.water.vic.gov.au/water-for-agriculture/taking-and-using-water/non-urban-water-compliance-and-enforcement-in-victoria/compliance-and-enforcement-report-card</vt:lpwstr>
      </vt:variant>
      <vt:variant>
        <vt:lpwstr/>
      </vt:variant>
      <vt:variant>
        <vt:i4>6029317</vt:i4>
      </vt:variant>
      <vt:variant>
        <vt:i4>30</vt:i4>
      </vt:variant>
      <vt:variant>
        <vt:i4>0</vt:i4>
      </vt:variant>
      <vt:variant>
        <vt:i4>5</vt:i4>
      </vt:variant>
      <vt:variant>
        <vt:lpwstr>https://www.water.vic.gov.au/water-for-agriculture/taking-and-using-water/compliance-reports/water-compliance-report-2020-21</vt:lpwstr>
      </vt:variant>
      <vt:variant>
        <vt:lpwstr/>
      </vt:variant>
      <vt:variant>
        <vt:i4>2687062</vt:i4>
      </vt:variant>
      <vt:variant>
        <vt:i4>27</vt:i4>
      </vt:variant>
      <vt:variant>
        <vt:i4>0</vt:i4>
      </vt:variant>
      <vt:variant>
        <vt:i4>5</vt:i4>
      </vt:variant>
      <vt:variant>
        <vt:lpwstr>https://www.industry.nsw.gov.au/__data/assets/pdf_file/0006/509478/nsw-government-response-to-select-committee-on-floodplain-harvestings-report.pdf</vt:lpwstr>
      </vt:variant>
      <vt:variant>
        <vt:lpwstr/>
      </vt:variant>
      <vt:variant>
        <vt:i4>3539005</vt:i4>
      </vt:variant>
      <vt:variant>
        <vt:i4>24</vt:i4>
      </vt:variant>
      <vt:variant>
        <vt:i4>0</vt:i4>
      </vt:variant>
      <vt:variant>
        <vt:i4>5</vt:i4>
      </vt:variant>
      <vt:variant>
        <vt:lpwstr>https://www.nrar.nsw.gov.au/progress-and-outcomes/progress-reports</vt:lpwstr>
      </vt:variant>
      <vt:variant>
        <vt:lpwstr/>
      </vt:variant>
      <vt:variant>
        <vt:i4>5177438</vt:i4>
      </vt:variant>
      <vt:variant>
        <vt:i4>21</vt:i4>
      </vt:variant>
      <vt:variant>
        <vt:i4>0</vt:i4>
      </vt:variant>
      <vt:variant>
        <vt:i4>5</vt:i4>
      </vt:variant>
      <vt:variant>
        <vt:lpwstr>https://www.nrar.nsw.gov.au/progress-and-outcomes/public-register</vt:lpwstr>
      </vt:variant>
      <vt:variant>
        <vt:lpwstr/>
      </vt:variant>
      <vt:variant>
        <vt:i4>1507333</vt:i4>
      </vt:variant>
      <vt:variant>
        <vt:i4>18</vt:i4>
      </vt:variant>
      <vt:variant>
        <vt:i4>0</vt:i4>
      </vt:variant>
      <vt:variant>
        <vt:i4>5</vt:i4>
      </vt:variant>
      <vt:variant>
        <vt:lpwstr>https://www.nrar.nsw.gov.au/progress-and-outcomes/qrt-reports</vt:lpwstr>
      </vt:variant>
      <vt:variant>
        <vt:lpwstr/>
      </vt:variant>
      <vt:variant>
        <vt:i4>3538948</vt:i4>
      </vt:variant>
      <vt:variant>
        <vt:i4>15</vt:i4>
      </vt:variant>
      <vt:variant>
        <vt:i4>0</vt:i4>
      </vt:variant>
      <vt:variant>
        <vt:i4>5</vt:i4>
      </vt:variant>
      <vt:variant>
        <vt:lpwstr>https://www.nrar.nsw.gov.au/__data/assets/pdf_file/0006/477015/NRAR-progress-report-2020-21.pdf</vt:lpwstr>
      </vt:variant>
      <vt:variant>
        <vt:lpwstr/>
      </vt:variant>
      <vt:variant>
        <vt:i4>6357000</vt:i4>
      </vt:variant>
      <vt:variant>
        <vt:i4>12</vt:i4>
      </vt:variant>
      <vt:variant>
        <vt:i4>0</vt:i4>
      </vt:variant>
      <vt:variant>
        <vt:i4>5</vt:i4>
      </vt:variant>
      <vt:variant>
        <vt:lpwstr>\\act001cl08fs01\home2$\KL0033\My Documents\Pearson Review\State background documents\MDBA\2017 MDB-Compliance-Review-Final-Report.pdf</vt:lpwstr>
      </vt:variant>
      <vt:variant>
        <vt:lpwstr/>
      </vt:variant>
      <vt:variant>
        <vt:i4>1114153</vt:i4>
      </vt:variant>
      <vt:variant>
        <vt:i4>9</vt:i4>
      </vt:variant>
      <vt:variant>
        <vt:i4>0</vt:i4>
      </vt:variant>
      <vt:variant>
        <vt:i4>5</vt:i4>
      </vt:variant>
      <vt:variant>
        <vt:lpwstr>https://www.industry.nsw.gov.au/__data/assets/pdf_file/0018/212517/NRAR-regulatory-framework.pdf</vt:lpwstr>
      </vt:variant>
      <vt:variant>
        <vt:lpwstr/>
      </vt:variant>
      <vt:variant>
        <vt:i4>8257659</vt:i4>
      </vt:variant>
      <vt:variant>
        <vt:i4>6</vt:i4>
      </vt:variant>
      <vt:variant>
        <vt:i4>0</vt:i4>
      </vt:variant>
      <vt:variant>
        <vt:i4>5</vt:i4>
      </vt:variant>
      <vt:variant>
        <vt:lpwstr>https://www.nrar.nsw.gov.au/news/satellite-imagery-reveals-extent-of-illegal-water-take-on-farm</vt:lpwstr>
      </vt:variant>
      <vt:variant>
        <vt:lpwstr/>
      </vt:variant>
      <vt:variant>
        <vt:i4>4653074</vt:i4>
      </vt:variant>
      <vt:variant>
        <vt:i4>3</vt:i4>
      </vt:variant>
      <vt:variant>
        <vt:i4>0</vt:i4>
      </vt:variant>
      <vt:variant>
        <vt:i4>5</vt:i4>
      </vt:variant>
      <vt:variant>
        <vt:lpwstr>https://www.mdba.gov.au/sites/default/files/pubs/murray-darling-basin-compliance-compact-2021.pdf</vt:lpwstr>
      </vt:variant>
      <vt:variant>
        <vt:lpwstr/>
      </vt:variant>
      <vt:variant>
        <vt:i4>4653074</vt:i4>
      </vt:variant>
      <vt:variant>
        <vt:i4>0</vt:i4>
      </vt:variant>
      <vt:variant>
        <vt:i4>0</vt:i4>
      </vt:variant>
      <vt:variant>
        <vt:i4>5</vt:i4>
      </vt:variant>
      <vt:variant>
        <vt:lpwstr>https://www.mdba.gov.au/sites/default/files/pubs/murray-darling-basin-compliance-compact-2021.pdf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Compliance and enforcement across the Murray-Darling Basin</dc:title>
  <dc:subject/>
  <dc:creator>Inspector-General of Water Compliance</dc:creator>
  <cp:keywords/>
  <dc:description/>
  <cp:lastModifiedBy>Nguyen, Lien</cp:lastModifiedBy>
  <cp:revision>15</cp:revision>
  <cp:lastPrinted>2022-08-24T04:25:00Z</cp:lastPrinted>
  <dcterms:created xsi:type="dcterms:W3CDTF">2022-08-23T01:41:00Z</dcterms:created>
  <dcterms:modified xsi:type="dcterms:W3CDTF">2022-08-24T06:54:00Z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0x0101005E877A30B9FA9846A0B280707C655231</vt:lpwstr>
  </property>
</Properties>
</file>