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B3CA6" w14:textId="612D53C4" w:rsidR="00C508B3" w:rsidRDefault="00577F04" w:rsidP="0041282B">
      <w:pPr>
        <w:spacing w:after="1080"/>
      </w:pPr>
      <w:r w:rsidRPr="003A6733">
        <w:rPr>
          <w:noProof/>
        </w:rPr>
        <w:drawing>
          <wp:anchor distT="0" distB="0" distL="114300" distR="114300" simplePos="0" relativeHeight="251659264" behindDoc="1" locked="0" layoutInCell="1" allowOverlap="1" wp14:anchorId="0412D461" wp14:editId="751DEBBF">
            <wp:simplePos x="0" y="0"/>
            <wp:positionH relativeFrom="column">
              <wp:posOffset>-694509</wp:posOffset>
            </wp:positionH>
            <wp:positionV relativeFrom="paragraph">
              <wp:posOffset>-923107</wp:posOffset>
            </wp:positionV>
            <wp:extent cx="7597588" cy="10751544"/>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7"/>
                    <a:stretch>
                      <a:fillRect/>
                    </a:stretch>
                  </pic:blipFill>
                  <pic:spPr>
                    <a:xfrm>
                      <a:off x="0" y="0"/>
                      <a:ext cx="7597588" cy="10751544"/>
                    </a:xfrm>
                    <a:prstGeom prst="rect">
                      <a:avLst/>
                    </a:prstGeom>
                  </pic:spPr>
                </pic:pic>
              </a:graphicData>
            </a:graphic>
            <wp14:sizeRelH relativeFrom="page">
              <wp14:pctWidth>0</wp14:pctWidth>
            </wp14:sizeRelH>
            <wp14:sizeRelV relativeFrom="page">
              <wp14:pctHeight>0</wp14:pctHeight>
            </wp14:sizeRelV>
          </wp:anchor>
        </w:drawing>
      </w:r>
      <w:r w:rsidR="00C508B3">
        <w:rPr>
          <w:noProof/>
        </w:rPr>
        <w:drawing>
          <wp:inline distT="0" distB="0" distL="0" distR="0" wp14:anchorId="66DB3A9E" wp14:editId="420DBD97">
            <wp:extent cx="4118317" cy="963215"/>
            <wp:effectExtent l="0" t="0" r="0" b="2540"/>
            <wp:docPr id="1" name="Picture 1" descr="Australian Government crest and Inspector-General of Water Compliance logo lo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crest and Inspector-General of Water Compliance logo lockup"/>
                    <pic:cNvPicPr/>
                  </pic:nvPicPr>
                  <pic:blipFill>
                    <a:blip r:embed="rId8"/>
                    <a:stretch>
                      <a:fillRect/>
                    </a:stretch>
                  </pic:blipFill>
                  <pic:spPr>
                    <a:xfrm>
                      <a:off x="0" y="0"/>
                      <a:ext cx="4118317" cy="963215"/>
                    </a:xfrm>
                    <a:prstGeom prst="rect">
                      <a:avLst/>
                    </a:prstGeom>
                  </pic:spPr>
                </pic:pic>
              </a:graphicData>
            </a:graphic>
          </wp:inline>
        </w:drawing>
      </w:r>
    </w:p>
    <w:p w14:paraId="7A1EE6D4" w14:textId="539BA0FF" w:rsidR="002258A3" w:rsidRPr="00C46C8C" w:rsidRDefault="00C46C8C" w:rsidP="0041282B">
      <w:pPr>
        <w:pStyle w:val="Heading1"/>
      </w:pPr>
      <w:r>
        <w:t xml:space="preserve">Sustainable </w:t>
      </w:r>
      <w:r w:rsidRPr="0041282B">
        <w:t>Diversion</w:t>
      </w:r>
      <w:r>
        <w:t xml:space="preserve"> </w:t>
      </w:r>
      <w:r>
        <w:br/>
        <w:t>Limit Compliance</w:t>
      </w:r>
      <w:r>
        <w:br/>
        <w:t>Frequently Asked Questions</w:t>
      </w:r>
      <w:r w:rsidR="00832172">
        <w:rPr>
          <w:lang w:eastAsia="en-US"/>
        </w:rPr>
        <w:br w:type="page"/>
      </w:r>
    </w:p>
    <w:p w14:paraId="6122A1E1" w14:textId="22E8AFF1" w:rsidR="008B6B1F" w:rsidRPr="007956BB" w:rsidRDefault="008B6B1F" w:rsidP="008B6B1F">
      <w:pPr>
        <w:pStyle w:val="Heading2"/>
      </w:pPr>
      <w:bookmarkStart w:id="0" w:name="_Toc109915789"/>
      <w:r w:rsidRPr="007956BB">
        <w:lastRenderedPageBreak/>
        <w:t>Why is N</w:t>
      </w:r>
      <w:r w:rsidR="00ED755C">
        <w:t xml:space="preserve">ew South </w:t>
      </w:r>
      <w:r w:rsidRPr="007956BB">
        <w:t>W</w:t>
      </w:r>
      <w:r w:rsidR="00ED755C">
        <w:t>ales (NSW)</w:t>
      </w:r>
      <w:r w:rsidRPr="007956BB">
        <w:t xml:space="preserve"> not subject to SDL compliance, like the other Basin States?</w:t>
      </w:r>
      <w:bookmarkEnd w:id="0"/>
    </w:p>
    <w:p w14:paraId="08A92B0E" w14:textId="4FE84B5A" w:rsidR="008B6B1F" w:rsidRPr="00A735AC" w:rsidRDefault="008B6B1F" w:rsidP="008B6B1F">
      <w:pPr>
        <w:rPr>
          <w:rFonts w:eastAsia="Times New Roman"/>
        </w:rPr>
      </w:pPr>
      <w:r>
        <w:rPr>
          <w:rFonts w:eastAsia="Times New Roman"/>
        </w:rPr>
        <w:t xml:space="preserve">One requirement of an accredited water resource plan is to describe the water accounting methods that enable </w:t>
      </w:r>
      <w:r w:rsidR="00ED755C">
        <w:rPr>
          <w:rFonts w:eastAsia="Times New Roman"/>
        </w:rPr>
        <w:t xml:space="preserve">Sustainable Diversion Limit </w:t>
      </w:r>
      <w:r w:rsidR="00ED755C">
        <w:rPr>
          <w:rFonts w:eastAsia="Times New Roman"/>
        </w:rPr>
        <w:t>(</w:t>
      </w:r>
      <w:r>
        <w:rPr>
          <w:rFonts w:eastAsia="Times New Roman"/>
        </w:rPr>
        <w:t>SDL</w:t>
      </w:r>
      <w:r w:rsidR="00ED755C">
        <w:rPr>
          <w:rFonts w:eastAsia="Times New Roman"/>
        </w:rPr>
        <w:t>)</w:t>
      </w:r>
      <w:r>
        <w:rPr>
          <w:rFonts w:eastAsia="Times New Roman"/>
        </w:rPr>
        <w:t xml:space="preserve"> accounting and the creation of the ‘</w:t>
      </w:r>
      <w:r w:rsidRPr="00A735AC">
        <w:rPr>
          <w:rFonts w:eastAsia="Times New Roman"/>
          <w:i/>
          <w:iCs/>
        </w:rPr>
        <w:t>Register of take</w:t>
      </w:r>
      <w:r>
        <w:rPr>
          <w:rFonts w:eastAsia="Times New Roman"/>
          <w:i/>
          <w:iCs/>
        </w:rPr>
        <w:t>’</w:t>
      </w:r>
      <w:r>
        <w:rPr>
          <w:rFonts w:eastAsia="Times New Roman"/>
          <w:b/>
          <w:bCs/>
          <w:i/>
          <w:iCs/>
        </w:rPr>
        <w:t xml:space="preserve"> </w:t>
      </w:r>
      <w:r>
        <w:rPr>
          <w:rFonts w:eastAsia="Times New Roman"/>
        </w:rPr>
        <w:t>for an SDL resource unit.</w:t>
      </w:r>
    </w:p>
    <w:p w14:paraId="14CEA3AA" w14:textId="77777777" w:rsidR="00ED755C" w:rsidRDefault="00ED755C" w:rsidP="00ED755C">
      <w:pPr>
        <w:rPr>
          <w:rFonts w:eastAsia="Times New Roman"/>
        </w:rPr>
      </w:pPr>
      <w:r>
        <w:rPr>
          <w:rFonts w:eastAsia="Times New Roman"/>
        </w:rPr>
        <w:t>For SDL compliance to be assessed under the Basin Plan, an accredited water resource plan must exist. The Inspector-General uses information from the Registers of take, established and maintained by the Murray-Darling Basin Authority (MDBA), to inform SDL compliance.</w:t>
      </w:r>
    </w:p>
    <w:p w14:paraId="56697325" w14:textId="77777777" w:rsidR="00ED755C" w:rsidRDefault="00ED755C" w:rsidP="00ED755C">
      <w:pPr>
        <w:rPr>
          <w:rFonts w:eastAsia="Times New Roman"/>
        </w:rPr>
      </w:pPr>
      <w:r w:rsidRPr="00C23C27">
        <w:rPr>
          <w:rFonts w:eastAsia="Times New Roman"/>
        </w:rPr>
        <w:t xml:space="preserve">As NSW </w:t>
      </w:r>
      <w:r>
        <w:rPr>
          <w:rFonts w:eastAsia="Times New Roman"/>
        </w:rPr>
        <w:t xml:space="preserve">currently </w:t>
      </w:r>
      <w:r w:rsidRPr="00C23C27">
        <w:rPr>
          <w:rFonts w:eastAsia="Times New Roman"/>
        </w:rPr>
        <w:t xml:space="preserve">do not have any </w:t>
      </w:r>
      <w:r>
        <w:rPr>
          <w:rFonts w:eastAsia="Times New Roman"/>
        </w:rPr>
        <w:t>accredited water resource plans</w:t>
      </w:r>
      <w:r w:rsidRPr="00C23C27">
        <w:rPr>
          <w:rFonts w:eastAsia="Times New Roman"/>
        </w:rPr>
        <w:t xml:space="preserve">, </w:t>
      </w:r>
      <w:r>
        <w:rPr>
          <w:rFonts w:eastAsia="Times New Roman"/>
        </w:rPr>
        <w:t xml:space="preserve">there is no legally agreed method that can be used to calculate their </w:t>
      </w:r>
      <w:r w:rsidRPr="00C23C27">
        <w:rPr>
          <w:rFonts w:eastAsia="Times New Roman"/>
        </w:rPr>
        <w:t>SDL</w:t>
      </w:r>
      <w:r>
        <w:rPr>
          <w:rFonts w:eastAsia="Times New Roman"/>
        </w:rPr>
        <w:t xml:space="preserve"> compliance under the law of the Basin Plan</w:t>
      </w:r>
      <w:r w:rsidRPr="00C23C27">
        <w:rPr>
          <w:rFonts w:eastAsia="Times New Roman"/>
        </w:rPr>
        <w:t>.</w:t>
      </w:r>
    </w:p>
    <w:p w14:paraId="6E21318A" w14:textId="57FBE7AE" w:rsidR="008B6B1F" w:rsidRDefault="00ED755C" w:rsidP="008B6B1F">
      <w:pPr>
        <w:rPr>
          <w:rFonts w:eastAsia="Times New Roman"/>
        </w:rPr>
      </w:pPr>
      <w:r w:rsidRPr="00C23C27">
        <w:rPr>
          <w:rFonts w:eastAsia="Times New Roman"/>
        </w:rPr>
        <w:t xml:space="preserve">All other Basin </w:t>
      </w:r>
      <w:r>
        <w:rPr>
          <w:rFonts w:eastAsia="Times New Roman"/>
        </w:rPr>
        <w:t>S</w:t>
      </w:r>
      <w:r w:rsidRPr="00C23C27">
        <w:rPr>
          <w:rFonts w:eastAsia="Times New Roman"/>
        </w:rPr>
        <w:t xml:space="preserve">tates </w:t>
      </w:r>
      <w:r>
        <w:rPr>
          <w:rFonts w:eastAsia="Times New Roman"/>
        </w:rPr>
        <w:t>had accredited and operating w</w:t>
      </w:r>
      <w:r w:rsidRPr="00C23C27">
        <w:rPr>
          <w:rFonts w:eastAsia="Times New Roman"/>
        </w:rPr>
        <w:t xml:space="preserve">ater </w:t>
      </w:r>
      <w:r>
        <w:rPr>
          <w:rFonts w:eastAsia="Times New Roman"/>
        </w:rPr>
        <w:t>r</w:t>
      </w:r>
      <w:r w:rsidRPr="00C23C27">
        <w:rPr>
          <w:rFonts w:eastAsia="Times New Roman"/>
        </w:rPr>
        <w:t xml:space="preserve">esource </w:t>
      </w:r>
      <w:r>
        <w:rPr>
          <w:rFonts w:eastAsia="Times New Roman"/>
        </w:rPr>
        <w:t>p</w:t>
      </w:r>
      <w:r w:rsidRPr="00C23C27">
        <w:rPr>
          <w:rFonts w:eastAsia="Times New Roman"/>
        </w:rPr>
        <w:t xml:space="preserve">lans </w:t>
      </w:r>
      <w:r>
        <w:rPr>
          <w:rFonts w:eastAsia="Times New Roman"/>
        </w:rPr>
        <w:t xml:space="preserve">on 1 July 2020 for the </w:t>
      </w:r>
      <w:r w:rsidRPr="00C23C27">
        <w:rPr>
          <w:rFonts w:eastAsia="Times New Roman"/>
        </w:rPr>
        <w:t>2020</w:t>
      </w:r>
      <w:r>
        <w:rPr>
          <w:rFonts w:eastAsia="Times New Roman"/>
        </w:rPr>
        <w:t>–</w:t>
      </w:r>
      <w:r w:rsidRPr="00C23C27">
        <w:rPr>
          <w:rFonts w:eastAsia="Times New Roman"/>
        </w:rPr>
        <w:t>21 water year</w:t>
      </w:r>
      <w:r>
        <w:rPr>
          <w:rFonts w:eastAsia="Times New Roman"/>
        </w:rPr>
        <w:t xml:space="preserve"> and were able to provide information for the Registers of take, as required by the Basin Plan, and were subject to SDL compliance</w:t>
      </w:r>
      <w:r w:rsidR="008B6B1F">
        <w:rPr>
          <w:rFonts w:eastAsia="Times New Roman"/>
        </w:rPr>
        <w:t>.</w:t>
      </w:r>
    </w:p>
    <w:p w14:paraId="0A7671BF" w14:textId="7456C325" w:rsidR="008B6B1F" w:rsidRPr="007956BB" w:rsidRDefault="008B6B1F" w:rsidP="008B6B1F">
      <w:pPr>
        <w:pStyle w:val="Heading2"/>
      </w:pPr>
      <w:bookmarkStart w:id="1" w:name="_Toc109915790"/>
      <w:r>
        <w:t>H</w:t>
      </w:r>
      <w:r w:rsidRPr="007956BB">
        <w:t>ow is NSW managing the water if they do not have water resource plans?</w:t>
      </w:r>
      <w:bookmarkEnd w:id="1"/>
    </w:p>
    <w:p w14:paraId="7CF6748A" w14:textId="3F8953BC" w:rsidR="008B6B1F" w:rsidRDefault="008B6B1F" w:rsidP="008B6B1F">
      <w:r>
        <w:t xml:space="preserve">NSW has </w:t>
      </w:r>
      <w:r w:rsidRPr="00A57259">
        <w:t xml:space="preserve">water </w:t>
      </w:r>
      <w:r>
        <w:t>s</w:t>
      </w:r>
      <w:r w:rsidRPr="00A57259">
        <w:t xml:space="preserve">haring </w:t>
      </w:r>
      <w:r>
        <w:t>p</w:t>
      </w:r>
      <w:r w:rsidRPr="00A57259">
        <w:t>lans</w:t>
      </w:r>
      <w:r>
        <w:t xml:space="preserve">, which set the rules under NSW legislation to manage NSW water resources, including how water is allocated based on water availability. </w:t>
      </w:r>
      <w:r w:rsidDel="00D621FA">
        <w:t>Water sharing plans are enforced by NSW.</w:t>
      </w:r>
      <w:r>
        <w:t xml:space="preserve"> This includes individual water user compliance as well as compliance with the NSW long term average annual extraction limits. </w:t>
      </w:r>
    </w:p>
    <w:p w14:paraId="15E1CF44" w14:textId="125E1F5A" w:rsidR="008B6B1F" w:rsidRDefault="008B6B1F" w:rsidP="008B6B1F">
      <w:r>
        <w:t xml:space="preserve">Unlike accredited water resource plans, NSW water sharing plans do not include all the requirements to meet the objectives of the Basin Plan. Water resource plans go through an accreditation process, to </w:t>
      </w:r>
      <w:r w:rsidRPr="00A57259">
        <w:t>verif</w:t>
      </w:r>
      <w:r>
        <w:t xml:space="preserve">y that </w:t>
      </w:r>
      <w:r w:rsidRPr="00A57259">
        <w:t>B</w:t>
      </w:r>
      <w:r>
        <w:t xml:space="preserve">asin </w:t>
      </w:r>
      <w:r w:rsidRPr="00A57259">
        <w:t>P</w:t>
      </w:r>
      <w:r>
        <w:t>lan</w:t>
      </w:r>
      <w:r w:rsidRPr="00A57259">
        <w:t xml:space="preserve"> requirements</w:t>
      </w:r>
      <w:r>
        <w:t xml:space="preserve"> and objectives are met. Water resource plans are accredited by the Federal Minister, on recommendation by the MDBA and are enforced by the Inspector-General.</w:t>
      </w:r>
    </w:p>
    <w:p w14:paraId="12D9245F" w14:textId="3FE5812F" w:rsidR="008B6B1F" w:rsidRDefault="008B6B1F" w:rsidP="008B6B1F">
      <w:r>
        <w:t>Under the Murray-Darling Basin Agreement, NSW also reports annually to the MDBA on compliance with the Murray-Darling Basin Cap on diversions.</w:t>
      </w:r>
    </w:p>
    <w:p w14:paraId="2F54FA9F" w14:textId="6299B878" w:rsidR="008B6B1F" w:rsidRPr="007956BB" w:rsidRDefault="008B6B1F" w:rsidP="008B6B1F">
      <w:pPr>
        <w:pStyle w:val="Heading2"/>
      </w:pPr>
      <w:bookmarkStart w:id="2" w:name="_Toc109915791"/>
      <w:r w:rsidRPr="007956BB">
        <w:t>Is the Inspector-General suggesting NSW water users are doing something wrong</w:t>
      </w:r>
      <w:r>
        <w:t xml:space="preserve"> as they have not been assessed for SDL compliance</w:t>
      </w:r>
      <w:r w:rsidRPr="007956BB">
        <w:t>?</w:t>
      </w:r>
      <w:bookmarkEnd w:id="2"/>
    </w:p>
    <w:p w14:paraId="6A1F82BF" w14:textId="3E46CFFA" w:rsidR="008B6B1F" w:rsidRDefault="008B6B1F" w:rsidP="008B6B1F">
      <w:r>
        <w:t xml:space="preserve">No, SDLs are not about assessing individual water users’ compliance. Rather, SDL compliance considers the overall management of take from both surface and groundwater at </w:t>
      </w:r>
      <w:proofErr w:type="gramStart"/>
      <w:r>
        <w:t>a</w:t>
      </w:r>
      <w:proofErr w:type="gramEnd"/>
      <w:r>
        <w:t xml:space="preserve"> SDL resource unit level. SDLs reflect the collective consumptive water use, including i</w:t>
      </w:r>
      <w:r w:rsidRPr="00A51022">
        <w:t>rrigat</w:t>
      </w:r>
      <w:r>
        <w:t>ion</w:t>
      </w:r>
      <w:r w:rsidRPr="00A51022">
        <w:t>, town water supply, run-off dams</w:t>
      </w:r>
      <w:r>
        <w:t xml:space="preserve"> and</w:t>
      </w:r>
      <w:r w:rsidRPr="00A51022">
        <w:t xml:space="preserve"> commercial plantations.</w:t>
      </w:r>
      <w:r>
        <w:t xml:space="preserve"> </w:t>
      </w:r>
    </w:p>
    <w:p w14:paraId="55E7C32F" w14:textId="5CC084A2" w:rsidR="008B6B1F" w:rsidRDefault="008B6B1F" w:rsidP="008B6B1F">
      <w:r>
        <w:t>Water access right holders are lawfully able to take water within the conditions of their water access entitlements. Once a water resource plan is accredited, it is the responsibility of Basin States to manage water use within the SDL.</w:t>
      </w:r>
    </w:p>
    <w:p w14:paraId="60AD2F4A" w14:textId="77777777" w:rsidR="008B6B1F" w:rsidRDefault="008B6B1F">
      <w:pPr>
        <w:suppressAutoHyphens w:val="0"/>
        <w:spacing w:before="0" w:after="0" w:line="240" w:lineRule="auto"/>
      </w:pPr>
      <w:r>
        <w:br w:type="page"/>
      </w:r>
    </w:p>
    <w:p w14:paraId="3737CE32" w14:textId="0EFB5BA0" w:rsidR="008B6B1F" w:rsidRPr="007956BB" w:rsidRDefault="008B6B1F" w:rsidP="008B6B1F">
      <w:pPr>
        <w:pStyle w:val="Heading2"/>
      </w:pPr>
      <w:bookmarkStart w:id="3" w:name="_Toc109915792"/>
      <w:r w:rsidRPr="007956BB">
        <w:lastRenderedPageBreak/>
        <w:t>What is a reasonable excuse and how is it assessed?</w:t>
      </w:r>
      <w:bookmarkEnd w:id="3"/>
    </w:p>
    <w:p w14:paraId="2C9B0BFC" w14:textId="77777777" w:rsidR="00ED755C" w:rsidRDefault="00ED755C" w:rsidP="00ED755C">
      <w:r>
        <w:t xml:space="preserve">When an </w:t>
      </w:r>
      <w:r w:rsidRPr="00244F4E">
        <w:t xml:space="preserve">SDL compliance trigger has been </w:t>
      </w:r>
      <w:r>
        <w:t xml:space="preserve">reached or </w:t>
      </w:r>
      <w:r w:rsidRPr="00244F4E">
        <w:t>exceeded</w:t>
      </w:r>
      <w:r>
        <w:t xml:space="preserve">, a Basin State may choose to provide a ‘reasonable excuse’ report explaining the reasons for the SDL exceedance to remain compliant. </w:t>
      </w:r>
      <w:r w:rsidRPr="00A836B1">
        <w:t xml:space="preserve">Basin </w:t>
      </w:r>
      <w:r>
        <w:t>S</w:t>
      </w:r>
      <w:r w:rsidRPr="00A836B1">
        <w:t xml:space="preserve">tates </w:t>
      </w:r>
      <w:r>
        <w:t xml:space="preserve">must provide this report </w:t>
      </w:r>
      <w:r w:rsidRPr="00A836B1">
        <w:t>to the MDBA and the Inspector-General</w:t>
      </w:r>
      <w:r>
        <w:t>.</w:t>
      </w:r>
    </w:p>
    <w:p w14:paraId="53278F59" w14:textId="77777777" w:rsidR="00ED755C" w:rsidRDefault="00ED755C" w:rsidP="00ED755C">
      <w:r>
        <w:t>The reasonable excuse report must include ‘make good’ actions that will address the reason for the SDL exceedance in a timely manner.</w:t>
      </w:r>
    </w:p>
    <w:p w14:paraId="2FB32A24" w14:textId="77777777" w:rsidR="00ED755C" w:rsidRDefault="00ED755C" w:rsidP="00ED755C">
      <w:r>
        <w:t>The Inspector-General assesses reasonable excuse reports from Basin States. Reasonable excuses may vary due to the difference in water management rules between water resource plan areas, Basin States, specific water resources (surface water or groundwater) and the models or methods used to calculate and manage water use. It might also occur for circumstances beyond a Basin States control.</w:t>
      </w:r>
    </w:p>
    <w:p w14:paraId="550004A4" w14:textId="68A01231" w:rsidR="008B6B1F" w:rsidRDefault="008B6B1F" w:rsidP="008B6B1F">
      <w:r>
        <w:t xml:space="preserve">More detail is available in the </w:t>
      </w:r>
      <w:hyperlink r:id="rId9" w:history="1">
        <w:r w:rsidRPr="00F00620">
          <w:rPr>
            <w:rStyle w:val="Hyperlink"/>
          </w:rPr>
          <w:t>Sustainable Diversion Limit Reporting and Compliance Framework</w:t>
        </w:r>
      </w:hyperlink>
      <w:r w:rsidRPr="0052467F">
        <w:t xml:space="preserve"> dated November 2018 and published on the MDBA website</w:t>
      </w:r>
      <w:r>
        <w:t>. To note, the MDBA’s framework will be updated to reflect the separation of the SDL compliance role, since the establishment of the Inspector-General. The Inspector-General intends to develop a separate SDL compliance framework to reflect the compliance role.</w:t>
      </w:r>
    </w:p>
    <w:p w14:paraId="7CBEF3B2" w14:textId="249319B0" w:rsidR="008B6B1F" w:rsidRDefault="008B6B1F" w:rsidP="008B6B1F">
      <w:r>
        <w:t xml:space="preserve">NSW provided a </w:t>
      </w:r>
      <w:hyperlink r:id="rId10" w:history="1">
        <w:r w:rsidRPr="00D3459B">
          <w:rPr>
            <w:rStyle w:val="Hyperlink"/>
          </w:rPr>
          <w:t>reasonable excuse report</w:t>
        </w:r>
      </w:hyperlink>
      <w:r>
        <w:t xml:space="preserve"> to the Inspector-General of Water compliance relating to the Barwon-Darling for the 2020–21 water year. The Inspector-General was unable to legally consider or respond to the report. The report was published by NSW Department of Planning &amp; Environment in June 2022.</w:t>
      </w:r>
    </w:p>
    <w:p w14:paraId="4497F7FD" w14:textId="7A96F75A" w:rsidR="008B6B1F" w:rsidRPr="00B25356" w:rsidRDefault="008B6B1F" w:rsidP="008B6B1F">
      <w:pPr>
        <w:pStyle w:val="Heading2"/>
      </w:pPr>
      <w:bookmarkStart w:id="4" w:name="_Toc109915793"/>
      <w:r w:rsidRPr="00B25356">
        <w:t>Where does the water accounts data come from, and can it be trusted?</w:t>
      </w:r>
      <w:bookmarkEnd w:id="4"/>
      <w:r w:rsidRPr="00B25356">
        <w:t xml:space="preserve"> </w:t>
      </w:r>
    </w:p>
    <w:p w14:paraId="23AF7496" w14:textId="77777777" w:rsidR="00ED755C" w:rsidRDefault="00ED755C" w:rsidP="00ED755C">
      <w:bookmarkStart w:id="5" w:name="_Toc109915794"/>
      <w:r w:rsidRPr="00586CEF">
        <w:t xml:space="preserve">Water account </w:t>
      </w:r>
      <w:r>
        <w:t>data</w:t>
      </w:r>
      <w:r w:rsidRPr="00586CEF">
        <w:t xml:space="preserve"> is submitted by the Basin </w:t>
      </w:r>
      <w:r>
        <w:t>S</w:t>
      </w:r>
      <w:r w:rsidRPr="00586CEF">
        <w:t xml:space="preserve">tates as </w:t>
      </w:r>
      <w:r>
        <w:t xml:space="preserve">required under </w:t>
      </w:r>
      <w:r w:rsidRPr="00586CEF">
        <w:t xml:space="preserve">section 71 </w:t>
      </w:r>
      <w:r>
        <w:t xml:space="preserve">of the Commonwealth </w:t>
      </w:r>
      <w:r w:rsidRPr="00586CEF">
        <w:t>Water Act</w:t>
      </w:r>
      <w:r>
        <w:t xml:space="preserve"> 2007. This information is due four months after the end of the water accounting year i.e., 30 June, which means submission is due on 31 October annually</w:t>
      </w:r>
      <w:r w:rsidRPr="00586CEF">
        <w:t xml:space="preserve">. </w:t>
      </w:r>
      <w:r>
        <w:t>Although Basin States can seek an extension from the MDBA.</w:t>
      </w:r>
    </w:p>
    <w:p w14:paraId="1D185A5D" w14:textId="77777777" w:rsidR="00ED755C" w:rsidRPr="00680F1C" w:rsidRDefault="00ED755C" w:rsidP="00ED755C">
      <w:r>
        <w:t xml:space="preserve">Basin States source the Section 71 data from several different resources including </w:t>
      </w:r>
      <w:r w:rsidRPr="00586CEF">
        <w:t xml:space="preserve">water licensing systems, </w:t>
      </w:r>
      <w:r>
        <w:t xml:space="preserve">water resource monitoring </w:t>
      </w:r>
      <w:r w:rsidRPr="00586CEF">
        <w:t>gaug</w:t>
      </w:r>
      <w:r>
        <w:t>ing</w:t>
      </w:r>
      <w:r w:rsidRPr="00586CEF">
        <w:t xml:space="preserve"> stations</w:t>
      </w:r>
      <w:r>
        <w:t>,</w:t>
      </w:r>
      <w:r w:rsidRPr="00586CEF">
        <w:t xml:space="preserve"> </w:t>
      </w:r>
      <w:r>
        <w:t>hydrological</w:t>
      </w:r>
      <w:r w:rsidRPr="00586CEF">
        <w:t xml:space="preserve"> models</w:t>
      </w:r>
      <w:r>
        <w:t>, and other methods as necessary.</w:t>
      </w:r>
    </w:p>
    <w:p w14:paraId="4A4F5A48" w14:textId="77777777" w:rsidR="00ED755C" w:rsidRPr="00680F1C" w:rsidRDefault="00ED755C" w:rsidP="00ED755C">
      <w:r>
        <w:t>When submitting the Section 71 data,</w:t>
      </w:r>
      <w:r w:rsidRPr="00680F1C">
        <w:t xml:space="preserve"> Basin </w:t>
      </w:r>
      <w:r>
        <w:t>S</w:t>
      </w:r>
      <w:r w:rsidRPr="00680F1C">
        <w:t>tate</w:t>
      </w:r>
      <w:r>
        <w:t>s</w:t>
      </w:r>
      <w:r w:rsidRPr="00680F1C">
        <w:t xml:space="preserve"> </w:t>
      </w:r>
      <w:r>
        <w:t>provide a declaration of accuracy</w:t>
      </w:r>
      <w:r w:rsidRPr="00680F1C">
        <w:t xml:space="preserve"> </w:t>
      </w:r>
      <w:r>
        <w:t>of the data. T</w:t>
      </w:r>
      <w:r w:rsidRPr="00586CEF">
        <w:t xml:space="preserve">he MDBA </w:t>
      </w:r>
      <w:r>
        <w:t xml:space="preserve">then </w:t>
      </w:r>
      <w:r w:rsidRPr="00586CEF">
        <w:t>undertakes a quality assurance check on the data and collates the information onto the Registers of take.</w:t>
      </w:r>
    </w:p>
    <w:p w14:paraId="71679EA3" w14:textId="5AA41BD8" w:rsidR="008B6B1F" w:rsidRPr="00B25356" w:rsidRDefault="008B6B1F" w:rsidP="008B6B1F">
      <w:pPr>
        <w:pStyle w:val="Heading2"/>
      </w:pPr>
      <w:r w:rsidRPr="00B25356">
        <w:t xml:space="preserve">What does it mean when </w:t>
      </w:r>
      <w:r>
        <w:t>a</w:t>
      </w:r>
      <w:r w:rsidRPr="00B25356">
        <w:t xml:space="preserve"> register of take is set to zero?</w:t>
      </w:r>
      <w:bookmarkEnd w:id="5"/>
    </w:p>
    <w:p w14:paraId="2F3DD01F" w14:textId="64CD10BF" w:rsidR="008B6B1F" w:rsidRDefault="008B6B1F" w:rsidP="008B6B1F">
      <w:r>
        <w:rPr>
          <w:rFonts w:eastAsia="Times New Roman"/>
        </w:rPr>
        <w:t>The SDL cumulative balance is required to be set at zero in surface water SDL resource units at the commencement of the first year of operation of an accredited water resource plan. The SDL cumulative balance is an indicator of SDL compliance.</w:t>
      </w:r>
    </w:p>
    <w:p w14:paraId="7166074E" w14:textId="2A086314" w:rsidR="008B6B1F" w:rsidRDefault="008B6B1F" w:rsidP="008B6B1F">
      <w:r>
        <w:t xml:space="preserve">For the period between 1 July 2019 until a water resource plan commences, the MDBA records section 71 information on </w:t>
      </w:r>
      <w:r w:rsidRPr="008C5E14">
        <w:rPr>
          <w:i/>
          <w:iCs/>
        </w:rPr>
        <w:t>interim register</w:t>
      </w:r>
      <w:r>
        <w:rPr>
          <w:i/>
          <w:iCs/>
        </w:rPr>
        <w:t>s</w:t>
      </w:r>
      <w:r w:rsidRPr="008C5E14">
        <w:rPr>
          <w:i/>
          <w:iCs/>
        </w:rPr>
        <w:t xml:space="preserve"> of take</w:t>
      </w:r>
      <w:r>
        <w:t>. Although a useful tool for accounting and compliance risk assessment purposes, it is not a legislative tool that can be used to determine or enforce SDL compliance.</w:t>
      </w:r>
    </w:p>
    <w:p w14:paraId="72333790" w14:textId="5F285232" w:rsidR="008B6B1F" w:rsidRDefault="008B6B1F" w:rsidP="008B6B1F">
      <w:r>
        <w:t>For surface water SDL resource units, the c</w:t>
      </w:r>
      <w:r w:rsidRPr="00A71E33">
        <w:t>umulative balance</w:t>
      </w:r>
      <w:r>
        <w:t xml:space="preserve">s </w:t>
      </w:r>
      <w:r w:rsidRPr="00A71E33">
        <w:t xml:space="preserve">on </w:t>
      </w:r>
      <w:r w:rsidR="00ED755C">
        <w:t>the</w:t>
      </w:r>
      <w:r w:rsidRPr="00A71E33">
        <w:t xml:space="preserve"> </w:t>
      </w:r>
      <w:r w:rsidRPr="005E1389">
        <w:rPr>
          <w:i/>
          <w:iCs/>
        </w:rPr>
        <w:t>interim register</w:t>
      </w:r>
      <w:r w:rsidR="00ED755C">
        <w:rPr>
          <w:i/>
          <w:iCs/>
        </w:rPr>
        <w:t>s</w:t>
      </w:r>
      <w:r w:rsidRPr="005E1389">
        <w:rPr>
          <w:i/>
          <w:iCs/>
        </w:rPr>
        <w:t xml:space="preserve"> of take</w:t>
      </w:r>
      <w:r w:rsidRPr="00A71E33">
        <w:t>,</w:t>
      </w:r>
      <w:r>
        <w:t xml:space="preserve"> will be set to zero once the water resource plan is accredited and operational.</w:t>
      </w:r>
    </w:p>
    <w:p w14:paraId="6E0A826B" w14:textId="77777777" w:rsidR="008B6B1F" w:rsidRDefault="008B6B1F">
      <w:pPr>
        <w:suppressAutoHyphens w:val="0"/>
        <w:spacing w:before="0" w:after="0" w:line="240" w:lineRule="auto"/>
      </w:pPr>
      <w:r>
        <w:br w:type="page"/>
      </w:r>
    </w:p>
    <w:p w14:paraId="31E795CF" w14:textId="77777777" w:rsidR="008B6B1F" w:rsidRPr="00B25356" w:rsidRDefault="008B6B1F" w:rsidP="008B6B1F">
      <w:pPr>
        <w:pStyle w:val="Heading2"/>
      </w:pPr>
      <w:bookmarkStart w:id="6" w:name="_Toc109915795"/>
      <w:r w:rsidRPr="00B25356">
        <w:lastRenderedPageBreak/>
        <w:t>If South Australia has</w:t>
      </w:r>
      <w:r>
        <w:t xml:space="preserve"> a</w:t>
      </w:r>
      <w:r w:rsidRPr="00B25356">
        <w:t xml:space="preserve"> </w:t>
      </w:r>
      <w:r>
        <w:t>“cumulative balance debt”</w:t>
      </w:r>
      <w:r w:rsidRPr="00B25356">
        <w:t>, how can they be compliant?</w:t>
      </w:r>
      <w:bookmarkEnd w:id="6"/>
    </w:p>
    <w:p w14:paraId="1C6B01D7" w14:textId="243A4433" w:rsidR="008B6B1F" w:rsidRDefault="008B6B1F" w:rsidP="008B6B1F">
      <w:r>
        <w:t xml:space="preserve">In 2020-2021, the South Australian Murray (surface water SDL resource unit SS11) register of take showed a small cumulative balance debit of -7.87 GL. Under the Basin Plan non-compliance only occurs once the cumulative balance debit amount is equal to or greater than 20% of the SDL (the </w:t>
      </w:r>
      <w:r w:rsidRPr="00244F4E">
        <w:t>SDL compliance trigger</w:t>
      </w:r>
      <w:r>
        <w:t>). For the SA Murray SDL resource unit, 20% of the SDL is -108.4GL.</w:t>
      </w:r>
    </w:p>
    <w:p w14:paraId="50324E33" w14:textId="6A571FC8" w:rsidR="008B6B1F" w:rsidRDefault="008B6B1F" w:rsidP="008B6B1F">
      <w:r>
        <w:t>Consequently, t</w:t>
      </w:r>
      <w:r w:rsidRPr="00A23388">
        <w:t xml:space="preserve">he compliance trigger </w:t>
      </w:r>
      <w:r>
        <w:t>was not</w:t>
      </w:r>
      <w:r w:rsidRPr="00A23388">
        <w:t xml:space="preserve"> exceeded, therefore the SA Murray</w:t>
      </w:r>
      <w:r>
        <w:t xml:space="preserve"> SDL resource unit</w:t>
      </w:r>
      <w:r w:rsidRPr="00A23388">
        <w:t xml:space="preserve"> is compliant and there is no requirement for a reasonable excuse.</w:t>
      </w:r>
    </w:p>
    <w:p w14:paraId="34EEE41A" w14:textId="2B6B31E5" w:rsidR="008B6B1F" w:rsidRDefault="008B6B1F" w:rsidP="008B6B1F">
      <w:pPr>
        <w:pStyle w:val="Heading2"/>
      </w:pPr>
      <w:bookmarkStart w:id="7" w:name="_Toc109915796"/>
      <w:r>
        <w:t>Why was Queensland the only Basin State with registers of take in 2019-2020?</w:t>
      </w:r>
      <w:bookmarkEnd w:id="7"/>
    </w:p>
    <w:p w14:paraId="4BB190A9" w14:textId="4A65E9CB" w:rsidR="008B6B1F" w:rsidRDefault="008B6B1F" w:rsidP="008B6B1F">
      <w:r>
        <w:t>The Queensland, Warrego-Paroo-</w:t>
      </w:r>
      <w:proofErr w:type="spellStart"/>
      <w:r>
        <w:t>Nebine</w:t>
      </w:r>
      <w:proofErr w:type="spellEnd"/>
      <w:r>
        <w:t xml:space="preserve"> water resource plan was accredited in 2016. It was the first and only water resource plan to be accredited and operating from 1 July 2019, when SDL accounting and compliance commenced. Registers of take for three surface water and three groundwater SDL resource units were published by the MDBA for the 2019-20 water year.</w:t>
      </w:r>
    </w:p>
    <w:p w14:paraId="76078DB7" w14:textId="6AB21FF4" w:rsidR="008B6B1F" w:rsidRDefault="008B6B1F" w:rsidP="008B6B1F">
      <w:r>
        <w:t>During the 2019-2020 water year several other water resource plans commenced operation across the Basin. The water resource plan needs to be operating for a complete water accounting year for it to be included in the official registers of take.</w:t>
      </w:r>
    </w:p>
    <w:p w14:paraId="1AD49C05" w14:textId="2C198939" w:rsidR="008B6B1F" w:rsidRDefault="008B6B1F" w:rsidP="008B6B1F">
      <w:pPr>
        <w:pStyle w:val="Heading2"/>
      </w:pPr>
      <w:r>
        <w:t>Where do I find out more?</w:t>
      </w:r>
    </w:p>
    <w:p w14:paraId="69722D14" w14:textId="380E89AD" w:rsidR="008B6B1F" w:rsidRDefault="008B6B1F" w:rsidP="008B6B1F">
      <w:r w:rsidRPr="00252192">
        <w:t>Th</w:t>
      </w:r>
      <w:r>
        <w:t>e Inspector-General’s</w:t>
      </w:r>
      <w:r w:rsidRPr="00252192">
        <w:t xml:space="preserve"> </w:t>
      </w:r>
      <w:r>
        <w:t xml:space="preserve">2020–21 SDL compliance </w:t>
      </w:r>
      <w:r w:rsidRPr="00252192">
        <w:t xml:space="preserve">statement should be read in conjunction with the </w:t>
      </w:r>
      <w:hyperlink r:id="rId11" w:history="1">
        <w:r>
          <w:rPr>
            <w:rStyle w:val="Hyperlink"/>
          </w:rPr>
          <w:t>Sustainable Diversion Limit Registers of Take 2020–21</w:t>
        </w:r>
      </w:hyperlink>
      <w:r>
        <w:t xml:space="preserve"> </w:t>
      </w:r>
      <w:r w:rsidRPr="00252192">
        <w:t xml:space="preserve">dated May 2022 and published on the MDBA website as well as the </w:t>
      </w:r>
      <w:hyperlink r:id="rId12" w:history="1">
        <w:r w:rsidRPr="00252192">
          <w:rPr>
            <w:rStyle w:val="Hyperlink"/>
          </w:rPr>
          <w:t>Sustainable Diversion Limit Reporting and Compliance Framework</w:t>
        </w:r>
      </w:hyperlink>
      <w:r w:rsidRPr="00252192">
        <w:t xml:space="preserve"> dated November 2018 and published on the MDBA website.</w:t>
      </w:r>
    </w:p>
    <w:p w14:paraId="5C383A1F" w14:textId="4BBF46BE" w:rsidR="008B6B1F" w:rsidRDefault="008B6B1F" w:rsidP="008B6B1F">
      <w:r>
        <w:t>Further information is available on:</w:t>
      </w:r>
    </w:p>
    <w:p w14:paraId="741A99A4" w14:textId="77777777" w:rsidR="008B6B1F" w:rsidRPr="008B6B1F" w:rsidRDefault="008B6B1F" w:rsidP="008B6B1F">
      <w:pPr>
        <w:pStyle w:val="ListBullet"/>
        <w:rPr>
          <w:rStyle w:val="Hyperlink"/>
          <w:u w:val="none"/>
        </w:rPr>
      </w:pPr>
      <w:r w:rsidRPr="008B6B1F">
        <w:t xml:space="preserve">the </w:t>
      </w:r>
      <w:hyperlink r:id="rId13" w:history="1">
        <w:r w:rsidRPr="008B6B1F">
          <w:rPr>
            <w:rStyle w:val="Hyperlink"/>
            <w:u w:val="none"/>
          </w:rPr>
          <w:t>MDBA website</w:t>
        </w:r>
      </w:hyperlink>
    </w:p>
    <w:p w14:paraId="3B851560" w14:textId="77777777" w:rsidR="008B6B1F" w:rsidRPr="008B6B1F" w:rsidRDefault="008B6B1F" w:rsidP="008B6B1F">
      <w:pPr>
        <w:pStyle w:val="ListBullet"/>
        <w:rPr>
          <w:rStyle w:val="Hyperlink"/>
          <w:u w:val="none"/>
        </w:rPr>
      </w:pPr>
      <w:r w:rsidRPr="008B6B1F">
        <w:t xml:space="preserve">the </w:t>
      </w:r>
      <w:hyperlink r:id="rId14" w:history="1">
        <w:r w:rsidRPr="008B6B1F">
          <w:rPr>
            <w:rStyle w:val="Hyperlink"/>
            <w:u w:val="none"/>
          </w:rPr>
          <w:t>NSW Department of Planning &amp; Environment website</w:t>
        </w:r>
      </w:hyperlink>
    </w:p>
    <w:p w14:paraId="3745D24D" w14:textId="0409C5F6" w:rsidR="005F01D9" w:rsidRPr="008B6B1F" w:rsidRDefault="008B6B1F" w:rsidP="008B6B1F">
      <w:pPr>
        <w:pStyle w:val="ListBullet"/>
      </w:pPr>
      <w:r w:rsidRPr="008B6B1F">
        <w:t xml:space="preserve">the </w:t>
      </w:r>
      <w:hyperlink r:id="rId15" w:history="1">
        <w:r w:rsidRPr="008B6B1F">
          <w:rPr>
            <w:rStyle w:val="Hyperlink"/>
          </w:rPr>
          <w:t>Inspector-General of Water Compliance website</w:t>
        </w:r>
      </w:hyperlink>
    </w:p>
    <w:sectPr w:rsidR="005F01D9" w:rsidRPr="008B6B1F" w:rsidSect="008B6B1F">
      <w:headerReference w:type="default" r:id="rId16"/>
      <w:footerReference w:type="default" r:id="rId17"/>
      <w:headerReference w:type="first" r:id="rId18"/>
      <w:pgSz w:w="11906" w:h="16838"/>
      <w:pgMar w:top="1440" w:right="1080" w:bottom="1440" w:left="1080" w:header="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EE0FB" w14:textId="77777777" w:rsidR="005E5F7F" w:rsidRDefault="005E5F7F" w:rsidP="00EA4B7A">
      <w:pPr>
        <w:spacing w:before="0" w:after="0" w:line="240" w:lineRule="auto"/>
      </w:pPr>
      <w:r>
        <w:separator/>
      </w:r>
    </w:p>
  </w:endnote>
  <w:endnote w:type="continuationSeparator" w:id="0">
    <w:p w14:paraId="11AA059B" w14:textId="77777777" w:rsidR="005E5F7F" w:rsidRDefault="005E5F7F" w:rsidP="00EA4B7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 Grotesk Medium">
    <w:panose1 w:val="00000600000000000000"/>
    <w:charset w:val="4D"/>
    <w:family w:val="auto"/>
    <w:notTrueType/>
    <w:pitch w:val="variable"/>
    <w:sig w:usb0="00000007" w:usb1="00000000"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RocGrotesk-Regular">
    <w:altName w:val="Calibri"/>
    <w:panose1 w:val="020B0604020202020204"/>
    <w:charset w:val="4D"/>
    <w:family w:val="auto"/>
    <w:pitch w:val="default"/>
    <w:sig w:usb0="00000003" w:usb1="00000000" w:usb2="00000000" w:usb3="00000000" w:csb0="00000001" w:csb1="00000000"/>
  </w:font>
  <w:font w:name="Roc Grotesk">
    <w:panose1 w:val="000005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214A4" w14:textId="49BF3DCB" w:rsidR="00EA4B7A" w:rsidRDefault="00577F04" w:rsidP="00577F04">
    <w:pPr>
      <w:pStyle w:val="Footer"/>
      <w:tabs>
        <w:tab w:val="clear" w:pos="4513"/>
        <w:tab w:val="clear" w:pos="9026"/>
        <w:tab w:val="center" w:pos="9639"/>
      </w:tabs>
      <w:jc w:val="left"/>
    </w:pPr>
    <w:r>
      <w:rPr>
        <w:noProof/>
      </w:rPr>
      <w:drawing>
        <wp:anchor distT="0" distB="0" distL="114300" distR="114300" simplePos="0" relativeHeight="251660288" behindDoc="1" locked="0" layoutInCell="1" allowOverlap="1" wp14:anchorId="1DEB75BF" wp14:editId="2041B741">
          <wp:simplePos x="0" y="0"/>
          <wp:positionH relativeFrom="column">
            <wp:posOffset>5019530</wp:posOffset>
          </wp:positionH>
          <wp:positionV relativeFrom="paragraph">
            <wp:posOffset>-1268095</wp:posOffset>
          </wp:positionV>
          <wp:extent cx="2194769" cy="2623632"/>
          <wp:effectExtent l="0" t="0" r="2540"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alphaModFix amt="36000"/>
                  </a:blip>
                  <a:stretch>
                    <a:fillRect/>
                  </a:stretch>
                </pic:blipFill>
                <pic:spPr>
                  <a:xfrm>
                    <a:off x="0" y="0"/>
                    <a:ext cx="2194769" cy="2623632"/>
                  </a:xfrm>
                  <a:prstGeom prst="rect">
                    <a:avLst/>
                  </a:prstGeom>
                </pic:spPr>
              </pic:pic>
            </a:graphicData>
          </a:graphic>
          <wp14:sizeRelH relativeFrom="page">
            <wp14:pctWidth>0</wp14:pctWidth>
          </wp14:sizeRelH>
          <wp14:sizeRelV relativeFrom="page">
            <wp14:pctHeight>0</wp14:pctHeight>
          </wp14:sizeRelV>
        </wp:anchor>
      </w:drawing>
    </w:r>
    <w:r w:rsidR="00EA4B7A" w:rsidRPr="0091189E">
      <w:t>Inspector</w:t>
    </w:r>
    <w:r w:rsidR="00EA4B7A">
      <w:t>-</w:t>
    </w:r>
    <w:r w:rsidR="00EA4B7A" w:rsidRPr="0091189E">
      <w:t>General of Water Compliance</w:t>
    </w:r>
    <w:r>
      <w:tab/>
    </w:r>
    <w:r w:rsidR="00EA4B7A">
      <w:fldChar w:fldCharType="begin"/>
    </w:r>
    <w:r w:rsidR="00EA4B7A">
      <w:instrText xml:space="preserve"> PAGE   \* MERGEFORMAT </w:instrText>
    </w:r>
    <w:r w:rsidR="00EA4B7A">
      <w:fldChar w:fldCharType="separate"/>
    </w:r>
    <w:r w:rsidR="00EA4B7A">
      <w:t>iii</w:t>
    </w:r>
    <w:r w:rsidR="00EA4B7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EC85A" w14:textId="77777777" w:rsidR="005E5F7F" w:rsidRDefault="005E5F7F" w:rsidP="00EA4B7A">
      <w:pPr>
        <w:spacing w:before="0" w:after="0" w:line="240" w:lineRule="auto"/>
      </w:pPr>
      <w:r>
        <w:separator/>
      </w:r>
    </w:p>
  </w:footnote>
  <w:footnote w:type="continuationSeparator" w:id="0">
    <w:p w14:paraId="7B984982" w14:textId="77777777" w:rsidR="005E5F7F" w:rsidRDefault="005E5F7F" w:rsidP="00EA4B7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EEC4" w14:textId="3827FBF1" w:rsidR="00EA4B7A" w:rsidRDefault="00C46C8C" w:rsidP="00EA4B7A">
    <w:pPr>
      <w:pStyle w:val="Header"/>
      <w:spacing w:before="600"/>
    </w:pPr>
    <w:r>
      <w:t>Sustainable Diversion Limit Compliance | Frequently Asked Questions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48F5C" w14:textId="56E845C7" w:rsidR="007E04C8" w:rsidRDefault="007E04C8" w:rsidP="007E04C8">
    <w:pPr>
      <w:pStyle w:val="Header"/>
      <w:spacing w:before="6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1A46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CC47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385B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AA79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C4E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0845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3032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C204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630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B6AC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E38E2"/>
    <w:multiLevelType w:val="hybridMultilevel"/>
    <w:tmpl w:val="9162C9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4F23313"/>
    <w:multiLevelType w:val="hybridMultilevel"/>
    <w:tmpl w:val="4ED6CD78"/>
    <w:lvl w:ilvl="0" w:tplc="14821716">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092BBC"/>
    <w:multiLevelType w:val="hybridMultilevel"/>
    <w:tmpl w:val="290E63EE"/>
    <w:lvl w:ilvl="0" w:tplc="906CE826">
      <w:start w:val="1"/>
      <w:numFmt w:val="bullet"/>
      <w:pStyle w:val="Box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1378882">
    <w:abstractNumId w:val="9"/>
  </w:num>
  <w:num w:numId="2" w16cid:durableId="1649675916">
    <w:abstractNumId w:val="0"/>
  </w:num>
  <w:num w:numId="3" w16cid:durableId="75979189">
    <w:abstractNumId w:val="1"/>
  </w:num>
  <w:num w:numId="4" w16cid:durableId="1125007840">
    <w:abstractNumId w:val="2"/>
  </w:num>
  <w:num w:numId="5" w16cid:durableId="1754088909">
    <w:abstractNumId w:val="3"/>
  </w:num>
  <w:num w:numId="6" w16cid:durableId="250548042">
    <w:abstractNumId w:val="8"/>
  </w:num>
  <w:num w:numId="7" w16cid:durableId="567887658">
    <w:abstractNumId w:val="4"/>
  </w:num>
  <w:num w:numId="8" w16cid:durableId="1056246945">
    <w:abstractNumId w:val="5"/>
  </w:num>
  <w:num w:numId="9" w16cid:durableId="765073955">
    <w:abstractNumId w:val="6"/>
  </w:num>
  <w:num w:numId="10" w16cid:durableId="734667403">
    <w:abstractNumId w:val="7"/>
  </w:num>
  <w:num w:numId="11" w16cid:durableId="1622179399">
    <w:abstractNumId w:val="11"/>
  </w:num>
  <w:num w:numId="12" w16cid:durableId="1611620524">
    <w:abstractNumId w:val="12"/>
  </w:num>
  <w:num w:numId="13" w16cid:durableId="2728311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172"/>
    <w:rsid w:val="000E0B31"/>
    <w:rsid w:val="002258A3"/>
    <w:rsid w:val="00266C57"/>
    <w:rsid w:val="0041282B"/>
    <w:rsid w:val="004875D1"/>
    <w:rsid w:val="00577F04"/>
    <w:rsid w:val="005E5F7F"/>
    <w:rsid w:val="005F01D9"/>
    <w:rsid w:val="00673218"/>
    <w:rsid w:val="007E04C8"/>
    <w:rsid w:val="008003D8"/>
    <w:rsid w:val="00804921"/>
    <w:rsid w:val="00832172"/>
    <w:rsid w:val="008B6B1F"/>
    <w:rsid w:val="00974A68"/>
    <w:rsid w:val="00B3503A"/>
    <w:rsid w:val="00C46C8C"/>
    <w:rsid w:val="00C508B3"/>
    <w:rsid w:val="00C53D24"/>
    <w:rsid w:val="00E64C88"/>
    <w:rsid w:val="00E70512"/>
    <w:rsid w:val="00EA4B7A"/>
    <w:rsid w:val="00ED75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C19A55"/>
  <w14:defaultImageDpi w14:val="0"/>
  <w15:docId w15:val="{9069E88A-E04A-7349-BD40-1B00CE14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1D9"/>
    <w:pPr>
      <w:suppressAutoHyphens/>
      <w:spacing w:before="60" w:after="60" w:line="280" w:lineRule="atLeast"/>
    </w:pPr>
    <w:rPr>
      <w:rFonts w:ascii="Arial" w:hAnsi="Arial"/>
      <w:sz w:val="20"/>
    </w:rPr>
  </w:style>
  <w:style w:type="paragraph" w:styleId="Heading1">
    <w:name w:val="heading 1"/>
    <w:basedOn w:val="Normal"/>
    <w:link w:val="Heading1Char"/>
    <w:uiPriority w:val="99"/>
    <w:qFormat/>
    <w:rsid w:val="0041282B"/>
    <w:pPr>
      <w:widowControl w:val="0"/>
      <w:autoSpaceDE w:val="0"/>
      <w:autoSpaceDN w:val="0"/>
      <w:adjustRightInd w:val="0"/>
      <w:spacing w:before="0" w:after="340" w:line="520" w:lineRule="atLeast"/>
      <w:textAlignment w:val="center"/>
      <w:outlineLvl w:val="0"/>
    </w:pPr>
    <w:rPr>
      <w:rFonts w:cs="Roc Grotesk Medium"/>
      <w:b/>
      <w:color w:val="48555E"/>
      <w:sz w:val="60"/>
      <w:szCs w:val="46"/>
      <w:lang w:val="en-GB"/>
    </w:rPr>
  </w:style>
  <w:style w:type="paragraph" w:styleId="Heading2">
    <w:name w:val="heading 2"/>
    <w:basedOn w:val="Normal"/>
    <w:link w:val="Heading2Char"/>
    <w:uiPriority w:val="99"/>
    <w:qFormat/>
    <w:rsid w:val="000E0B31"/>
    <w:pPr>
      <w:widowControl w:val="0"/>
      <w:autoSpaceDE w:val="0"/>
      <w:autoSpaceDN w:val="0"/>
      <w:adjustRightInd w:val="0"/>
      <w:spacing w:before="240" w:after="120" w:line="420" w:lineRule="atLeast"/>
      <w:textAlignment w:val="center"/>
      <w:outlineLvl w:val="1"/>
    </w:pPr>
    <w:rPr>
      <w:rFonts w:cs="Roc Grotesk Medium"/>
      <w:b/>
      <w:color w:val="4C6A68"/>
      <w:sz w:val="36"/>
      <w:szCs w:val="32"/>
      <w:lang w:val="en-GB"/>
    </w:rPr>
  </w:style>
  <w:style w:type="paragraph" w:styleId="Heading3">
    <w:name w:val="heading 3"/>
    <w:basedOn w:val="NoParagraphStyle"/>
    <w:next w:val="Normal"/>
    <w:link w:val="Heading3Char"/>
    <w:uiPriority w:val="99"/>
    <w:qFormat/>
    <w:rsid w:val="0041282B"/>
    <w:pPr>
      <w:keepNext/>
      <w:keepLines/>
      <w:suppressAutoHyphens/>
      <w:spacing w:before="240" w:line="280" w:lineRule="atLeast"/>
      <w:outlineLvl w:val="2"/>
    </w:pPr>
    <w:rPr>
      <w:rFonts w:ascii="Arial" w:hAnsi="Arial" w:cs="Roc Grotesk Medium"/>
      <w:b/>
      <w:color w:val="47555E"/>
      <w:sz w:val="26"/>
      <w:szCs w:val="26"/>
    </w:rPr>
  </w:style>
  <w:style w:type="paragraph" w:styleId="Heading4">
    <w:name w:val="heading 4"/>
    <w:basedOn w:val="Normal"/>
    <w:next w:val="Normal"/>
    <w:link w:val="Heading4Char"/>
    <w:uiPriority w:val="9"/>
    <w:unhideWhenUsed/>
    <w:qFormat/>
    <w:rsid w:val="004875D1"/>
    <w:pPr>
      <w:keepNext/>
      <w:spacing w:before="240" w:after="0"/>
      <w:outlineLvl w:val="3"/>
    </w:pPr>
    <w:rPr>
      <w:b/>
      <w:bCs/>
      <w:color w:val="48555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Minion Pro" w:hAnsi="Minion Pro" w:cs="Minion Pro"/>
      <w:color w:val="000000"/>
      <w:lang w:val="en-US"/>
    </w:rPr>
  </w:style>
  <w:style w:type="character" w:customStyle="1" w:styleId="Heading1Char">
    <w:name w:val="Heading 1 Char"/>
    <w:basedOn w:val="DefaultParagraphFont"/>
    <w:link w:val="Heading1"/>
    <w:uiPriority w:val="99"/>
    <w:rsid w:val="0041282B"/>
    <w:rPr>
      <w:rFonts w:ascii="Arial" w:hAnsi="Arial" w:cs="Roc Grotesk Medium"/>
      <w:b/>
      <w:color w:val="48555E"/>
      <w:sz w:val="60"/>
      <w:szCs w:val="46"/>
      <w:lang w:val="en-GB"/>
    </w:rPr>
  </w:style>
  <w:style w:type="paragraph" w:styleId="TOC1">
    <w:name w:val="toc 1"/>
    <w:basedOn w:val="Normal"/>
    <w:next w:val="Normal"/>
    <w:uiPriority w:val="39"/>
    <w:rsid w:val="0041282B"/>
    <w:pPr>
      <w:widowControl w:val="0"/>
      <w:tabs>
        <w:tab w:val="left" w:pos="426"/>
        <w:tab w:val="right" w:pos="9072"/>
      </w:tabs>
      <w:autoSpaceDE w:val="0"/>
      <w:autoSpaceDN w:val="0"/>
      <w:adjustRightInd w:val="0"/>
      <w:spacing w:before="57" w:after="240" w:line="360" w:lineRule="atLeast"/>
      <w:textAlignment w:val="center"/>
    </w:pPr>
    <w:rPr>
      <w:rFonts w:cs="Roc Grotesk Medium"/>
      <w:b/>
      <w:color w:val="000000" w:themeColor="text1"/>
      <w:sz w:val="24"/>
      <w:szCs w:val="28"/>
      <w:u w:color="F1C88A"/>
      <w:lang w:val="en-GB"/>
    </w:rPr>
  </w:style>
  <w:style w:type="paragraph" w:styleId="TOC2">
    <w:name w:val="toc 2"/>
    <w:basedOn w:val="Normal"/>
    <w:next w:val="Normal"/>
    <w:uiPriority w:val="39"/>
    <w:rsid w:val="00C508B3"/>
    <w:pPr>
      <w:widowControl w:val="0"/>
      <w:tabs>
        <w:tab w:val="right" w:pos="9060"/>
      </w:tabs>
      <w:autoSpaceDE w:val="0"/>
      <w:autoSpaceDN w:val="0"/>
      <w:adjustRightInd w:val="0"/>
      <w:spacing w:before="113" w:after="0" w:line="320" w:lineRule="atLeast"/>
      <w:ind w:left="227"/>
      <w:textAlignment w:val="center"/>
    </w:pPr>
    <w:rPr>
      <w:rFonts w:cs="RocGrotesk-Regular"/>
      <w:color w:val="000000" w:themeColor="text1"/>
      <w:lang w:val="en-GB"/>
    </w:rPr>
  </w:style>
  <w:style w:type="paragraph" w:styleId="ListBullet">
    <w:name w:val="List Bullet"/>
    <w:basedOn w:val="Normal"/>
    <w:uiPriority w:val="99"/>
    <w:rsid w:val="00C508B3"/>
    <w:pPr>
      <w:widowControl w:val="0"/>
      <w:numPr>
        <w:numId w:val="11"/>
      </w:numPr>
      <w:autoSpaceDE w:val="0"/>
      <w:autoSpaceDN w:val="0"/>
      <w:adjustRightInd w:val="0"/>
      <w:spacing w:before="0"/>
      <w:ind w:left="714" w:hanging="357"/>
      <w:textAlignment w:val="center"/>
    </w:pPr>
    <w:rPr>
      <w:rFonts w:cs="RocGrotesk-Regular"/>
      <w:color w:val="000000" w:themeColor="text1"/>
      <w:szCs w:val="20"/>
      <w:lang w:val="en-GB"/>
    </w:rPr>
  </w:style>
  <w:style w:type="character" w:customStyle="1" w:styleId="Heading2Char">
    <w:name w:val="Heading 2 Char"/>
    <w:basedOn w:val="DefaultParagraphFont"/>
    <w:link w:val="Heading2"/>
    <w:uiPriority w:val="99"/>
    <w:rsid w:val="000E0B31"/>
    <w:rPr>
      <w:rFonts w:ascii="Arial" w:hAnsi="Arial" w:cs="Roc Grotesk Medium"/>
      <w:b/>
      <w:color w:val="4C6A68"/>
      <w:sz w:val="36"/>
      <w:szCs w:val="32"/>
      <w:lang w:val="en-GB"/>
    </w:rPr>
  </w:style>
  <w:style w:type="character" w:customStyle="1" w:styleId="Heading3Char">
    <w:name w:val="Heading 3 Char"/>
    <w:basedOn w:val="DefaultParagraphFont"/>
    <w:link w:val="Heading3"/>
    <w:uiPriority w:val="99"/>
    <w:rsid w:val="0041282B"/>
    <w:rPr>
      <w:rFonts w:ascii="Arial" w:hAnsi="Arial" w:cs="Roc Grotesk Medium"/>
      <w:b/>
      <w:color w:val="47555E"/>
      <w:sz w:val="26"/>
      <w:szCs w:val="26"/>
      <w:lang w:val="en-US"/>
    </w:rPr>
  </w:style>
  <w:style w:type="character" w:customStyle="1" w:styleId="Bold">
    <w:name w:val="Bold"/>
    <w:uiPriority w:val="99"/>
    <w:rPr>
      <w:rFonts w:ascii="Roc Grotesk Medium" w:hAnsi="Roc Grotesk Medium" w:cs="Roc Grotesk Medium"/>
    </w:rPr>
  </w:style>
  <w:style w:type="character" w:styleId="Hyperlink">
    <w:name w:val="Hyperlink"/>
    <w:basedOn w:val="DefaultParagraphFont"/>
    <w:uiPriority w:val="99"/>
    <w:rsid w:val="004875D1"/>
    <w:rPr>
      <w:rFonts w:ascii="Arial" w:hAnsi="Arial"/>
      <w:color w:val="000000" w:themeColor="text1"/>
      <w:u w:val="single"/>
      <w:bdr w:val="none" w:sz="0" w:space="0" w:color="auto"/>
    </w:rPr>
  </w:style>
  <w:style w:type="character" w:customStyle="1" w:styleId="Italic">
    <w:name w:val="Italic"/>
    <w:uiPriority w:val="99"/>
  </w:style>
  <w:style w:type="paragraph" w:customStyle="1" w:styleId="Author">
    <w:name w:val="Author"/>
    <w:basedOn w:val="Normal"/>
    <w:next w:val="Normal"/>
    <w:uiPriority w:val="24"/>
    <w:qFormat/>
    <w:rsid w:val="00577F04"/>
    <w:pPr>
      <w:spacing w:line="276" w:lineRule="auto"/>
    </w:pPr>
    <w:rPr>
      <w:rFonts w:eastAsia="Calibri"/>
      <w:b/>
      <w:color w:val="FFFFFF"/>
      <w:sz w:val="28"/>
      <w:szCs w:val="28"/>
      <w:lang w:eastAsia="en-US"/>
    </w:rPr>
  </w:style>
  <w:style w:type="paragraph" w:styleId="Date">
    <w:name w:val="Date"/>
    <w:basedOn w:val="Normal"/>
    <w:next w:val="Normal"/>
    <w:link w:val="DateChar"/>
    <w:uiPriority w:val="99"/>
    <w:unhideWhenUsed/>
    <w:rsid w:val="00577F04"/>
    <w:pPr>
      <w:spacing w:after="200" w:line="276" w:lineRule="auto"/>
    </w:pPr>
    <w:rPr>
      <w:rFonts w:eastAsia="Calibri"/>
      <w:color w:val="FFFFFF"/>
      <w:sz w:val="22"/>
      <w:szCs w:val="22"/>
      <w:lang w:eastAsia="en-US"/>
    </w:rPr>
  </w:style>
  <w:style w:type="character" w:customStyle="1" w:styleId="DateChar">
    <w:name w:val="Date Char"/>
    <w:basedOn w:val="DefaultParagraphFont"/>
    <w:link w:val="Date"/>
    <w:uiPriority w:val="99"/>
    <w:rsid w:val="00577F04"/>
    <w:rPr>
      <w:rFonts w:ascii="Arial" w:eastAsia="Calibri" w:hAnsi="Arial"/>
      <w:color w:val="FFFFFF"/>
      <w:sz w:val="22"/>
      <w:szCs w:val="22"/>
      <w:lang w:eastAsia="en-US"/>
    </w:rPr>
  </w:style>
  <w:style w:type="paragraph" w:styleId="TOCHeading">
    <w:name w:val="TOC Heading"/>
    <w:basedOn w:val="Heading1"/>
    <w:next w:val="Normal"/>
    <w:uiPriority w:val="39"/>
    <w:unhideWhenUsed/>
    <w:qFormat/>
    <w:rsid w:val="00EA4B7A"/>
    <w:pPr>
      <w:keepNext/>
      <w:pageBreakBefore/>
      <w:widowControl/>
      <w:autoSpaceDE/>
      <w:autoSpaceDN/>
      <w:adjustRightInd/>
      <w:spacing w:before="240" w:after="360" w:line="240" w:lineRule="auto"/>
      <w:textAlignment w:val="auto"/>
      <w:outlineLvl w:val="9"/>
    </w:pPr>
    <w:rPr>
      <w:rFonts w:eastAsiaTheme="majorEastAsia" w:cstheme="majorBidi"/>
      <w:bCs/>
      <w:kern w:val="32"/>
      <w:sz w:val="50"/>
      <w:szCs w:val="32"/>
      <w:lang w:val="en-AU"/>
    </w:rPr>
  </w:style>
  <w:style w:type="character" w:customStyle="1" w:styleId="Heading4Char">
    <w:name w:val="Heading 4 Char"/>
    <w:basedOn w:val="DefaultParagraphFont"/>
    <w:link w:val="Heading4"/>
    <w:uiPriority w:val="9"/>
    <w:rsid w:val="004875D1"/>
    <w:rPr>
      <w:rFonts w:ascii="Arial" w:hAnsi="Arial"/>
      <w:b/>
      <w:bCs/>
      <w:color w:val="48555E"/>
      <w:sz w:val="28"/>
      <w:szCs w:val="28"/>
    </w:rPr>
  </w:style>
  <w:style w:type="character" w:styleId="Strong">
    <w:name w:val="Strong"/>
    <w:basedOn w:val="DefaultParagraphFont"/>
    <w:uiPriority w:val="22"/>
    <w:qFormat/>
    <w:rsid w:val="004875D1"/>
    <w:rPr>
      <w:b/>
      <w:bCs/>
    </w:rPr>
  </w:style>
  <w:style w:type="character" w:styleId="Emphasis">
    <w:name w:val="Emphasis"/>
    <w:basedOn w:val="DefaultParagraphFont"/>
    <w:uiPriority w:val="20"/>
    <w:qFormat/>
    <w:rsid w:val="00EA4B7A"/>
    <w:rPr>
      <w:i/>
      <w:iCs/>
    </w:rPr>
  </w:style>
  <w:style w:type="paragraph" w:styleId="Header">
    <w:name w:val="header"/>
    <w:basedOn w:val="Normal"/>
    <w:link w:val="HeaderChar"/>
    <w:uiPriority w:val="26"/>
    <w:unhideWhenUsed/>
    <w:rsid w:val="00EA4B7A"/>
    <w:pPr>
      <w:tabs>
        <w:tab w:val="center" w:pos="4513"/>
        <w:tab w:val="right" w:pos="9026"/>
      </w:tabs>
      <w:jc w:val="center"/>
    </w:pPr>
    <w:rPr>
      <w:sz w:val="18"/>
    </w:rPr>
  </w:style>
  <w:style w:type="character" w:customStyle="1" w:styleId="HeaderChar">
    <w:name w:val="Header Char"/>
    <w:basedOn w:val="DefaultParagraphFont"/>
    <w:link w:val="Header"/>
    <w:uiPriority w:val="26"/>
    <w:rsid w:val="00EA4B7A"/>
    <w:rPr>
      <w:rFonts w:ascii="Arial" w:hAnsi="Arial"/>
      <w:sz w:val="18"/>
    </w:rPr>
  </w:style>
  <w:style w:type="paragraph" w:styleId="Footer">
    <w:name w:val="footer"/>
    <w:basedOn w:val="Normal"/>
    <w:link w:val="FooterChar"/>
    <w:uiPriority w:val="99"/>
    <w:unhideWhenUsed/>
    <w:rsid w:val="00EA4B7A"/>
    <w:pPr>
      <w:tabs>
        <w:tab w:val="center" w:pos="4513"/>
        <w:tab w:val="right" w:pos="9026"/>
      </w:tabs>
      <w:spacing w:before="0" w:after="0"/>
      <w:jc w:val="center"/>
    </w:pPr>
    <w:rPr>
      <w:sz w:val="18"/>
    </w:rPr>
  </w:style>
  <w:style w:type="character" w:customStyle="1" w:styleId="FooterChar">
    <w:name w:val="Footer Char"/>
    <w:basedOn w:val="DefaultParagraphFont"/>
    <w:link w:val="Footer"/>
    <w:uiPriority w:val="99"/>
    <w:rsid w:val="00EA4B7A"/>
    <w:rPr>
      <w:rFonts w:ascii="Arial" w:hAnsi="Arial"/>
      <w:sz w:val="18"/>
    </w:rPr>
  </w:style>
  <w:style w:type="paragraph" w:customStyle="1" w:styleId="BoxText">
    <w:name w:val="Box Text"/>
    <w:basedOn w:val="Normal"/>
    <w:qFormat/>
    <w:rsid w:val="005F01D9"/>
    <w:pPr>
      <w:pBdr>
        <w:top w:val="single" w:sz="8" w:space="1" w:color="DEEAF1"/>
        <w:left w:val="single" w:sz="8" w:space="4" w:color="DEEAF1"/>
        <w:bottom w:val="single" w:sz="8" w:space="1" w:color="DEEAF1"/>
        <w:right w:val="single" w:sz="8" w:space="4" w:color="DEEAF1"/>
      </w:pBdr>
      <w:shd w:val="clear" w:color="auto" w:fill="DEEAF1"/>
    </w:pPr>
  </w:style>
  <w:style w:type="paragraph" w:customStyle="1" w:styleId="BoxHeading">
    <w:name w:val="Box Heading"/>
    <w:qFormat/>
    <w:rsid w:val="005F01D9"/>
    <w:pPr>
      <w:pBdr>
        <w:top w:val="single" w:sz="8" w:space="1" w:color="DEEAF1"/>
        <w:left w:val="single" w:sz="8" w:space="4" w:color="DEEAF1"/>
        <w:bottom w:val="single" w:sz="8" w:space="1" w:color="DEEAF1"/>
        <w:right w:val="single" w:sz="8" w:space="4" w:color="DEEAF1"/>
      </w:pBdr>
      <w:shd w:val="clear" w:color="auto" w:fill="DEEAF1"/>
      <w:spacing w:before="240"/>
    </w:pPr>
    <w:rPr>
      <w:rFonts w:ascii="Arial" w:hAnsi="Arial"/>
      <w:b/>
      <w:bCs/>
      <w:color w:val="48555E"/>
      <w:sz w:val="28"/>
      <w:szCs w:val="28"/>
    </w:rPr>
  </w:style>
  <w:style w:type="paragraph" w:customStyle="1" w:styleId="BoxBullets">
    <w:name w:val="Box Bullets"/>
    <w:qFormat/>
    <w:rsid w:val="005F01D9"/>
    <w:pPr>
      <w:numPr>
        <w:numId w:val="12"/>
      </w:numPr>
      <w:pBdr>
        <w:top w:val="single" w:sz="8" w:space="1" w:color="DEEAF1"/>
        <w:left w:val="single" w:sz="8" w:space="4" w:color="DEEAF1"/>
        <w:bottom w:val="single" w:sz="8" w:space="1" w:color="DEEAF1"/>
        <w:right w:val="single" w:sz="8" w:space="4" w:color="DEEAF1"/>
      </w:pBdr>
      <w:shd w:val="clear" w:color="auto" w:fill="DEEAF1"/>
      <w:spacing w:after="60"/>
      <w:ind w:left="714" w:hanging="357"/>
    </w:pPr>
    <w:rPr>
      <w:rFonts w:ascii="Arial" w:hAnsi="Arial" w:cs="RocGrotesk-Regular"/>
      <w:color w:val="000000" w:themeColor="text1"/>
      <w:sz w:val="20"/>
      <w:szCs w:val="20"/>
      <w:lang w:val="en-GB"/>
    </w:rPr>
  </w:style>
  <w:style w:type="character" w:styleId="UnresolvedMention">
    <w:name w:val="Unresolved Mention"/>
    <w:basedOn w:val="DefaultParagraphFont"/>
    <w:uiPriority w:val="99"/>
    <w:semiHidden/>
    <w:unhideWhenUsed/>
    <w:rsid w:val="005F01D9"/>
    <w:rPr>
      <w:color w:val="605E5C"/>
      <w:shd w:val="clear" w:color="auto" w:fill="E1DFDD"/>
    </w:rPr>
  </w:style>
  <w:style w:type="paragraph" w:customStyle="1" w:styleId="Body">
    <w:name w:val="Body"/>
    <w:basedOn w:val="NoParagraphStyle"/>
    <w:uiPriority w:val="99"/>
    <w:rsid w:val="002258A3"/>
    <w:pPr>
      <w:suppressAutoHyphens/>
      <w:spacing w:before="85" w:after="85" w:line="260" w:lineRule="atLeast"/>
    </w:pPr>
    <w:rPr>
      <w:rFonts w:ascii="Roc Grotesk" w:hAnsi="Roc Grotesk" w:cs="Roc Grotesk"/>
      <w:color w:val="47555E"/>
      <w:sz w:val="20"/>
      <w:szCs w:val="20"/>
    </w:rPr>
  </w:style>
  <w:style w:type="character" w:styleId="FollowedHyperlink">
    <w:name w:val="FollowedHyperlink"/>
    <w:basedOn w:val="DefaultParagraphFont"/>
    <w:uiPriority w:val="99"/>
    <w:semiHidden/>
    <w:unhideWhenUsed/>
    <w:rsid w:val="002258A3"/>
    <w:rPr>
      <w:color w:val="954F72" w:themeColor="followedHyperlink"/>
      <w:u w:val="single"/>
    </w:rPr>
  </w:style>
  <w:style w:type="paragraph" w:customStyle="1" w:styleId="Box">
    <w:name w:val="Box"/>
    <w:basedOn w:val="Normal"/>
    <w:qFormat/>
    <w:rsid w:val="000E0B31"/>
    <w:pPr>
      <w:pBdr>
        <w:top w:val="single" w:sz="4" w:space="8" w:color="F1C88A"/>
        <w:left w:val="single" w:sz="4" w:space="8" w:color="F1C88A"/>
        <w:bottom w:val="single" w:sz="4" w:space="8" w:color="F1C88A"/>
        <w:right w:val="single" w:sz="4" w:space="8" w:color="F1C88A"/>
      </w:pBdr>
      <w:ind w:left="113" w:right="113"/>
    </w:pPr>
  </w:style>
  <w:style w:type="paragraph" w:styleId="Index1">
    <w:name w:val="index 1"/>
    <w:basedOn w:val="Normal"/>
    <w:next w:val="Normal"/>
    <w:autoRedefine/>
    <w:uiPriority w:val="99"/>
    <w:semiHidden/>
    <w:unhideWhenUsed/>
    <w:rsid w:val="0041282B"/>
    <w:pPr>
      <w:spacing w:before="0" w:after="0" w:line="240" w:lineRule="auto"/>
      <w:ind w:left="200" w:hanging="200"/>
    </w:pPr>
  </w:style>
  <w:style w:type="paragraph" w:styleId="ListParagraph">
    <w:name w:val="List Paragraph"/>
    <w:basedOn w:val="Normal"/>
    <w:uiPriority w:val="34"/>
    <w:qFormat/>
    <w:rsid w:val="008B6B1F"/>
    <w:pPr>
      <w:suppressAutoHyphens w:val="0"/>
      <w:spacing w:before="0" w:after="0" w:line="240" w:lineRule="auto"/>
      <w:ind w:left="720"/>
      <w:contextualSpacing/>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mdba.gov.au/basin-plan/sustainable-diversion-limit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jpg"/><Relationship Id="rId12" Type="http://schemas.openxmlformats.org/officeDocument/2006/relationships/hyperlink" Target="https://www.mdba.gov.au/sites/default/files/pubs/SDL-Reporting-Compliance-Framework-Nov-18.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dba.gov.au/sites/default/files/pubs/sustainable-diversion-limit-accounts-registers-of-take-2020-21.pdf" TargetMode="External"/><Relationship Id="rId5" Type="http://schemas.openxmlformats.org/officeDocument/2006/relationships/footnotes" Target="footnotes.xml"/><Relationship Id="rId15" Type="http://schemas.openxmlformats.org/officeDocument/2006/relationships/hyperlink" Target="https://www.igwc.gov.au/" TargetMode="External"/><Relationship Id="rId10" Type="http://schemas.openxmlformats.org/officeDocument/2006/relationships/hyperlink" Target="https://www.industry.nsw.gov.au/__data/assets/pdf_file/0003/509565/reasonable-excuse-report-for-bd-sdl-compliance-2020-21.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dba.gov.au/sites/default/files/pubs/SDL-Reporting-Compliance-Framework-Nov-18.PDF" TargetMode="External"/><Relationship Id="rId14" Type="http://schemas.openxmlformats.org/officeDocument/2006/relationships/hyperlink" Target="https://www.industry.nsw.gov.au/water/allocations-availability/tracking-surface-water" TargetMode="External"/><Relationship Id="rId22"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746658-8192-43A2-BC95-B5BDA46F2495}"/>
</file>

<file path=customXml/itemProps2.xml><?xml version="1.0" encoding="utf-8"?>
<ds:datastoreItem xmlns:ds="http://schemas.openxmlformats.org/officeDocument/2006/customXml" ds:itemID="{4B4CB6B7-C88C-4A8E-A55F-51E64F20B8E0}"/>
</file>

<file path=docProps/app.xml><?xml version="1.0" encoding="utf-8"?>
<Properties xmlns="http://schemas.openxmlformats.org/officeDocument/2006/extended-properties" xmlns:vt="http://schemas.openxmlformats.org/officeDocument/2006/docPropsVTypes">
  <Template>Normal.dotm</Template>
  <TotalTime>26</TotalTime>
  <Pages>4</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Audit of Goulburn–Murray Water disclosure obligations under the Basin Plan</vt:lpstr>
    </vt:vector>
  </TitlesOfParts>
  <Manager/>
  <Company/>
  <LinksUpToDate>false</LinksUpToDate>
  <CharactersWithSpaces>8411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Diversion Limit Compliance Frequently Asked Questions</dc:title>
  <dc:subject/>
  <dc:creator>Inspector-General of Water Compliance</dc:creator>
  <cp:keywords/>
  <dc:description/>
  <cp:lastModifiedBy>Hiba Attar</cp:lastModifiedBy>
  <cp:revision>6</cp:revision>
  <dcterms:created xsi:type="dcterms:W3CDTF">2022-08-12T05:55:00Z</dcterms:created>
  <dcterms:modified xsi:type="dcterms:W3CDTF">2022-08-26T05:01:00Z</dcterms:modified>
  <cp:category/>
</cp:coreProperties>
</file>