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33BA" w14:textId="77777777" w:rsidR="002F7ABC" w:rsidRDefault="002F7ABC" w:rsidP="00473F5B">
      <w:pPr>
        <w:pStyle w:val="Title"/>
        <w:rPr>
          <w:noProof/>
        </w:rPr>
      </w:pPr>
      <w:bookmarkStart w:id="0" w:name="_Hlk83718137"/>
      <w:r w:rsidRPr="002F7ABC">
        <w:rPr>
          <w:rFonts w:ascii="Cambria" w:eastAsiaTheme="minorHAnsi" w:hAnsi="Cambria" w:cstheme="minorBidi"/>
          <w:b w:val="0"/>
          <w:color w:val="auto"/>
          <w:spacing w:val="0"/>
          <w:kern w:val="0"/>
          <w:sz w:val="22"/>
          <w:szCs w:val="22"/>
        </w:rPr>
        <w:t xml:space="preserve"> </w:t>
      </w:r>
      <w:r w:rsidRPr="002F7ABC">
        <w:rPr>
          <w:noProof/>
        </w:rPr>
        <w:t>Information Publication Scheme</w:t>
      </w:r>
    </w:p>
    <w:p w14:paraId="4672C73F" w14:textId="22D83797" w:rsidR="00473F5B" w:rsidRDefault="002F7ABC" w:rsidP="00473F5B">
      <w:pPr>
        <w:pStyle w:val="Title"/>
      </w:pPr>
      <w:r w:rsidRPr="002F7ABC">
        <w:rPr>
          <w:noProof/>
        </w:rPr>
        <w:t>Inspector</w:t>
      </w:r>
      <w:r w:rsidR="006E7073">
        <w:rPr>
          <w:noProof/>
        </w:rPr>
        <w:t>–</w:t>
      </w:r>
      <w:r w:rsidRPr="002F7ABC">
        <w:rPr>
          <w:noProof/>
        </w:rPr>
        <w:t>General of Water Compliance Agency Plan</w:t>
      </w:r>
      <w:bookmarkEnd w:id="0"/>
    </w:p>
    <w:p w14:paraId="723B916E" w14:textId="3F18CAFD" w:rsidR="00473F5B" w:rsidRPr="00473F5B" w:rsidRDefault="005F7CF7" w:rsidP="00E56ACF">
      <w:pPr>
        <w:pStyle w:val="Author"/>
      </w:pPr>
      <w:r>
        <w:t>February 2023</w:t>
      </w:r>
    </w:p>
    <w:p w14:paraId="07FC3C62" w14:textId="1A99C961" w:rsidR="00473F5B" w:rsidRDefault="00473F5B">
      <w:pPr>
        <w:spacing w:after="0"/>
        <w:rPr>
          <w:b/>
          <w:color w:val="FFFFFF"/>
          <w:sz w:val="60"/>
          <w:szCs w:val="24"/>
        </w:rPr>
      </w:pPr>
      <w:r>
        <w:br w:type="page"/>
      </w:r>
    </w:p>
    <w:p w14:paraId="75AAC00F" w14:textId="13D05347" w:rsidR="00473F5B" w:rsidRDefault="00473F5B" w:rsidP="00473F5B">
      <w:pPr>
        <w:pStyle w:val="Heading1"/>
      </w:pPr>
      <w:bookmarkStart w:id="1" w:name="_Toc105590117"/>
      <w:bookmarkStart w:id="2" w:name="_Toc105590325"/>
      <w:bookmarkStart w:id="3" w:name="_Toc121924620"/>
      <w:r>
        <w:lastRenderedPageBreak/>
        <w:t>Table of Contents</w:t>
      </w:r>
      <w:bookmarkEnd w:id="1"/>
      <w:bookmarkEnd w:id="2"/>
      <w:bookmarkEnd w:id="3"/>
    </w:p>
    <w:p w14:paraId="221BE490" w14:textId="53C4BCB2" w:rsidR="00657414" w:rsidRDefault="0066217F">
      <w:pPr>
        <w:pStyle w:val="TOC1"/>
        <w:rPr>
          <w:rFonts w:asciiTheme="minorHAnsi" w:eastAsiaTheme="minorEastAsia" w:hAnsiTheme="minorHAnsi" w:cstheme="minorBidi"/>
          <w:b w:val="0"/>
          <w:color w:val="auto"/>
          <w:sz w:val="22"/>
          <w:lang w:eastAsia="en-AU"/>
        </w:rPr>
      </w:pPr>
      <w:r>
        <w:fldChar w:fldCharType="begin"/>
      </w:r>
      <w:r>
        <w:instrText xml:space="preserve"> TOC \o "1-3" \h \z \u </w:instrText>
      </w:r>
      <w:r>
        <w:fldChar w:fldCharType="separate"/>
      </w:r>
      <w:hyperlink w:anchor="_Toc121924620" w:history="1">
        <w:r w:rsidR="00657414" w:rsidRPr="00B27221">
          <w:rPr>
            <w:rStyle w:val="Hyperlink"/>
          </w:rPr>
          <w:t>Table of Contents</w:t>
        </w:r>
        <w:r w:rsidR="00657414">
          <w:rPr>
            <w:webHidden/>
          </w:rPr>
          <w:tab/>
        </w:r>
        <w:r w:rsidR="00657414">
          <w:rPr>
            <w:webHidden/>
          </w:rPr>
          <w:fldChar w:fldCharType="begin"/>
        </w:r>
        <w:r w:rsidR="00657414">
          <w:rPr>
            <w:webHidden/>
          </w:rPr>
          <w:instrText xml:space="preserve"> PAGEREF _Toc121924620 \h </w:instrText>
        </w:r>
        <w:r w:rsidR="00657414">
          <w:rPr>
            <w:webHidden/>
          </w:rPr>
        </w:r>
        <w:r w:rsidR="00657414">
          <w:rPr>
            <w:webHidden/>
          </w:rPr>
          <w:fldChar w:fldCharType="separate"/>
        </w:r>
        <w:r w:rsidR="00657414">
          <w:rPr>
            <w:webHidden/>
          </w:rPr>
          <w:t>2</w:t>
        </w:r>
        <w:r w:rsidR="00657414">
          <w:rPr>
            <w:webHidden/>
          </w:rPr>
          <w:fldChar w:fldCharType="end"/>
        </w:r>
      </w:hyperlink>
    </w:p>
    <w:p w14:paraId="231C3604" w14:textId="1AEA87E8" w:rsidR="00657414" w:rsidRDefault="00CA1FF2">
      <w:pPr>
        <w:pStyle w:val="TOC1"/>
        <w:rPr>
          <w:rFonts w:asciiTheme="minorHAnsi" w:eastAsiaTheme="minorEastAsia" w:hAnsiTheme="minorHAnsi" w:cstheme="minorBidi"/>
          <w:b w:val="0"/>
          <w:color w:val="auto"/>
          <w:sz w:val="22"/>
          <w:lang w:eastAsia="en-AU"/>
        </w:rPr>
      </w:pPr>
      <w:hyperlink w:anchor="_Toc121924621" w:history="1">
        <w:r w:rsidR="00657414" w:rsidRPr="00B27221">
          <w:rPr>
            <w:rStyle w:val="Hyperlink"/>
          </w:rPr>
          <w:t>Introduction</w:t>
        </w:r>
        <w:r w:rsidR="00657414">
          <w:rPr>
            <w:webHidden/>
          </w:rPr>
          <w:tab/>
        </w:r>
        <w:r w:rsidR="00657414">
          <w:rPr>
            <w:webHidden/>
          </w:rPr>
          <w:fldChar w:fldCharType="begin"/>
        </w:r>
        <w:r w:rsidR="00657414">
          <w:rPr>
            <w:webHidden/>
          </w:rPr>
          <w:instrText xml:space="preserve"> PAGEREF _Toc121924621 \h </w:instrText>
        </w:r>
        <w:r w:rsidR="00657414">
          <w:rPr>
            <w:webHidden/>
          </w:rPr>
        </w:r>
        <w:r w:rsidR="00657414">
          <w:rPr>
            <w:webHidden/>
          </w:rPr>
          <w:fldChar w:fldCharType="separate"/>
        </w:r>
        <w:r w:rsidR="00657414">
          <w:rPr>
            <w:webHidden/>
          </w:rPr>
          <w:t>3</w:t>
        </w:r>
        <w:r w:rsidR="00657414">
          <w:rPr>
            <w:webHidden/>
          </w:rPr>
          <w:fldChar w:fldCharType="end"/>
        </w:r>
      </w:hyperlink>
    </w:p>
    <w:p w14:paraId="0C50F8CB" w14:textId="0DD1C514" w:rsidR="00657414" w:rsidRDefault="00CA1FF2">
      <w:pPr>
        <w:pStyle w:val="TOC2"/>
        <w:rPr>
          <w:rFonts w:asciiTheme="minorHAnsi" w:eastAsiaTheme="minorEastAsia" w:hAnsiTheme="minorHAnsi" w:cstheme="minorBidi"/>
          <w:sz w:val="22"/>
          <w:lang w:eastAsia="en-AU"/>
        </w:rPr>
      </w:pPr>
      <w:hyperlink w:anchor="_Toc121924622" w:history="1">
        <w:r w:rsidR="00657414" w:rsidRPr="00B27221">
          <w:rPr>
            <w:rStyle w:val="Hyperlink"/>
          </w:rPr>
          <w:t>Purpose</w:t>
        </w:r>
        <w:r w:rsidR="00657414">
          <w:rPr>
            <w:webHidden/>
          </w:rPr>
          <w:tab/>
        </w:r>
        <w:r w:rsidR="00657414">
          <w:rPr>
            <w:webHidden/>
          </w:rPr>
          <w:fldChar w:fldCharType="begin"/>
        </w:r>
        <w:r w:rsidR="00657414">
          <w:rPr>
            <w:webHidden/>
          </w:rPr>
          <w:instrText xml:space="preserve"> PAGEREF _Toc121924622 \h </w:instrText>
        </w:r>
        <w:r w:rsidR="00657414">
          <w:rPr>
            <w:webHidden/>
          </w:rPr>
        </w:r>
        <w:r w:rsidR="00657414">
          <w:rPr>
            <w:webHidden/>
          </w:rPr>
          <w:fldChar w:fldCharType="separate"/>
        </w:r>
        <w:r w:rsidR="00657414">
          <w:rPr>
            <w:webHidden/>
          </w:rPr>
          <w:t>4</w:t>
        </w:r>
        <w:r w:rsidR="00657414">
          <w:rPr>
            <w:webHidden/>
          </w:rPr>
          <w:fldChar w:fldCharType="end"/>
        </w:r>
      </w:hyperlink>
    </w:p>
    <w:p w14:paraId="19654636" w14:textId="5662CA0C" w:rsidR="00657414" w:rsidRDefault="00CA1FF2">
      <w:pPr>
        <w:pStyle w:val="TOC2"/>
        <w:rPr>
          <w:rFonts w:asciiTheme="minorHAnsi" w:eastAsiaTheme="minorEastAsia" w:hAnsiTheme="minorHAnsi" w:cstheme="minorBidi"/>
          <w:sz w:val="22"/>
          <w:lang w:eastAsia="en-AU"/>
        </w:rPr>
      </w:pPr>
      <w:hyperlink w:anchor="_Toc121924623" w:history="1">
        <w:r w:rsidR="00657414" w:rsidRPr="00B27221">
          <w:rPr>
            <w:rStyle w:val="Hyperlink"/>
          </w:rPr>
          <w:t>Objectives</w:t>
        </w:r>
        <w:r w:rsidR="00657414">
          <w:rPr>
            <w:webHidden/>
          </w:rPr>
          <w:tab/>
        </w:r>
        <w:r w:rsidR="00657414">
          <w:rPr>
            <w:webHidden/>
          </w:rPr>
          <w:fldChar w:fldCharType="begin"/>
        </w:r>
        <w:r w:rsidR="00657414">
          <w:rPr>
            <w:webHidden/>
          </w:rPr>
          <w:instrText xml:space="preserve"> PAGEREF _Toc121924623 \h </w:instrText>
        </w:r>
        <w:r w:rsidR="00657414">
          <w:rPr>
            <w:webHidden/>
          </w:rPr>
        </w:r>
        <w:r w:rsidR="00657414">
          <w:rPr>
            <w:webHidden/>
          </w:rPr>
          <w:fldChar w:fldCharType="separate"/>
        </w:r>
        <w:r w:rsidR="00657414">
          <w:rPr>
            <w:webHidden/>
          </w:rPr>
          <w:t>4</w:t>
        </w:r>
        <w:r w:rsidR="00657414">
          <w:rPr>
            <w:webHidden/>
          </w:rPr>
          <w:fldChar w:fldCharType="end"/>
        </w:r>
      </w:hyperlink>
    </w:p>
    <w:p w14:paraId="5D433D83" w14:textId="71BFB5B2" w:rsidR="00657414" w:rsidRDefault="00CA1FF2">
      <w:pPr>
        <w:pStyle w:val="TOC2"/>
        <w:rPr>
          <w:rFonts w:asciiTheme="minorHAnsi" w:eastAsiaTheme="minorEastAsia" w:hAnsiTheme="minorHAnsi" w:cstheme="minorBidi"/>
          <w:sz w:val="22"/>
          <w:lang w:eastAsia="en-AU"/>
        </w:rPr>
      </w:pPr>
      <w:hyperlink w:anchor="_Toc121924624" w:history="1">
        <w:r w:rsidR="00657414" w:rsidRPr="00B27221">
          <w:rPr>
            <w:rStyle w:val="Hyperlink"/>
          </w:rPr>
          <w:t>Implementing the Information Publication Scheme</w:t>
        </w:r>
        <w:r w:rsidR="00657414">
          <w:rPr>
            <w:webHidden/>
          </w:rPr>
          <w:tab/>
        </w:r>
        <w:r w:rsidR="00657414">
          <w:rPr>
            <w:webHidden/>
          </w:rPr>
          <w:fldChar w:fldCharType="begin"/>
        </w:r>
        <w:r w:rsidR="00657414">
          <w:rPr>
            <w:webHidden/>
          </w:rPr>
          <w:instrText xml:space="preserve"> PAGEREF _Toc121924624 \h </w:instrText>
        </w:r>
        <w:r w:rsidR="00657414">
          <w:rPr>
            <w:webHidden/>
          </w:rPr>
        </w:r>
        <w:r w:rsidR="00657414">
          <w:rPr>
            <w:webHidden/>
          </w:rPr>
          <w:fldChar w:fldCharType="separate"/>
        </w:r>
        <w:r w:rsidR="00657414">
          <w:rPr>
            <w:webHidden/>
          </w:rPr>
          <w:t>4</w:t>
        </w:r>
        <w:r w:rsidR="00657414">
          <w:rPr>
            <w:webHidden/>
          </w:rPr>
          <w:fldChar w:fldCharType="end"/>
        </w:r>
      </w:hyperlink>
    </w:p>
    <w:p w14:paraId="779BB7C2" w14:textId="17142517" w:rsidR="00657414" w:rsidRDefault="00CA1FF2">
      <w:pPr>
        <w:pStyle w:val="TOC3"/>
        <w:rPr>
          <w:rFonts w:asciiTheme="minorHAnsi" w:eastAsiaTheme="minorEastAsia" w:hAnsiTheme="minorHAnsi" w:cstheme="minorBidi"/>
          <w:sz w:val="22"/>
          <w:lang w:eastAsia="en-AU"/>
        </w:rPr>
      </w:pPr>
      <w:hyperlink w:anchor="_Toc121924625" w:history="1">
        <w:r w:rsidR="00657414" w:rsidRPr="00B27221">
          <w:rPr>
            <w:rStyle w:val="Hyperlink"/>
          </w:rPr>
          <w:t>Plan owner</w:t>
        </w:r>
        <w:r w:rsidR="00657414">
          <w:rPr>
            <w:webHidden/>
          </w:rPr>
          <w:tab/>
        </w:r>
        <w:r w:rsidR="00657414">
          <w:rPr>
            <w:webHidden/>
          </w:rPr>
          <w:fldChar w:fldCharType="begin"/>
        </w:r>
        <w:r w:rsidR="00657414">
          <w:rPr>
            <w:webHidden/>
          </w:rPr>
          <w:instrText xml:space="preserve"> PAGEREF _Toc121924625 \h </w:instrText>
        </w:r>
        <w:r w:rsidR="00657414">
          <w:rPr>
            <w:webHidden/>
          </w:rPr>
        </w:r>
        <w:r w:rsidR="00657414">
          <w:rPr>
            <w:webHidden/>
          </w:rPr>
          <w:fldChar w:fldCharType="separate"/>
        </w:r>
        <w:r w:rsidR="00657414">
          <w:rPr>
            <w:webHidden/>
          </w:rPr>
          <w:t>4</w:t>
        </w:r>
        <w:r w:rsidR="00657414">
          <w:rPr>
            <w:webHidden/>
          </w:rPr>
          <w:fldChar w:fldCharType="end"/>
        </w:r>
      </w:hyperlink>
    </w:p>
    <w:p w14:paraId="2BE58045" w14:textId="23E2DD7B" w:rsidR="00657414" w:rsidRDefault="00CA1FF2">
      <w:pPr>
        <w:pStyle w:val="TOC3"/>
        <w:rPr>
          <w:rFonts w:asciiTheme="minorHAnsi" w:eastAsiaTheme="minorEastAsia" w:hAnsiTheme="minorHAnsi" w:cstheme="minorBidi"/>
          <w:sz w:val="22"/>
          <w:lang w:eastAsia="en-AU"/>
        </w:rPr>
      </w:pPr>
      <w:hyperlink w:anchor="_Toc121924626" w:history="1">
        <w:r w:rsidR="00657414" w:rsidRPr="00B27221">
          <w:rPr>
            <w:rStyle w:val="Hyperlink"/>
          </w:rPr>
          <w:t>Responsibility for the IPS</w:t>
        </w:r>
        <w:r w:rsidR="00657414">
          <w:rPr>
            <w:webHidden/>
          </w:rPr>
          <w:tab/>
        </w:r>
        <w:r w:rsidR="00657414">
          <w:rPr>
            <w:webHidden/>
          </w:rPr>
          <w:fldChar w:fldCharType="begin"/>
        </w:r>
        <w:r w:rsidR="00657414">
          <w:rPr>
            <w:webHidden/>
          </w:rPr>
          <w:instrText xml:space="preserve"> PAGEREF _Toc121924626 \h </w:instrText>
        </w:r>
        <w:r w:rsidR="00657414">
          <w:rPr>
            <w:webHidden/>
          </w:rPr>
        </w:r>
        <w:r w:rsidR="00657414">
          <w:rPr>
            <w:webHidden/>
          </w:rPr>
          <w:fldChar w:fldCharType="separate"/>
        </w:r>
        <w:r w:rsidR="00657414">
          <w:rPr>
            <w:webHidden/>
          </w:rPr>
          <w:t>4</w:t>
        </w:r>
        <w:r w:rsidR="00657414">
          <w:rPr>
            <w:webHidden/>
          </w:rPr>
          <w:fldChar w:fldCharType="end"/>
        </w:r>
      </w:hyperlink>
    </w:p>
    <w:p w14:paraId="1E769509" w14:textId="31BBB1C0" w:rsidR="00657414" w:rsidRDefault="00CA1FF2">
      <w:pPr>
        <w:pStyle w:val="TOC3"/>
        <w:rPr>
          <w:rFonts w:asciiTheme="minorHAnsi" w:eastAsiaTheme="minorEastAsia" w:hAnsiTheme="minorHAnsi" w:cstheme="minorBidi"/>
          <w:sz w:val="22"/>
          <w:lang w:eastAsia="en-AU"/>
        </w:rPr>
      </w:pPr>
      <w:hyperlink w:anchor="_Toc121924627" w:history="1">
        <w:r w:rsidR="00657414" w:rsidRPr="00B27221">
          <w:rPr>
            <w:rStyle w:val="Hyperlink"/>
          </w:rPr>
          <w:t>How the information can be accessed on the website</w:t>
        </w:r>
        <w:r w:rsidR="00657414">
          <w:rPr>
            <w:webHidden/>
          </w:rPr>
          <w:tab/>
        </w:r>
        <w:r w:rsidR="00657414">
          <w:rPr>
            <w:webHidden/>
          </w:rPr>
          <w:fldChar w:fldCharType="begin"/>
        </w:r>
        <w:r w:rsidR="00657414">
          <w:rPr>
            <w:webHidden/>
          </w:rPr>
          <w:instrText xml:space="preserve"> PAGEREF _Toc121924627 \h </w:instrText>
        </w:r>
        <w:r w:rsidR="00657414">
          <w:rPr>
            <w:webHidden/>
          </w:rPr>
        </w:r>
        <w:r w:rsidR="00657414">
          <w:rPr>
            <w:webHidden/>
          </w:rPr>
          <w:fldChar w:fldCharType="separate"/>
        </w:r>
        <w:r w:rsidR="00657414">
          <w:rPr>
            <w:webHidden/>
          </w:rPr>
          <w:t>4</w:t>
        </w:r>
        <w:r w:rsidR="00657414">
          <w:rPr>
            <w:webHidden/>
          </w:rPr>
          <w:fldChar w:fldCharType="end"/>
        </w:r>
      </w:hyperlink>
    </w:p>
    <w:p w14:paraId="46403610" w14:textId="4E46ED07" w:rsidR="00657414" w:rsidRDefault="00CA1FF2">
      <w:pPr>
        <w:pStyle w:val="TOC3"/>
        <w:rPr>
          <w:rFonts w:asciiTheme="minorHAnsi" w:eastAsiaTheme="minorEastAsia" w:hAnsiTheme="minorHAnsi" w:cstheme="minorBidi"/>
          <w:sz w:val="22"/>
          <w:lang w:eastAsia="en-AU"/>
        </w:rPr>
      </w:pPr>
      <w:hyperlink w:anchor="_Toc121924628" w:history="1">
        <w:r w:rsidR="00657414" w:rsidRPr="00B27221">
          <w:rPr>
            <w:rStyle w:val="Hyperlink"/>
          </w:rPr>
          <w:t>Freedom of information requests</w:t>
        </w:r>
        <w:r w:rsidR="00657414">
          <w:rPr>
            <w:webHidden/>
          </w:rPr>
          <w:tab/>
        </w:r>
        <w:r w:rsidR="00657414">
          <w:rPr>
            <w:webHidden/>
          </w:rPr>
          <w:fldChar w:fldCharType="begin"/>
        </w:r>
        <w:r w:rsidR="00657414">
          <w:rPr>
            <w:webHidden/>
          </w:rPr>
          <w:instrText xml:space="preserve"> PAGEREF _Toc121924628 \h </w:instrText>
        </w:r>
        <w:r w:rsidR="00657414">
          <w:rPr>
            <w:webHidden/>
          </w:rPr>
        </w:r>
        <w:r w:rsidR="00657414">
          <w:rPr>
            <w:webHidden/>
          </w:rPr>
          <w:fldChar w:fldCharType="separate"/>
        </w:r>
        <w:r w:rsidR="00657414">
          <w:rPr>
            <w:webHidden/>
          </w:rPr>
          <w:t>5</w:t>
        </w:r>
        <w:r w:rsidR="00657414">
          <w:rPr>
            <w:webHidden/>
          </w:rPr>
          <w:fldChar w:fldCharType="end"/>
        </w:r>
      </w:hyperlink>
    </w:p>
    <w:p w14:paraId="2866DBB5" w14:textId="3F260E59" w:rsidR="00657414" w:rsidRDefault="00CA1FF2">
      <w:pPr>
        <w:pStyle w:val="TOC3"/>
        <w:rPr>
          <w:rFonts w:asciiTheme="minorHAnsi" w:eastAsiaTheme="minorEastAsia" w:hAnsiTheme="minorHAnsi" w:cstheme="minorBidi"/>
          <w:sz w:val="22"/>
          <w:lang w:eastAsia="en-AU"/>
        </w:rPr>
      </w:pPr>
      <w:hyperlink w:anchor="_Toc121924629" w:history="1">
        <w:r w:rsidR="00657414" w:rsidRPr="00B27221">
          <w:rPr>
            <w:rStyle w:val="Hyperlink"/>
          </w:rPr>
          <w:t>Freedom of information disclosure log</w:t>
        </w:r>
        <w:r w:rsidR="00657414">
          <w:rPr>
            <w:webHidden/>
          </w:rPr>
          <w:tab/>
        </w:r>
        <w:r w:rsidR="00657414">
          <w:rPr>
            <w:webHidden/>
          </w:rPr>
          <w:fldChar w:fldCharType="begin"/>
        </w:r>
        <w:r w:rsidR="00657414">
          <w:rPr>
            <w:webHidden/>
          </w:rPr>
          <w:instrText xml:space="preserve"> PAGEREF _Toc121924629 \h </w:instrText>
        </w:r>
        <w:r w:rsidR="00657414">
          <w:rPr>
            <w:webHidden/>
          </w:rPr>
        </w:r>
        <w:r w:rsidR="00657414">
          <w:rPr>
            <w:webHidden/>
          </w:rPr>
          <w:fldChar w:fldCharType="separate"/>
        </w:r>
        <w:r w:rsidR="00657414">
          <w:rPr>
            <w:webHidden/>
          </w:rPr>
          <w:t>5</w:t>
        </w:r>
        <w:r w:rsidR="00657414">
          <w:rPr>
            <w:webHidden/>
          </w:rPr>
          <w:fldChar w:fldCharType="end"/>
        </w:r>
      </w:hyperlink>
    </w:p>
    <w:p w14:paraId="0D0764B5" w14:textId="205F1B0E" w:rsidR="00657414" w:rsidRDefault="00CA1FF2">
      <w:pPr>
        <w:pStyle w:val="TOC3"/>
        <w:rPr>
          <w:rFonts w:asciiTheme="minorHAnsi" w:eastAsiaTheme="minorEastAsia" w:hAnsiTheme="minorHAnsi" w:cstheme="minorBidi"/>
          <w:sz w:val="22"/>
          <w:lang w:eastAsia="en-AU"/>
        </w:rPr>
      </w:pPr>
      <w:hyperlink w:anchor="_Toc121924630" w:history="1">
        <w:r w:rsidR="00657414" w:rsidRPr="00B27221">
          <w:rPr>
            <w:rStyle w:val="Hyperlink"/>
          </w:rPr>
          <w:t>Information publication requirements</w:t>
        </w:r>
        <w:r w:rsidR="00657414">
          <w:rPr>
            <w:webHidden/>
          </w:rPr>
          <w:tab/>
        </w:r>
        <w:r w:rsidR="00657414">
          <w:rPr>
            <w:webHidden/>
          </w:rPr>
          <w:fldChar w:fldCharType="begin"/>
        </w:r>
        <w:r w:rsidR="00657414">
          <w:rPr>
            <w:webHidden/>
          </w:rPr>
          <w:instrText xml:space="preserve"> PAGEREF _Toc121924630 \h </w:instrText>
        </w:r>
        <w:r w:rsidR="00657414">
          <w:rPr>
            <w:webHidden/>
          </w:rPr>
        </w:r>
        <w:r w:rsidR="00657414">
          <w:rPr>
            <w:webHidden/>
          </w:rPr>
          <w:fldChar w:fldCharType="separate"/>
        </w:r>
        <w:r w:rsidR="00657414">
          <w:rPr>
            <w:webHidden/>
          </w:rPr>
          <w:t>5</w:t>
        </w:r>
        <w:r w:rsidR="00657414">
          <w:rPr>
            <w:webHidden/>
          </w:rPr>
          <w:fldChar w:fldCharType="end"/>
        </w:r>
      </w:hyperlink>
    </w:p>
    <w:p w14:paraId="6FAF1ED6" w14:textId="791820AF" w:rsidR="00657414" w:rsidRDefault="00CA1FF2">
      <w:pPr>
        <w:pStyle w:val="TOC3"/>
        <w:rPr>
          <w:rFonts w:asciiTheme="minorHAnsi" w:eastAsiaTheme="minorEastAsia" w:hAnsiTheme="minorHAnsi" w:cstheme="minorBidi"/>
          <w:sz w:val="22"/>
          <w:lang w:eastAsia="en-AU"/>
        </w:rPr>
      </w:pPr>
      <w:hyperlink w:anchor="_Toc121924631" w:history="1">
        <w:r w:rsidR="00657414" w:rsidRPr="00B27221">
          <w:rPr>
            <w:rStyle w:val="Hyperlink"/>
          </w:rPr>
          <w:t>What the Inspector–General will publish</w:t>
        </w:r>
        <w:r w:rsidR="00657414">
          <w:rPr>
            <w:webHidden/>
          </w:rPr>
          <w:tab/>
        </w:r>
        <w:r w:rsidR="00657414">
          <w:rPr>
            <w:webHidden/>
          </w:rPr>
          <w:fldChar w:fldCharType="begin"/>
        </w:r>
        <w:r w:rsidR="00657414">
          <w:rPr>
            <w:webHidden/>
          </w:rPr>
          <w:instrText xml:space="preserve"> PAGEREF _Toc121924631 \h </w:instrText>
        </w:r>
        <w:r w:rsidR="00657414">
          <w:rPr>
            <w:webHidden/>
          </w:rPr>
        </w:r>
        <w:r w:rsidR="00657414">
          <w:rPr>
            <w:webHidden/>
          </w:rPr>
          <w:fldChar w:fldCharType="separate"/>
        </w:r>
        <w:r w:rsidR="00657414">
          <w:rPr>
            <w:webHidden/>
          </w:rPr>
          <w:t>5</w:t>
        </w:r>
        <w:r w:rsidR="00657414">
          <w:rPr>
            <w:webHidden/>
          </w:rPr>
          <w:fldChar w:fldCharType="end"/>
        </w:r>
      </w:hyperlink>
    </w:p>
    <w:p w14:paraId="2C3EE297" w14:textId="46405929" w:rsidR="00657414" w:rsidRDefault="00CA1FF2">
      <w:pPr>
        <w:pStyle w:val="TOC3"/>
        <w:rPr>
          <w:rFonts w:asciiTheme="minorHAnsi" w:eastAsiaTheme="minorEastAsia" w:hAnsiTheme="minorHAnsi" w:cstheme="minorBidi"/>
          <w:sz w:val="22"/>
          <w:lang w:eastAsia="en-AU"/>
        </w:rPr>
      </w:pPr>
      <w:hyperlink w:anchor="_Toc121924632" w:history="1">
        <w:r w:rsidR="00657414" w:rsidRPr="00B27221">
          <w:rPr>
            <w:rStyle w:val="Hyperlink"/>
          </w:rPr>
          <w:t>Optional information</w:t>
        </w:r>
        <w:r w:rsidR="00657414">
          <w:rPr>
            <w:webHidden/>
          </w:rPr>
          <w:tab/>
        </w:r>
        <w:r w:rsidR="00657414">
          <w:rPr>
            <w:webHidden/>
          </w:rPr>
          <w:fldChar w:fldCharType="begin"/>
        </w:r>
        <w:r w:rsidR="00657414">
          <w:rPr>
            <w:webHidden/>
          </w:rPr>
          <w:instrText xml:space="preserve"> PAGEREF _Toc121924632 \h </w:instrText>
        </w:r>
        <w:r w:rsidR="00657414">
          <w:rPr>
            <w:webHidden/>
          </w:rPr>
        </w:r>
        <w:r w:rsidR="00657414">
          <w:rPr>
            <w:webHidden/>
          </w:rPr>
          <w:fldChar w:fldCharType="separate"/>
        </w:r>
        <w:r w:rsidR="00657414">
          <w:rPr>
            <w:webHidden/>
          </w:rPr>
          <w:t>6</w:t>
        </w:r>
        <w:r w:rsidR="00657414">
          <w:rPr>
            <w:webHidden/>
          </w:rPr>
          <w:fldChar w:fldCharType="end"/>
        </w:r>
      </w:hyperlink>
    </w:p>
    <w:p w14:paraId="03879599" w14:textId="0F2405E7" w:rsidR="00657414" w:rsidRDefault="00CA1FF2">
      <w:pPr>
        <w:pStyle w:val="TOC3"/>
        <w:rPr>
          <w:rFonts w:asciiTheme="minorHAnsi" w:eastAsiaTheme="minorEastAsia" w:hAnsiTheme="minorHAnsi" w:cstheme="minorBidi"/>
          <w:sz w:val="22"/>
          <w:lang w:eastAsia="en-AU"/>
        </w:rPr>
      </w:pPr>
      <w:hyperlink w:anchor="_Toc121924633" w:history="1">
        <w:r w:rsidR="00657414" w:rsidRPr="00B27221">
          <w:rPr>
            <w:rStyle w:val="Hyperlink"/>
          </w:rPr>
          <w:t>Operational material</w:t>
        </w:r>
        <w:r w:rsidR="00657414">
          <w:rPr>
            <w:webHidden/>
          </w:rPr>
          <w:tab/>
        </w:r>
        <w:r w:rsidR="00657414">
          <w:rPr>
            <w:webHidden/>
          </w:rPr>
          <w:fldChar w:fldCharType="begin"/>
        </w:r>
        <w:r w:rsidR="00657414">
          <w:rPr>
            <w:webHidden/>
          </w:rPr>
          <w:instrText xml:space="preserve"> PAGEREF _Toc121924633 \h </w:instrText>
        </w:r>
        <w:r w:rsidR="00657414">
          <w:rPr>
            <w:webHidden/>
          </w:rPr>
        </w:r>
        <w:r w:rsidR="00657414">
          <w:rPr>
            <w:webHidden/>
          </w:rPr>
          <w:fldChar w:fldCharType="separate"/>
        </w:r>
        <w:r w:rsidR="00657414">
          <w:rPr>
            <w:webHidden/>
          </w:rPr>
          <w:t>6</w:t>
        </w:r>
        <w:r w:rsidR="00657414">
          <w:rPr>
            <w:webHidden/>
          </w:rPr>
          <w:fldChar w:fldCharType="end"/>
        </w:r>
      </w:hyperlink>
    </w:p>
    <w:p w14:paraId="0382C0CA" w14:textId="28F58040" w:rsidR="00657414" w:rsidRDefault="00CA1FF2">
      <w:pPr>
        <w:pStyle w:val="TOC2"/>
        <w:rPr>
          <w:rFonts w:asciiTheme="minorHAnsi" w:eastAsiaTheme="minorEastAsia" w:hAnsiTheme="minorHAnsi" w:cstheme="minorBidi"/>
          <w:sz w:val="22"/>
          <w:lang w:eastAsia="en-AU"/>
        </w:rPr>
      </w:pPr>
      <w:hyperlink w:anchor="_Toc121924634" w:history="1">
        <w:r w:rsidR="00657414" w:rsidRPr="00B27221">
          <w:rPr>
            <w:rStyle w:val="Hyperlink"/>
          </w:rPr>
          <w:t>Administering the IPS Agency Plan</w:t>
        </w:r>
        <w:r w:rsidR="00657414">
          <w:rPr>
            <w:webHidden/>
          </w:rPr>
          <w:tab/>
        </w:r>
        <w:r w:rsidR="00657414">
          <w:rPr>
            <w:webHidden/>
          </w:rPr>
          <w:fldChar w:fldCharType="begin"/>
        </w:r>
        <w:r w:rsidR="00657414">
          <w:rPr>
            <w:webHidden/>
          </w:rPr>
          <w:instrText xml:space="preserve"> PAGEREF _Toc121924634 \h </w:instrText>
        </w:r>
        <w:r w:rsidR="00657414">
          <w:rPr>
            <w:webHidden/>
          </w:rPr>
        </w:r>
        <w:r w:rsidR="00657414">
          <w:rPr>
            <w:webHidden/>
          </w:rPr>
          <w:fldChar w:fldCharType="separate"/>
        </w:r>
        <w:r w:rsidR="00657414">
          <w:rPr>
            <w:webHidden/>
          </w:rPr>
          <w:t>6</w:t>
        </w:r>
        <w:r w:rsidR="00657414">
          <w:rPr>
            <w:webHidden/>
          </w:rPr>
          <w:fldChar w:fldCharType="end"/>
        </w:r>
      </w:hyperlink>
    </w:p>
    <w:p w14:paraId="4A2AAD52" w14:textId="4F3D0DE2" w:rsidR="00657414" w:rsidRDefault="00CA1FF2">
      <w:pPr>
        <w:pStyle w:val="TOC3"/>
        <w:rPr>
          <w:rFonts w:asciiTheme="minorHAnsi" w:eastAsiaTheme="minorEastAsia" w:hAnsiTheme="minorHAnsi" w:cstheme="minorBidi"/>
          <w:sz w:val="22"/>
          <w:lang w:eastAsia="en-AU"/>
        </w:rPr>
      </w:pPr>
      <w:hyperlink w:anchor="_Toc121924635" w:history="1">
        <w:r w:rsidR="00657414" w:rsidRPr="00B27221">
          <w:rPr>
            <w:rStyle w:val="Hyperlink"/>
          </w:rPr>
          <w:t>General objective</w:t>
        </w:r>
        <w:r w:rsidR="00657414">
          <w:rPr>
            <w:webHidden/>
          </w:rPr>
          <w:tab/>
        </w:r>
        <w:r w:rsidR="00657414">
          <w:rPr>
            <w:webHidden/>
          </w:rPr>
          <w:fldChar w:fldCharType="begin"/>
        </w:r>
        <w:r w:rsidR="00657414">
          <w:rPr>
            <w:webHidden/>
          </w:rPr>
          <w:instrText xml:space="preserve"> PAGEREF _Toc121924635 \h </w:instrText>
        </w:r>
        <w:r w:rsidR="00657414">
          <w:rPr>
            <w:webHidden/>
          </w:rPr>
        </w:r>
        <w:r w:rsidR="00657414">
          <w:rPr>
            <w:webHidden/>
          </w:rPr>
          <w:fldChar w:fldCharType="separate"/>
        </w:r>
        <w:r w:rsidR="00657414">
          <w:rPr>
            <w:webHidden/>
          </w:rPr>
          <w:t>6</w:t>
        </w:r>
        <w:r w:rsidR="00657414">
          <w:rPr>
            <w:webHidden/>
          </w:rPr>
          <w:fldChar w:fldCharType="end"/>
        </w:r>
      </w:hyperlink>
    </w:p>
    <w:p w14:paraId="6247F582" w14:textId="23FDBCBF" w:rsidR="00657414" w:rsidRDefault="00CA1FF2">
      <w:pPr>
        <w:pStyle w:val="TOC3"/>
        <w:rPr>
          <w:rFonts w:asciiTheme="minorHAnsi" w:eastAsiaTheme="minorEastAsia" w:hAnsiTheme="minorHAnsi" w:cstheme="minorBidi"/>
          <w:sz w:val="22"/>
          <w:lang w:eastAsia="en-AU"/>
        </w:rPr>
      </w:pPr>
      <w:hyperlink w:anchor="_Toc121924636" w:history="1">
        <w:r w:rsidR="00657414" w:rsidRPr="00B27221">
          <w:rPr>
            <w:rStyle w:val="Hyperlink"/>
          </w:rPr>
          <w:t>Review</w:t>
        </w:r>
        <w:r w:rsidR="00657414">
          <w:rPr>
            <w:webHidden/>
          </w:rPr>
          <w:tab/>
        </w:r>
        <w:r w:rsidR="00657414">
          <w:rPr>
            <w:webHidden/>
          </w:rPr>
          <w:fldChar w:fldCharType="begin"/>
        </w:r>
        <w:r w:rsidR="00657414">
          <w:rPr>
            <w:webHidden/>
          </w:rPr>
          <w:instrText xml:space="preserve"> PAGEREF _Toc121924636 \h </w:instrText>
        </w:r>
        <w:r w:rsidR="00657414">
          <w:rPr>
            <w:webHidden/>
          </w:rPr>
        </w:r>
        <w:r w:rsidR="00657414">
          <w:rPr>
            <w:webHidden/>
          </w:rPr>
          <w:fldChar w:fldCharType="separate"/>
        </w:r>
        <w:r w:rsidR="00657414">
          <w:rPr>
            <w:webHidden/>
          </w:rPr>
          <w:t>6</w:t>
        </w:r>
        <w:r w:rsidR="00657414">
          <w:rPr>
            <w:webHidden/>
          </w:rPr>
          <w:fldChar w:fldCharType="end"/>
        </w:r>
      </w:hyperlink>
    </w:p>
    <w:p w14:paraId="7DA26A71" w14:textId="042F3BEE" w:rsidR="00657414" w:rsidRDefault="00CA1FF2">
      <w:pPr>
        <w:pStyle w:val="TOC2"/>
        <w:rPr>
          <w:rFonts w:asciiTheme="minorHAnsi" w:eastAsiaTheme="minorEastAsia" w:hAnsiTheme="minorHAnsi" w:cstheme="minorBidi"/>
          <w:sz w:val="22"/>
          <w:lang w:eastAsia="en-AU"/>
        </w:rPr>
      </w:pPr>
      <w:hyperlink w:anchor="_Toc121924637" w:history="1">
        <w:r w:rsidR="00657414" w:rsidRPr="00B27221">
          <w:rPr>
            <w:rStyle w:val="Hyperlink"/>
          </w:rPr>
          <w:t>Office of the Inspector–General of Water Compliance FOI requirements</w:t>
        </w:r>
        <w:r w:rsidR="00657414">
          <w:rPr>
            <w:webHidden/>
          </w:rPr>
          <w:tab/>
        </w:r>
        <w:r w:rsidR="00657414">
          <w:rPr>
            <w:webHidden/>
          </w:rPr>
          <w:fldChar w:fldCharType="begin"/>
        </w:r>
        <w:r w:rsidR="00657414">
          <w:rPr>
            <w:webHidden/>
          </w:rPr>
          <w:instrText xml:space="preserve"> PAGEREF _Toc121924637 \h </w:instrText>
        </w:r>
        <w:r w:rsidR="00657414">
          <w:rPr>
            <w:webHidden/>
          </w:rPr>
        </w:r>
        <w:r w:rsidR="00657414">
          <w:rPr>
            <w:webHidden/>
          </w:rPr>
          <w:fldChar w:fldCharType="separate"/>
        </w:r>
        <w:r w:rsidR="00657414">
          <w:rPr>
            <w:webHidden/>
          </w:rPr>
          <w:t>7</w:t>
        </w:r>
        <w:r w:rsidR="00657414">
          <w:rPr>
            <w:webHidden/>
          </w:rPr>
          <w:fldChar w:fldCharType="end"/>
        </w:r>
      </w:hyperlink>
    </w:p>
    <w:p w14:paraId="5ADA78AB" w14:textId="491B39DD" w:rsidR="00657414" w:rsidRDefault="00CA1FF2">
      <w:pPr>
        <w:pStyle w:val="TOC2"/>
        <w:rPr>
          <w:rFonts w:asciiTheme="minorHAnsi" w:eastAsiaTheme="minorEastAsia" w:hAnsiTheme="minorHAnsi" w:cstheme="minorBidi"/>
          <w:sz w:val="22"/>
          <w:lang w:eastAsia="en-AU"/>
        </w:rPr>
      </w:pPr>
      <w:hyperlink w:anchor="_Toc121924638" w:history="1">
        <w:r w:rsidR="00657414" w:rsidRPr="00B27221">
          <w:rPr>
            <w:rStyle w:val="Hyperlink"/>
          </w:rPr>
          <w:t>Feedback</w:t>
        </w:r>
        <w:r w:rsidR="00657414">
          <w:rPr>
            <w:webHidden/>
          </w:rPr>
          <w:tab/>
        </w:r>
        <w:r w:rsidR="00657414">
          <w:rPr>
            <w:webHidden/>
          </w:rPr>
          <w:fldChar w:fldCharType="begin"/>
        </w:r>
        <w:r w:rsidR="00657414">
          <w:rPr>
            <w:webHidden/>
          </w:rPr>
          <w:instrText xml:space="preserve"> PAGEREF _Toc121924638 \h </w:instrText>
        </w:r>
        <w:r w:rsidR="00657414">
          <w:rPr>
            <w:webHidden/>
          </w:rPr>
        </w:r>
        <w:r w:rsidR="00657414">
          <w:rPr>
            <w:webHidden/>
          </w:rPr>
          <w:fldChar w:fldCharType="separate"/>
        </w:r>
        <w:r w:rsidR="00657414">
          <w:rPr>
            <w:webHidden/>
          </w:rPr>
          <w:t>7</w:t>
        </w:r>
        <w:r w:rsidR="00657414">
          <w:rPr>
            <w:webHidden/>
          </w:rPr>
          <w:fldChar w:fldCharType="end"/>
        </w:r>
      </w:hyperlink>
    </w:p>
    <w:p w14:paraId="3AAEBBA7" w14:textId="0A542FA3" w:rsidR="001C0F11" w:rsidRDefault="0066217F" w:rsidP="0085338F">
      <w:r>
        <w:fldChar w:fldCharType="end"/>
      </w:r>
    </w:p>
    <w:p w14:paraId="25BC3F3D" w14:textId="5C61DABF" w:rsidR="001C0F11" w:rsidRDefault="001C0F11" w:rsidP="0085338F">
      <w:pPr>
        <w:sectPr w:rsidR="001C0F11" w:rsidSect="003A39E1">
          <w:headerReference w:type="default" r:id="rId10"/>
          <w:footerReference w:type="default" r:id="rId11"/>
          <w:headerReference w:type="first" r:id="rId12"/>
          <w:footerReference w:type="first" r:id="rId13"/>
          <w:pgSz w:w="11906" w:h="16838"/>
          <w:pgMar w:top="1284" w:right="1134" w:bottom="816" w:left="1134" w:header="431" w:footer="999" w:gutter="0"/>
          <w:cols w:space="708"/>
          <w:titlePg/>
          <w:docGrid w:linePitch="360"/>
        </w:sectPr>
      </w:pPr>
    </w:p>
    <w:p w14:paraId="74A38E0D" w14:textId="1EA37776" w:rsidR="002C07A5" w:rsidRPr="002C07A5" w:rsidRDefault="002C07A5" w:rsidP="002C07A5">
      <w:pPr>
        <w:pStyle w:val="Heading1"/>
        <w:rPr>
          <w:color w:val="FFFFFF"/>
        </w:rPr>
      </w:pPr>
      <w:bookmarkStart w:id="4" w:name="_Toc121924621"/>
      <w:r w:rsidRPr="002C07A5">
        <w:rPr>
          <w:color w:val="FFFFFF"/>
        </w:rPr>
        <w:lastRenderedPageBreak/>
        <w:t>Introduction</w:t>
      </w:r>
      <w:bookmarkEnd w:id="4"/>
    </w:p>
    <w:p w14:paraId="56228214" w14:textId="6EAF3D74" w:rsidR="001239D0" w:rsidRDefault="0034587F" w:rsidP="0034587F">
      <w:pPr>
        <w:pStyle w:val="IntroductionParagraph"/>
      </w:pPr>
      <w:r w:rsidRPr="0034587F">
        <w:t>The 2010-11 reforms to the </w:t>
      </w:r>
      <w:r w:rsidRPr="0034587F">
        <w:rPr>
          <w:i/>
          <w:iCs/>
        </w:rPr>
        <w:t>Freedom of Information Act 1982 </w:t>
      </w:r>
      <w:r w:rsidRPr="0034587F">
        <w:t xml:space="preserve">(FOI Act) established a requirement for an Information Publication Scheme for relevant Australian Government agencies, including the </w:t>
      </w:r>
      <w:r w:rsidR="006E7073">
        <w:t>Inspector–General</w:t>
      </w:r>
      <w:r w:rsidRPr="0034587F">
        <w:t xml:space="preserve"> of Water Compliance (the </w:t>
      </w:r>
      <w:r w:rsidR="006E7073">
        <w:t>Inspector–General</w:t>
      </w:r>
      <w:r w:rsidRPr="0034587F">
        <w:t xml:space="preserve">). In accordance with section 8(1) of the FOI Act, the </w:t>
      </w:r>
      <w:r w:rsidR="006E7073">
        <w:t>Inspector–General</w:t>
      </w:r>
      <w:r w:rsidRPr="0034587F">
        <w:t xml:space="preserve"> has prepared this Information Publication Scheme – </w:t>
      </w:r>
      <w:r w:rsidR="006E7073">
        <w:t>Inspector–General</w:t>
      </w:r>
      <w:r w:rsidRPr="0034587F">
        <w:t xml:space="preserve"> of Water Compliance Agency Plan (the Agency Plan).</w:t>
      </w:r>
    </w:p>
    <w:p w14:paraId="421EDAF3" w14:textId="77777777" w:rsidR="001239D0" w:rsidRDefault="001239D0">
      <w:pPr>
        <w:spacing w:after="0"/>
        <w:rPr>
          <w:b/>
          <w:color w:val="FFFFFF"/>
          <w:sz w:val="28"/>
        </w:rPr>
      </w:pPr>
      <w:r>
        <w:br w:type="page"/>
      </w:r>
    </w:p>
    <w:p w14:paraId="6E9E0250" w14:textId="77777777" w:rsidR="00490B30" w:rsidRPr="00490B30" w:rsidRDefault="00490B30" w:rsidP="001239D0">
      <w:pPr>
        <w:pStyle w:val="Heading2"/>
      </w:pPr>
      <w:bookmarkStart w:id="5" w:name="_Toc121924622"/>
      <w:r w:rsidRPr="00490B30">
        <w:lastRenderedPageBreak/>
        <w:t>Purpose</w:t>
      </w:r>
      <w:bookmarkEnd w:id="5"/>
    </w:p>
    <w:p w14:paraId="3ECBB578" w14:textId="77777777" w:rsidR="00490B30" w:rsidRPr="00490B30" w:rsidRDefault="00490B30" w:rsidP="00490B30">
      <w:r w:rsidRPr="00490B30">
        <w:t>The purpose of the Agency Plan is to:</w:t>
      </w:r>
    </w:p>
    <w:p w14:paraId="27FD808E" w14:textId="3FDFBCDB" w:rsidR="00490B30" w:rsidRPr="00490B30" w:rsidRDefault="00490B30" w:rsidP="00490B30">
      <w:pPr>
        <w:pStyle w:val="ListBullet"/>
      </w:pPr>
      <w:r w:rsidRPr="00490B30">
        <w:t xml:space="preserve">Assist the </w:t>
      </w:r>
      <w:r w:rsidR="006E7073">
        <w:t>Inspector–General</w:t>
      </w:r>
      <w:r w:rsidRPr="00490B30">
        <w:t xml:space="preserve"> in planning and developing its contribution to the Information Publication Scheme</w:t>
      </w:r>
    </w:p>
    <w:p w14:paraId="433997C2" w14:textId="08C58D84" w:rsidR="00490B30" w:rsidRPr="00490B30" w:rsidRDefault="00490B30" w:rsidP="00490B30">
      <w:pPr>
        <w:pStyle w:val="ListBullet"/>
      </w:pPr>
      <w:r w:rsidRPr="00490B30">
        <w:t xml:space="preserve">Demonstrate what information the </w:t>
      </w:r>
      <w:r w:rsidR="006E7073">
        <w:t>Inspector–General</w:t>
      </w:r>
      <w:r w:rsidRPr="00490B30">
        <w:t xml:space="preserve"> proposes to publish, how and to whom the information will be published and how the </w:t>
      </w:r>
      <w:r w:rsidR="006E7073">
        <w:t>Inspector–General</w:t>
      </w:r>
      <w:r w:rsidRPr="00490B30">
        <w:t xml:space="preserve"> will otherwise comply with the Information Publication Scheme</w:t>
      </w:r>
    </w:p>
    <w:p w14:paraId="137FD4F5" w14:textId="3A54AF9F" w:rsidR="00490B30" w:rsidRPr="00490B30" w:rsidRDefault="00490B30" w:rsidP="00490B30">
      <w:pPr>
        <w:pStyle w:val="ListBullet"/>
      </w:pPr>
      <w:r w:rsidRPr="00490B30">
        <w:t xml:space="preserve">Clarify the separate imposition of obligations under the FOI Act on the Office of the </w:t>
      </w:r>
      <w:r w:rsidR="006E7073">
        <w:t>Inspector–General</w:t>
      </w:r>
      <w:r w:rsidRPr="00490B30">
        <w:t xml:space="preserve"> of Water Compliance.</w:t>
      </w:r>
    </w:p>
    <w:p w14:paraId="2A196890" w14:textId="77777777" w:rsidR="00490B30" w:rsidRPr="00490B30" w:rsidRDefault="00490B30" w:rsidP="001239D0">
      <w:pPr>
        <w:pStyle w:val="Heading2"/>
      </w:pPr>
      <w:bookmarkStart w:id="6" w:name="_Toc121924623"/>
      <w:r w:rsidRPr="00490B30">
        <w:t>Objectives</w:t>
      </w:r>
      <w:bookmarkEnd w:id="6"/>
    </w:p>
    <w:p w14:paraId="2BCD2093" w14:textId="4A511713" w:rsidR="00490B30" w:rsidRPr="00490B30" w:rsidRDefault="00490B30" w:rsidP="00490B30">
      <w:r w:rsidRPr="00490B30">
        <w:t xml:space="preserve">The Agency Plan outlines the mechanisms and procedures the </w:t>
      </w:r>
      <w:r w:rsidR="006E7073">
        <w:t>Inspector–General</w:t>
      </w:r>
      <w:r w:rsidRPr="00490B30">
        <w:t xml:space="preserve"> is required to undertake in managing and making information available. These include:</w:t>
      </w:r>
    </w:p>
    <w:p w14:paraId="77676D15" w14:textId="77777777" w:rsidR="00490B30" w:rsidRPr="00490B30" w:rsidRDefault="00490B30" w:rsidP="00490B30">
      <w:pPr>
        <w:numPr>
          <w:ilvl w:val="0"/>
          <w:numId w:val="47"/>
        </w:numPr>
      </w:pPr>
      <w:r w:rsidRPr="00490B30">
        <w:t>Effectively and efficiently managing its information holdings that are relevant to the Information Publication Scheme</w:t>
      </w:r>
    </w:p>
    <w:p w14:paraId="55D0BBFC" w14:textId="77777777" w:rsidR="00490B30" w:rsidRPr="00490B30" w:rsidRDefault="00490B30" w:rsidP="00490B30">
      <w:pPr>
        <w:numPr>
          <w:ilvl w:val="0"/>
          <w:numId w:val="47"/>
        </w:numPr>
      </w:pPr>
      <w:r w:rsidRPr="00490B30">
        <w:t>Identifying all information required to be published, including this plan, under the Information Publication Scheme and identify additional information that can appropriately be published as ‘optional information’</w:t>
      </w:r>
    </w:p>
    <w:p w14:paraId="43C8880A" w14:textId="77777777" w:rsidR="00490B30" w:rsidRPr="00490B30" w:rsidRDefault="00490B30" w:rsidP="00490B30">
      <w:pPr>
        <w:numPr>
          <w:ilvl w:val="0"/>
          <w:numId w:val="47"/>
        </w:numPr>
      </w:pPr>
      <w:r w:rsidRPr="00490B30">
        <w:t>Ensuring that online content conforms with the Government’s Web Content Accessibility Guidelines (as amended from time-to-time)</w:t>
      </w:r>
    </w:p>
    <w:p w14:paraId="7F17CB22" w14:textId="77777777" w:rsidR="00490B30" w:rsidRPr="00490B30" w:rsidRDefault="00490B30" w:rsidP="00490B30">
      <w:pPr>
        <w:numPr>
          <w:ilvl w:val="0"/>
          <w:numId w:val="47"/>
        </w:numPr>
      </w:pPr>
      <w:r w:rsidRPr="00490B30">
        <w:t>Regularly reviewing information published under the Information Publication Scheme to ensure it remains complete, accurate and up-to-date</w:t>
      </w:r>
    </w:p>
    <w:p w14:paraId="4ED8DFF2" w14:textId="77777777" w:rsidR="00490B30" w:rsidRPr="00490B30" w:rsidRDefault="00490B30" w:rsidP="00490B30">
      <w:pPr>
        <w:numPr>
          <w:ilvl w:val="0"/>
          <w:numId w:val="47"/>
        </w:numPr>
      </w:pPr>
      <w:r w:rsidRPr="00490B30">
        <w:t xml:space="preserve">Ensuring that the information published under the Information Publication Scheme is discoverable, searchable, </w:t>
      </w:r>
      <w:proofErr w:type="gramStart"/>
      <w:r w:rsidRPr="00490B30">
        <w:t>understandable</w:t>
      </w:r>
      <w:proofErr w:type="gramEnd"/>
      <w:r w:rsidRPr="00490B30">
        <w:t xml:space="preserve"> and reusable</w:t>
      </w:r>
    </w:p>
    <w:p w14:paraId="711425D8" w14:textId="77777777" w:rsidR="00490B30" w:rsidRPr="00490B30" w:rsidRDefault="00490B30" w:rsidP="00490B30">
      <w:pPr>
        <w:numPr>
          <w:ilvl w:val="0"/>
          <w:numId w:val="47"/>
        </w:numPr>
      </w:pPr>
      <w:r w:rsidRPr="00490B30">
        <w:t>Developing a mechanism and procedures to measure the success of the Agency Plan.</w:t>
      </w:r>
    </w:p>
    <w:p w14:paraId="2CFCD4FE" w14:textId="77777777" w:rsidR="00490B30" w:rsidRPr="00490B30" w:rsidRDefault="00490B30" w:rsidP="001239D0">
      <w:pPr>
        <w:pStyle w:val="Heading2"/>
      </w:pPr>
      <w:bookmarkStart w:id="7" w:name="_Toc121924624"/>
      <w:r w:rsidRPr="00490B30">
        <w:t>Implementing the Information Publication Scheme</w:t>
      </w:r>
      <w:bookmarkEnd w:id="7"/>
    </w:p>
    <w:p w14:paraId="7A83E21F" w14:textId="77777777" w:rsidR="00490B30" w:rsidRPr="00490B30" w:rsidRDefault="00490B30" w:rsidP="00490B30">
      <w:r w:rsidRPr="00490B30">
        <w:t>This section sets out the arrangements for implementing the Information Publication Scheme through the Agency Plan.</w:t>
      </w:r>
    </w:p>
    <w:p w14:paraId="3086B4E7" w14:textId="77777777" w:rsidR="00490B30" w:rsidRPr="00490B30" w:rsidRDefault="00490B30" w:rsidP="001239D0">
      <w:pPr>
        <w:pStyle w:val="Heading3"/>
      </w:pPr>
      <w:bookmarkStart w:id="8" w:name="_Toc121924625"/>
      <w:r w:rsidRPr="00490B30">
        <w:t>Plan owner</w:t>
      </w:r>
      <w:bookmarkEnd w:id="8"/>
    </w:p>
    <w:p w14:paraId="3AD6BC4A" w14:textId="27C0833C" w:rsidR="00490B30" w:rsidRPr="00490B30" w:rsidRDefault="00490B30" w:rsidP="00490B30">
      <w:r w:rsidRPr="00490B30">
        <w:t xml:space="preserve">This Agency Plan is owned by the </w:t>
      </w:r>
      <w:r w:rsidR="006E7073">
        <w:t>Inspector–General</w:t>
      </w:r>
      <w:r w:rsidRPr="00490B30">
        <w:t xml:space="preserve"> of Water Compliance.</w:t>
      </w:r>
    </w:p>
    <w:p w14:paraId="5B022977" w14:textId="77777777" w:rsidR="00490B30" w:rsidRPr="00490B30" w:rsidRDefault="00490B30" w:rsidP="001239D0">
      <w:pPr>
        <w:pStyle w:val="Heading3"/>
      </w:pPr>
      <w:bookmarkStart w:id="9" w:name="_Toc121924626"/>
      <w:r w:rsidRPr="00490B30">
        <w:t>Responsibility for the IPS</w:t>
      </w:r>
      <w:bookmarkEnd w:id="9"/>
    </w:p>
    <w:p w14:paraId="7CFD981D" w14:textId="412ACF6C" w:rsidR="00490B30" w:rsidRPr="00490B30" w:rsidRDefault="00490B30" w:rsidP="00490B30">
      <w:r w:rsidRPr="00490B30">
        <w:t xml:space="preserve">The Deputy </w:t>
      </w:r>
      <w:r w:rsidR="006E7073">
        <w:t>Inspector–General</w:t>
      </w:r>
      <w:r w:rsidRPr="00490B30">
        <w:t xml:space="preserve"> (Capability), with assistance from the Regulatory Best Practice Team in Office of the </w:t>
      </w:r>
      <w:r w:rsidR="006E7073">
        <w:t>Inspector–General</w:t>
      </w:r>
      <w:r w:rsidRPr="00490B30">
        <w:t xml:space="preserve"> of Water Compliance (the office), oversees the implementation of the Information Publication Scheme.</w:t>
      </w:r>
    </w:p>
    <w:p w14:paraId="27C1813B" w14:textId="77777777" w:rsidR="00490B30" w:rsidRPr="00490B30" w:rsidRDefault="00490B30" w:rsidP="001239D0">
      <w:pPr>
        <w:pStyle w:val="Heading3"/>
      </w:pPr>
      <w:bookmarkStart w:id="10" w:name="_Toc121924627"/>
      <w:r w:rsidRPr="00490B30">
        <w:t>How the information can be accessed on the website</w:t>
      </w:r>
      <w:bookmarkEnd w:id="10"/>
    </w:p>
    <w:p w14:paraId="45876F1A" w14:textId="77287BB0" w:rsidR="00490B30" w:rsidRPr="00490B30" w:rsidRDefault="00490B30" w:rsidP="00490B30">
      <w:r w:rsidRPr="00490B30">
        <w:t xml:space="preserve">The </w:t>
      </w:r>
      <w:r w:rsidR="006E7073">
        <w:t>Inspector–General</w:t>
      </w:r>
      <w:r w:rsidRPr="00490B30">
        <w:t xml:space="preserve">’s </w:t>
      </w:r>
      <w:hyperlink r:id="rId14" w:history="1">
        <w:r w:rsidRPr="00490B30">
          <w:rPr>
            <w:rStyle w:val="Hyperlink"/>
          </w:rPr>
          <w:t>FOI page</w:t>
        </w:r>
      </w:hyperlink>
      <w:r w:rsidRPr="00490B30">
        <w:t xml:space="preserve"> is the main portal through which members of the public can access the information made available under this Agency Plan.</w:t>
      </w:r>
    </w:p>
    <w:p w14:paraId="77BE1AE6" w14:textId="77777777" w:rsidR="00490B30" w:rsidRPr="00490B30" w:rsidRDefault="00490B30" w:rsidP="001239D0">
      <w:pPr>
        <w:pStyle w:val="Heading3"/>
      </w:pPr>
      <w:bookmarkStart w:id="11" w:name="_Toc121924628"/>
      <w:r w:rsidRPr="00490B30">
        <w:lastRenderedPageBreak/>
        <w:t>Freedom of information requests</w:t>
      </w:r>
      <w:bookmarkEnd w:id="11"/>
    </w:p>
    <w:p w14:paraId="531ADD51" w14:textId="062C55EE" w:rsidR="00490B30" w:rsidRPr="00490B30" w:rsidRDefault="00490B30" w:rsidP="00490B30">
      <w:r w:rsidRPr="00490B30">
        <w:t xml:space="preserve">The </w:t>
      </w:r>
      <w:r w:rsidR="006E7073">
        <w:t>Inspector–General</w:t>
      </w:r>
      <w:r w:rsidRPr="00490B30">
        <w:t xml:space="preserve">’s </w:t>
      </w:r>
      <w:hyperlink r:id="rId15" w:history="1">
        <w:r w:rsidRPr="00490B30">
          <w:rPr>
            <w:rStyle w:val="Hyperlink"/>
          </w:rPr>
          <w:t>FOI page</w:t>
        </w:r>
      </w:hyperlink>
      <w:r w:rsidRPr="00490B30">
        <w:t xml:space="preserve"> explains how you can make a freedom of information (FOI) request, the review process, </w:t>
      </w:r>
      <w:proofErr w:type="gramStart"/>
      <w:r w:rsidRPr="00490B30">
        <w:t>fees</w:t>
      </w:r>
      <w:proofErr w:type="gramEnd"/>
      <w:r w:rsidRPr="00490B30">
        <w:t xml:space="preserve"> and charges and contact information.</w:t>
      </w:r>
    </w:p>
    <w:p w14:paraId="48A95EB1" w14:textId="77777777" w:rsidR="00490B30" w:rsidRPr="00490B30" w:rsidRDefault="00490B30" w:rsidP="001239D0">
      <w:pPr>
        <w:pStyle w:val="Heading3"/>
      </w:pPr>
      <w:bookmarkStart w:id="12" w:name="_Toc121924629"/>
      <w:r w:rsidRPr="00490B30">
        <w:t>Freedom of information disclosure log</w:t>
      </w:r>
      <w:bookmarkEnd w:id="12"/>
    </w:p>
    <w:p w14:paraId="24A28637" w14:textId="2A17583B" w:rsidR="00490B30" w:rsidRPr="00490B30" w:rsidRDefault="00490B30" w:rsidP="00490B30">
      <w:r w:rsidRPr="00490B30">
        <w:t xml:space="preserve">The disclosure log provides access to documents disclosed by the </w:t>
      </w:r>
      <w:r w:rsidR="006E7073">
        <w:t>Inspector–General</w:t>
      </w:r>
      <w:r w:rsidRPr="00490B30">
        <w:t xml:space="preserve"> pursuant to an FOI request by listing summary information such as title, date of release, including number of pages and descriptions of the types of documents released. The publication of this information is in accordance with section 11C of the FOI Act.</w:t>
      </w:r>
    </w:p>
    <w:p w14:paraId="0A03C4A0" w14:textId="15E4A9A5" w:rsidR="00490B30" w:rsidRPr="00490B30" w:rsidRDefault="00490B30" w:rsidP="00490B30">
      <w:r w:rsidRPr="00490B30">
        <w:t xml:space="preserve">Interested parties may access copies of the documents listed in the </w:t>
      </w:r>
      <w:r w:rsidR="006E7073">
        <w:t>Inspector–General</w:t>
      </w:r>
      <w:r w:rsidRPr="00490B30">
        <w:t xml:space="preserve">’s FOI Disclosure Log (either in hard copy, CD or, where possible, email) by contacting the </w:t>
      </w:r>
      <w:hyperlink r:id="rId16" w:history="1">
        <w:r w:rsidRPr="00490B30">
          <w:rPr>
            <w:rStyle w:val="Hyperlink"/>
          </w:rPr>
          <w:t>FOI Officer</w:t>
        </w:r>
      </w:hyperlink>
      <w:r w:rsidRPr="00490B30">
        <w:t>.</w:t>
      </w:r>
    </w:p>
    <w:p w14:paraId="4D9ADD08" w14:textId="77777777" w:rsidR="00490B30" w:rsidRPr="00490B30" w:rsidRDefault="00490B30" w:rsidP="001239D0">
      <w:pPr>
        <w:pStyle w:val="Heading3"/>
      </w:pPr>
      <w:bookmarkStart w:id="13" w:name="_Toc121924630"/>
      <w:r w:rsidRPr="00490B30">
        <w:t>Information publication requirements</w:t>
      </w:r>
      <w:bookmarkEnd w:id="13"/>
    </w:p>
    <w:p w14:paraId="491E4A81" w14:textId="20D78606" w:rsidR="00490B30" w:rsidRPr="00490B30" w:rsidRDefault="00490B30" w:rsidP="00490B30">
      <w:r w:rsidRPr="00490B30">
        <w:t xml:space="preserve">The </w:t>
      </w:r>
      <w:r w:rsidR="006E7073">
        <w:t>Inspector–General</w:t>
      </w:r>
      <w:r w:rsidRPr="00490B30">
        <w:t xml:space="preserve"> will publish all documents required under sections 8, 8(A), 8(C) and 8(D) of the FOI Act.</w:t>
      </w:r>
    </w:p>
    <w:p w14:paraId="2A1D2576" w14:textId="589BEDEE" w:rsidR="00490B30" w:rsidRPr="00490B30" w:rsidRDefault="00490B30" w:rsidP="00490B30">
      <w:pPr>
        <w:rPr>
          <w:bCs/>
        </w:rPr>
      </w:pPr>
      <w:r w:rsidRPr="00490B30">
        <w:rPr>
          <w:bCs/>
        </w:rPr>
        <w:t xml:space="preserve">Information published by the </w:t>
      </w:r>
      <w:r w:rsidR="006E7073">
        <w:rPr>
          <w:bCs/>
        </w:rPr>
        <w:t>Inspector–General</w:t>
      </w:r>
    </w:p>
    <w:p w14:paraId="3B32D73D" w14:textId="60A0EA02" w:rsidR="00490B30" w:rsidRPr="00490B30" w:rsidRDefault="00490B30" w:rsidP="001239D0">
      <w:pPr>
        <w:pStyle w:val="Heading3"/>
      </w:pPr>
      <w:bookmarkStart w:id="14" w:name="_Toc121924631"/>
      <w:r w:rsidRPr="00490B30">
        <w:t xml:space="preserve">What the </w:t>
      </w:r>
      <w:r w:rsidR="006E7073">
        <w:t>Inspector–General</w:t>
      </w:r>
      <w:r w:rsidRPr="00490B30">
        <w:t xml:space="preserve"> will publish</w:t>
      </w:r>
      <w:bookmarkEnd w:id="14"/>
    </w:p>
    <w:p w14:paraId="23B9F749" w14:textId="77777777" w:rsidR="00490B30" w:rsidRPr="00490B30" w:rsidRDefault="00CA1FF2" w:rsidP="00490B30">
      <w:pPr>
        <w:numPr>
          <w:ilvl w:val="0"/>
          <w:numId w:val="48"/>
        </w:numPr>
      </w:pPr>
      <w:hyperlink r:id="rId17" w:history="1">
        <w:r w:rsidR="00490B30" w:rsidRPr="00490B30">
          <w:rPr>
            <w:rStyle w:val="Hyperlink"/>
          </w:rPr>
          <w:t>Annual reports</w:t>
        </w:r>
      </w:hyperlink>
      <w:r w:rsidR="00490B30" w:rsidRPr="00490B30">
        <w:t xml:space="preserve"> (published in accordance with section 215Y of the Water Act)</w:t>
      </w:r>
    </w:p>
    <w:p w14:paraId="305066DD" w14:textId="77777777" w:rsidR="00490B30" w:rsidRPr="00490B30" w:rsidRDefault="00CA1FF2" w:rsidP="00490B30">
      <w:pPr>
        <w:numPr>
          <w:ilvl w:val="0"/>
          <w:numId w:val="48"/>
        </w:numPr>
      </w:pPr>
      <w:hyperlink r:id="rId18" w:anchor="1" w:history="1">
        <w:r w:rsidR="00490B30" w:rsidRPr="00490B30">
          <w:rPr>
            <w:rStyle w:val="Hyperlink"/>
          </w:rPr>
          <w:t>Annual work plan</w:t>
        </w:r>
      </w:hyperlink>
      <w:r w:rsidR="00490B30" w:rsidRPr="00490B30">
        <w:t xml:space="preserve"> (published in accordance with section 215E of the Water Act)</w:t>
      </w:r>
    </w:p>
    <w:p w14:paraId="178700BB" w14:textId="77777777" w:rsidR="00490B30" w:rsidRPr="00490B30" w:rsidRDefault="00CA1FF2" w:rsidP="00490B30">
      <w:pPr>
        <w:numPr>
          <w:ilvl w:val="0"/>
          <w:numId w:val="48"/>
        </w:numPr>
      </w:pPr>
      <w:hyperlink r:id="rId19" w:history="1">
        <w:r w:rsidR="00490B30" w:rsidRPr="00490B30">
          <w:rPr>
            <w:rStyle w:val="Hyperlink"/>
          </w:rPr>
          <w:t>Audit reports</w:t>
        </w:r>
      </w:hyperlink>
      <w:r w:rsidR="00490B30" w:rsidRPr="00490B30">
        <w:t xml:space="preserve"> (published in accordance with section 73N of the Water Act)</w:t>
      </w:r>
    </w:p>
    <w:p w14:paraId="3133D49C" w14:textId="77777777" w:rsidR="00490B30" w:rsidRPr="00490B30" w:rsidRDefault="00490B30" w:rsidP="00490B30">
      <w:pPr>
        <w:numPr>
          <w:ilvl w:val="0"/>
          <w:numId w:val="48"/>
        </w:numPr>
      </w:pPr>
      <w:r w:rsidRPr="00490B30">
        <w:t xml:space="preserve">Open consultations </w:t>
      </w:r>
    </w:p>
    <w:p w14:paraId="2C7033DF" w14:textId="77777777" w:rsidR="00490B30" w:rsidRPr="00490B30" w:rsidRDefault="00CA1FF2" w:rsidP="00490B30">
      <w:pPr>
        <w:numPr>
          <w:ilvl w:val="0"/>
          <w:numId w:val="48"/>
        </w:numPr>
      </w:pPr>
      <w:hyperlink r:id="rId20" w:history="1">
        <w:r w:rsidR="00490B30" w:rsidRPr="00490B30">
          <w:rPr>
            <w:rStyle w:val="Hyperlink"/>
          </w:rPr>
          <w:t>Contact information</w:t>
        </w:r>
      </w:hyperlink>
    </w:p>
    <w:p w14:paraId="6782CBA0" w14:textId="77777777" w:rsidR="00490B30" w:rsidRPr="00490B30" w:rsidRDefault="00490B30" w:rsidP="00490B30">
      <w:pPr>
        <w:numPr>
          <w:ilvl w:val="0"/>
          <w:numId w:val="48"/>
        </w:numPr>
      </w:pPr>
      <w:r w:rsidRPr="00490B30">
        <w:t>Decision making powers under the Water Act</w:t>
      </w:r>
    </w:p>
    <w:p w14:paraId="1FCA9C42" w14:textId="77777777" w:rsidR="00490B30" w:rsidRPr="00490B30" w:rsidRDefault="00CA1FF2" w:rsidP="00490B30">
      <w:pPr>
        <w:numPr>
          <w:ilvl w:val="0"/>
          <w:numId w:val="48"/>
        </w:numPr>
      </w:pPr>
      <w:hyperlink r:id="rId21" w:history="1">
        <w:r w:rsidR="00490B30" w:rsidRPr="00490B30">
          <w:rPr>
            <w:rStyle w:val="Hyperlink"/>
          </w:rPr>
          <w:t>Disclosure Log of information released pursuant to FOI requests</w:t>
        </w:r>
      </w:hyperlink>
    </w:p>
    <w:p w14:paraId="3AD94F5E" w14:textId="77777777" w:rsidR="00490B30" w:rsidRPr="00490B30" w:rsidRDefault="00CA1FF2" w:rsidP="00490B30">
      <w:pPr>
        <w:numPr>
          <w:ilvl w:val="0"/>
          <w:numId w:val="48"/>
        </w:numPr>
      </w:pPr>
      <w:hyperlink r:id="rId22" w:anchor="3" w:history="1">
        <w:r w:rsidR="00490B30" w:rsidRPr="00490B30">
          <w:rPr>
            <w:rStyle w:val="Hyperlink"/>
          </w:rPr>
          <w:t>Frequently asked questions</w:t>
        </w:r>
      </w:hyperlink>
    </w:p>
    <w:p w14:paraId="3DC69640" w14:textId="77777777" w:rsidR="00490B30" w:rsidRPr="00490B30" w:rsidRDefault="00CA1FF2" w:rsidP="00490B30">
      <w:pPr>
        <w:numPr>
          <w:ilvl w:val="0"/>
          <w:numId w:val="48"/>
        </w:numPr>
      </w:pPr>
      <w:hyperlink r:id="rId23" w:history="1">
        <w:r w:rsidR="00490B30" w:rsidRPr="00490B30">
          <w:rPr>
            <w:rStyle w:val="Hyperlink"/>
          </w:rPr>
          <w:t>Governance arrangements</w:t>
        </w:r>
      </w:hyperlink>
    </w:p>
    <w:p w14:paraId="067EEB92" w14:textId="77777777" w:rsidR="00490B30" w:rsidRPr="00490B30" w:rsidRDefault="00490B30" w:rsidP="00490B30">
      <w:pPr>
        <w:numPr>
          <w:ilvl w:val="0"/>
          <w:numId w:val="48"/>
        </w:numPr>
      </w:pPr>
      <w:r w:rsidRPr="00490B30">
        <w:t>Guidelines (issued in accordance with section 215V of the Water Act)</w:t>
      </w:r>
    </w:p>
    <w:p w14:paraId="4E1FFD1B" w14:textId="77777777" w:rsidR="00490B30" w:rsidRPr="00490B30" w:rsidRDefault="00CA1FF2" w:rsidP="00490B30">
      <w:pPr>
        <w:numPr>
          <w:ilvl w:val="0"/>
          <w:numId w:val="48"/>
        </w:numPr>
      </w:pPr>
      <w:hyperlink r:id="rId24" w:history="1">
        <w:r w:rsidR="00490B30" w:rsidRPr="00490B30">
          <w:rPr>
            <w:rStyle w:val="Hyperlink"/>
          </w:rPr>
          <w:t>Inquiry reports</w:t>
        </w:r>
      </w:hyperlink>
      <w:r w:rsidR="00490B30" w:rsidRPr="00490B30">
        <w:t xml:space="preserve"> (published in accordance with section 239AE of the Water Act)</w:t>
      </w:r>
    </w:p>
    <w:p w14:paraId="3C3DD012" w14:textId="77777777" w:rsidR="00490B30" w:rsidRPr="00490B30" w:rsidRDefault="00CA1FF2" w:rsidP="00490B30">
      <w:pPr>
        <w:numPr>
          <w:ilvl w:val="0"/>
          <w:numId w:val="48"/>
        </w:numPr>
      </w:pPr>
      <w:hyperlink r:id="rId25" w:history="1">
        <w:r w:rsidR="00490B30" w:rsidRPr="00490B30">
          <w:rPr>
            <w:rStyle w:val="Hyperlink"/>
          </w:rPr>
          <w:t>Media releases</w:t>
        </w:r>
      </w:hyperlink>
    </w:p>
    <w:p w14:paraId="2A642585" w14:textId="18C725A0" w:rsidR="00490B30" w:rsidRPr="00490B30" w:rsidRDefault="00CA1FF2" w:rsidP="00490B30">
      <w:pPr>
        <w:numPr>
          <w:ilvl w:val="0"/>
          <w:numId w:val="48"/>
        </w:numPr>
      </w:pPr>
      <w:hyperlink r:id="rId26" w:anchor="4" w:history="1">
        <w:r w:rsidR="00490B30" w:rsidRPr="00490B30">
          <w:rPr>
            <w:rStyle w:val="Hyperlink"/>
          </w:rPr>
          <w:t xml:space="preserve">Office of the </w:t>
        </w:r>
        <w:r w:rsidR="006E7073">
          <w:rPr>
            <w:rStyle w:val="Hyperlink"/>
          </w:rPr>
          <w:t>Inspector–General</w:t>
        </w:r>
        <w:r w:rsidR="00490B30" w:rsidRPr="00490B30">
          <w:rPr>
            <w:rStyle w:val="Hyperlink"/>
          </w:rPr>
          <w:t xml:space="preserve"> of Water Compliance organisation chart</w:t>
        </w:r>
      </w:hyperlink>
    </w:p>
    <w:p w14:paraId="5F003721" w14:textId="77777777" w:rsidR="00490B30" w:rsidRPr="00490B30" w:rsidRDefault="00490B30" w:rsidP="00490B30">
      <w:pPr>
        <w:numPr>
          <w:ilvl w:val="0"/>
          <w:numId w:val="48"/>
        </w:numPr>
      </w:pPr>
      <w:r w:rsidRPr="00490B30">
        <w:t>Statutory appointments (under section 215TA of the Water Act)</w:t>
      </w:r>
    </w:p>
    <w:p w14:paraId="264FE8B2" w14:textId="77777777" w:rsidR="00490B30" w:rsidRPr="00490B30" w:rsidRDefault="00490B30" w:rsidP="00490B30">
      <w:pPr>
        <w:numPr>
          <w:ilvl w:val="0"/>
          <w:numId w:val="48"/>
        </w:numPr>
      </w:pPr>
      <w:r w:rsidRPr="00490B30">
        <w:t>Standards (issued in accordance with section 215VA of the Water Act)</w:t>
      </w:r>
    </w:p>
    <w:p w14:paraId="629ECA3B" w14:textId="0332D92F" w:rsidR="00490B30" w:rsidRPr="00490B30" w:rsidRDefault="00CA1FF2" w:rsidP="00490B30">
      <w:pPr>
        <w:numPr>
          <w:ilvl w:val="0"/>
          <w:numId w:val="48"/>
        </w:numPr>
      </w:pPr>
      <w:hyperlink r:id="rId27" w:anchor="2" w:history="1">
        <w:r w:rsidR="00490B30" w:rsidRPr="00490B30">
          <w:rPr>
            <w:rStyle w:val="Hyperlink"/>
          </w:rPr>
          <w:t xml:space="preserve">What the </w:t>
        </w:r>
        <w:r w:rsidR="006E7073">
          <w:rPr>
            <w:rStyle w:val="Hyperlink"/>
          </w:rPr>
          <w:t>Inspector–General</w:t>
        </w:r>
        <w:r w:rsidR="00490B30" w:rsidRPr="00490B30">
          <w:rPr>
            <w:rStyle w:val="Hyperlink"/>
          </w:rPr>
          <w:t xml:space="preserve"> of Water Compliance does</w:t>
        </w:r>
      </w:hyperlink>
    </w:p>
    <w:p w14:paraId="00C123E9" w14:textId="542D53B0" w:rsidR="00490B30" w:rsidRPr="00490B30" w:rsidRDefault="00CA1FF2" w:rsidP="00490B30">
      <w:pPr>
        <w:numPr>
          <w:ilvl w:val="0"/>
          <w:numId w:val="48"/>
        </w:numPr>
      </w:pPr>
      <w:hyperlink r:id="rId28" w:anchor="1" w:history="1">
        <w:r w:rsidR="00490B30" w:rsidRPr="00490B30">
          <w:rPr>
            <w:rStyle w:val="Hyperlink"/>
          </w:rPr>
          <w:t xml:space="preserve">Who the </w:t>
        </w:r>
        <w:r w:rsidR="006E7073">
          <w:rPr>
            <w:rStyle w:val="Hyperlink"/>
          </w:rPr>
          <w:t>Inspector–General</w:t>
        </w:r>
        <w:r w:rsidR="00490B30" w:rsidRPr="00490B30">
          <w:rPr>
            <w:rStyle w:val="Hyperlink"/>
          </w:rPr>
          <w:t xml:space="preserve"> of Water Compliance is</w:t>
        </w:r>
      </w:hyperlink>
    </w:p>
    <w:p w14:paraId="0C8B5965" w14:textId="77777777" w:rsidR="00490B30" w:rsidRPr="00490B30" w:rsidRDefault="00490B30" w:rsidP="001239D0">
      <w:pPr>
        <w:pStyle w:val="Heading3"/>
      </w:pPr>
      <w:bookmarkStart w:id="15" w:name="_Toc121924632"/>
      <w:r w:rsidRPr="00490B30">
        <w:t>Optional information</w:t>
      </w:r>
      <w:bookmarkEnd w:id="15"/>
    </w:p>
    <w:p w14:paraId="58F13090" w14:textId="4838C762" w:rsidR="00490B30" w:rsidRPr="00490B30" w:rsidRDefault="00490B30" w:rsidP="00490B30">
      <w:proofErr w:type="gramStart"/>
      <w:r w:rsidRPr="00490B30">
        <w:t>Taking into account</w:t>
      </w:r>
      <w:proofErr w:type="gramEnd"/>
      <w:r w:rsidRPr="00490B30">
        <w:t xml:space="preserve"> the objectives of the FOI Act (s 3(4)), the </w:t>
      </w:r>
      <w:r w:rsidR="006E7073">
        <w:t>Inspector–General</w:t>
      </w:r>
      <w:r w:rsidRPr="00490B30">
        <w:t xml:space="preserve"> will publish as much information as possible on its website to comply with the FOI Act and in the interests of full disclosure (in addition to the information published under s 8(2)).</w:t>
      </w:r>
    </w:p>
    <w:p w14:paraId="37E0E47C" w14:textId="4681738F" w:rsidR="00490B30" w:rsidRPr="00490B30" w:rsidRDefault="00490B30" w:rsidP="00490B30">
      <w:r w:rsidRPr="00490B30">
        <w:lastRenderedPageBreak/>
        <w:t xml:space="preserve">However, the </w:t>
      </w:r>
      <w:r w:rsidR="006E7073">
        <w:t>Inspector–General</w:t>
      </w:r>
      <w:r w:rsidRPr="00490B30">
        <w:t xml:space="preserve">’s publication practices must be balanced against its obligation to respect and maintain confidential information, which includes, among other things, personal information and information provided in confidence by third party. This type of information will only be published when the public interest test </w:t>
      </w:r>
      <w:proofErr w:type="gramStart"/>
      <w:r w:rsidRPr="00490B30">
        <w:t>applies</w:t>
      </w:r>
      <w:proofErr w:type="gramEnd"/>
      <w:r w:rsidRPr="00490B30">
        <w:t xml:space="preserve"> or consent is provided by the owner of the information. The public and stakeholders should remain confident that any personal or confidential information the </w:t>
      </w:r>
      <w:r w:rsidR="006E7073">
        <w:t>Inspector–General</w:t>
      </w:r>
      <w:r w:rsidRPr="00490B30">
        <w:t xml:space="preserve"> possesses will be protected from release when it is appropriate to do so.</w:t>
      </w:r>
    </w:p>
    <w:p w14:paraId="49AA34E0" w14:textId="238322C8" w:rsidR="00490B30" w:rsidRPr="00490B30" w:rsidRDefault="00490B30" w:rsidP="00490B30">
      <w:r w:rsidRPr="00490B30">
        <w:t xml:space="preserve">The </w:t>
      </w:r>
      <w:r w:rsidR="006E7073">
        <w:t>Inspector–General</w:t>
      </w:r>
      <w:r w:rsidRPr="00490B30">
        <w:t xml:space="preserve"> will ensure documents published can be found easily and are searchable. The </w:t>
      </w:r>
      <w:r w:rsidR="006E7073">
        <w:t>Inspector–General</w:t>
      </w:r>
      <w:r w:rsidRPr="00490B30">
        <w:t>'s website has user friendly navigation and an easy-to-use search function.</w:t>
      </w:r>
    </w:p>
    <w:p w14:paraId="21BB4853" w14:textId="426F2846" w:rsidR="00490B30" w:rsidRPr="00490B30" w:rsidRDefault="00490B30" w:rsidP="00490B30">
      <w:r w:rsidRPr="00490B30">
        <w:t xml:space="preserve">The </w:t>
      </w:r>
      <w:r w:rsidR="006E7073">
        <w:t>Inspector–General</w:t>
      </w:r>
      <w:r w:rsidRPr="00490B30">
        <w:t xml:space="preserve"> encourages people to print copies of required documents, if they are available on the website, rather than asking the </w:t>
      </w:r>
      <w:r w:rsidR="006E7073">
        <w:t>Inspector–General</w:t>
      </w:r>
      <w:r w:rsidRPr="00490B30">
        <w:t xml:space="preserve"> to do so. The </w:t>
      </w:r>
      <w:r w:rsidR="006E7073">
        <w:t>Inspector–General</w:t>
      </w:r>
      <w:r w:rsidRPr="00490B30">
        <w:t xml:space="preserve"> may impose a charge when asked to print </w:t>
      </w:r>
      <w:proofErr w:type="gramStart"/>
      <w:r w:rsidRPr="00490B30">
        <w:t>a large number of</w:t>
      </w:r>
      <w:proofErr w:type="gramEnd"/>
      <w:r w:rsidRPr="00490B30">
        <w:t xml:space="preserve"> documents. This is consistent with charges in the </w:t>
      </w:r>
      <w:r w:rsidRPr="00490B30">
        <w:rPr>
          <w:i/>
          <w:iCs/>
        </w:rPr>
        <w:t>Freedom of Information (Charges) Regulations 1982</w:t>
      </w:r>
      <w:r w:rsidRPr="00490B30">
        <w:t>, which generally apply to access requests under Part III of the FOI Act.</w:t>
      </w:r>
    </w:p>
    <w:p w14:paraId="28D24E8D" w14:textId="77777777" w:rsidR="00490B30" w:rsidRPr="00490B30" w:rsidRDefault="00490B30" w:rsidP="001239D0">
      <w:pPr>
        <w:pStyle w:val="Heading3"/>
      </w:pPr>
      <w:bookmarkStart w:id="16" w:name="_Toc121924633"/>
      <w:r w:rsidRPr="00490B30">
        <w:t>Operational material</w:t>
      </w:r>
      <w:bookmarkEnd w:id="16"/>
    </w:p>
    <w:p w14:paraId="271C4C1E" w14:textId="62CD60C4" w:rsidR="00490B30" w:rsidRPr="00490B30" w:rsidRDefault="00490B30" w:rsidP="00490B30">
      <w:r w:rsidRPr="00490B30">
        <w:t xml:space="preserve">The </w:t>
      </w:r>
      <w:r w:rsidR="006E7073">
        <w:t>Inspector–General</w:t>
      </w:r>
      <w:r w:rsidRPr="00490B30">
        <w:t xml:space="preserve"> is committed to acting with integrity by being transparent in how the functions and powers under the Water Act will be used. Among other things, the </w:t>
      </w:r>
      <w:r w:rsidR="006E7073">
        <w:t>Inspector–General</w:t>
      </w:r>
      <w:r w:rsidRPr="00490B30">
        <w:t xml:space="preserve"> will publish operational material setting out how the </w:t>
      </w:r>
      <w:r w:rsidR="006E7073">
        <w:t>Inspector–General</w:t>
      </w:r>
      <w:r w:rsidRPr="00490B30">
        <w:t xml:space="preserve"> and Office will conduct activities supporting those functions and powers. </w:t>
      </w:r>
    </w:p>
    <w:p w14:paraId="03A0ED06" w14:textId="149C02E6" w:rsidR="00490B30" w:rsidRPr="00490B30" w:rsidRDefault="00490B30" w:rsidP="00490B30">
      <w:r w:rsidRPr="00490B30">
        <w:t xml:space="preserve">The purpose of this operational material is to provide clarity around the reasons for a specified approach and predictability in how the powers under the Water Act are exercised. Consequently, this material will be developed having regard to feedback from affected persons or other parties, in line with best practice. This material and relevant feedback will be published on the </w:t>
      </w:r>
      <w:r w:rsidR="006E7073">
        <w:t>Inspector–General</w:t>
      </w:r>
      <w:r w:rsidRPr="00490B30">
        <w:t>’s website.</w:t>
      </w:r>
    </w:p>
    <w:p w14:paraId="4FB1B5A7" w14:textId="77777777" w:rsidR="00490B30" w:rsidRPr="00490B30" w:rsidRDefault="00490B30" w:rsidP="001239D0">
      <w:pPr>
        <w:pStyle w:val="Heading2"/>
      </w:pPr>
      <w:bookmarkStart w:id="17" w:name="_Toc121924634"/>
      <w:r w:rsidRPr="00490B30">
        <w:t>Administering the IPS Agency Plan</w:t>
      </w:r>
      <w:bookmarkEnd w:id="17"/>
    </w:p>
    <w:p w14:paraId="6F92A387" w14:textId="5631F32C" w:rsidR="00490B30" w:rsidRPr="00490B30" w:rsidRDefault="00490B30" w:rsidP="00490B30">
      <w:r w:rsidRPr="00490B30">
        <w:t xml:space="preserve">The </w:t>
      </w:r>
      <w:r w:rsidR="006E7073">
        <w:t>Inspector–General</w:t>
      </w:r>
      <w:r w:rsidRPr="00490B30">
        <w:t xml:space="preserve"> will publish all mandated information relevant to the statutory office of the </w:t>
      </w:r>
      <w:r w:rsidR="006E7073">
        <w:t>Inspector–General</w:t>
      </w:r>
      <w:r w:rsidRPr="00490B30">
        <w:t xml:space="preserve"> of Water Compliance as it is finalised. </w:t>
      </w:r>
    </w:p>
    <w:p w14:paraId="67986668" w14:textId="77777777" w:rsidR="00490B30" w:rsidRPr="00490B30" w:rsidRDefault="00490B30" w:rsidP="001239D0">
      <w:pPr>
        <w:pStyle w:val="Heading3"/>
      </w:pPr>
      <w:bookmarkStart w:id="18" w:name="_Toc121924635"/>
      <w:r w:rsidRPr="00490B30">
        <w:t>General objective</w:t>
      </w:r>
      <w:bookmarkEnd w:id="18"/>
    </w:p>
    <w:p w14:paraId="5C9D8111" w14:textId="3412C187" w:rsidR="00490B30" w:rsidRPr="00490B30" w:rsidRDefault="00490B30" w:rsidP="00490B30">
      <w:r w:rsidRPr="00490B30">
        <w:t xml:space="preserve">The </w:t>
      </w:r>
      <w:r w:rsidR="006E7073">
        <w:t>Inspector–General</w:t>
      </w:r>
      <w:r w:rsidRPr="00490B30">
        <w:t xml:space="preserve">’s objective is to be transparent in making decisions in accordance with the Water Act, including through the disclosure of material used by the Commission in its functions and decision-making, unless otherwise prevented (such as for confidential information). The </w:t>
      </w:r>
      <w:r w:rsidR="006E7073">
        <w:t>Inspector–General</w:t>
      </w:r>
      <w:r w:rsidRPr="00490B30">
        <w:t xml:space="preserve"> will be as proactive as possible in publishing both optional and operational information </w:t>
      </w:r>
      <w:proofErr w:type="gramStart"/>
      <w:r w:rsidRPr="00490B30">
        <w:t>in order to</w:t>
      </w:r>
      <w:proofErr w:type="gramEnd"/>
      <w:r w:rsidRPr="00490B30">
        <w:t xml:space="preserve"> comply with its obligations.</w:t>
      </w:r>
    </w:p>
    <w:p w14:paraId="216D487D" w14:textId="77777777" w:rsidR="00490B30" w:rsidRPr="00490B30" w:rsidRDefault="00490B30" w:rsidP="001239D0">
      <w:pPr>
        <w:pStyle w:val="Heading3"/>
      </w:pPr>
      <w:bookmarkStart w:id="19" w:name="_Toc121924636"/>
      <w:r w:rsidRPr="00490B30">
        <w:t>Review</w:t>
      </w:r>
      <w:bookmarkEnd w:id="19"/>
    </w:p>
    <w:p w14:paraId="788298AE" w14:textId="19B7B8E5" w:rsidR="00490B30" w:rsidRPr="00490B30" w:rsidRDefault="00490B30" w:rsidP="00490B30">
      <w:r w:rsidRPr="00490B30">
        <w:t xml:space="preserve">The </w:t>
      </w:r>
      <w:r w:rsidR="006E7073">
        <w:t>Inspector–General</w:t>
      </w:r>
      <w:r w:rsidRPr="00490B30">
        <w:t xml:space="preserve"> will ensure that all information is accurate and up to date at the time of publication. </w:t>
      </w:r>
    </w:p>
    <w:p w14:paraId="45285108" w14:textId="6D8EF26C" w:rsidR="00490B30" w:rsidRPr="00490B30" w:rsidRDefault="00490B30" w:rsidP="00490B30">
      <w:r w:rsidRPr="00490B30">
        <w:t xml:space="preserve">The </w:t>
      </w:r>
      <w:r w:rsidR="006E7073">
        <w:t>Inspector–General</w:t>
      </w:r>
      <w:r w:rsidRPr="00490B30">
        <w:t xml:space="preserve">’s objective with respect to IPS is to ensure transparency and openness with the public in its decision-making processes. The </w:t>
      </w:r>
      <w:r w:rsidR="006E7073">
        <w:t>Inspector–General</w:t>
      </w:r>
      <w:r w:rsidRPr="00490B30">
        <w:t xml:space="preserve"> will ensure that comments made by the public in relation to this Agency Plan will be </w:t>
      </w:r>
      <w:proofErr w:type="gramStart"/>
      <w:r w:rsidRPr="00490B30">
        <w:t>taken into account</w:t>
      </w:r>
      <w:proofErr w:type="gramEnd"/>
      <w:r w:rsidRPr="00490B30">
        <w:t xml:space="preserve"> and the plan amended as appropriate.</w:t>
      </w:r>
    </w:p>
    <w:p w14:paraId="36B989A2" w14:textId="639246B6" w:rsidR="00490B30" w:rsidRPr="00490B30" w:rsidRDefault="00490B30" w:rsidP="001239D0">
      <w:pPr>
        <w:pStyle w:val="Heading2"/>
      </w:pPr>
      <w:bookmarkStart w:id="20" w:name="_Toc121924637"/>
      <w:r w:rsidRPr="00490B30">
        <w:lastRenderedPageBreak/>
        <w:t xml:space="preserve">Office of the </w:t>
      </w:r>
      <w:r w:rsidR="006E7073">
        <w:t>Inspector–General</w:t>
      </w:r>
      <w:r w:rsidRPr="00490B30">
        <w:t xml:space="preserve"> of Water Compliance FOI requirements</w:t>
      </w:r>
      <w:bookmarkEnd w:id="20"/>
    </w:p>
    <w:p w14:paraId="06E1CAA5" w14:textId="55CE402E" w:rsidR="00490B30" w:rsidRPr="00490B30" w:rsidRDefault="00490B30" w:rsidP="00490B30">
      <w:r w:rsidRPr="00490B30">
        <w:t xml:space="preserve">The </w:t>
      </w:r>
      <w:r w:rsidR="006E7073">
        <w:t>Inspector–General</w:t>
      </w:r>
      <w:r w:rsidRPr="00490B30">
        <w:t xml:space="preserve"> is supported by the office, which sits in the Department of Climate Change, Energy, the Environment and Water portfolio. </w:t>
      </w:r>
    </w:p>
    <w:p w14:paraId="1F27D7A9" w14:textId="77777777" w:rsidR="00490B30" w:rsidRPr="00490B30" w:rsidRDefault="00490B30" w:rsidP="00490B30">
      <w:r w:rsidRPr="00490B30">
        <w:t xml:space="preserve">Material developed by the office, where not covered by this Agency Plan, is information that is managed by the Department of Climate Change, Energy, the Environment and Water in accordance with its </w:t>
      </w:r>
      <w:hyperlink r:id="rId29" w:history="1">
        <w:r w:rsidRPr="00490B30">
          <w:rPr>
            <w:rStyle w:val="Hyperlink"/>
          </w:rPr>
          <w:t>FOI arrangements</w:t>
        </w:r>
      </w:hyperlink>
      <w:r w:rsidRPr="00490B30">
        <w:t>.</w:t>
      </w:r>
    </w:p>
    <w:p w14:paraId="56893F51" w14:textId="77777777" w:rsidR="00490B30" w:rsidRPr="00490B30" w:rsidRDefault="00490B30" w:rsidP="001239D0">
      <w:pPr>
        <w:pStyle w:val="Heading2"/>
      </w:pPr>
      <w:bookmarkStart w:id="21" w:name="_Toc121924638"/>
      <w:r w:rsidRPr="00490B30">
        <w:t>Feedback</w:t>
      </w:r>
      <w:bookmarkEnd w:id="21"/>
    </w:p>
    <w:p w14:paraId="6A4EE6DB" w14:textId="77777777" w:rsidR="00490B30" w:rsidRPr="00490B30" w:rsidRDefault="00490B30" w:rsidP="00490B30">
      <w:r w:rsidRPr="00490B30">
        <w:t>Feedback on the Agency Plan can be provided through the following methods:</w:t>
      </w:r>
    </w:p>
    <w:p w14:paraId="6FFB56FE" w14:textId="77777777" w:rsidR="00490B30" w:rsidRPr="00490B30" w:rsidRDefault="00490B30" w:rsidP="00490B30">
      <w:r w:rsidRPr="00490B30">
        <w:t>By post:</w:t>
      </w:r>
    </w:p>
    <w:p w14:paraId="18453CA5" w14:textId="14F5471A" w:rsidR="00490B30" w:rsidRPr="00490B30" w:rsidRDefault="00490B30" w:rsidP="00490B30">
      <w:r w:rsidRPr="00490B30">
        <w:tab/>
      </w:r>
      <w:r w:rsidR="006E7073">
        <w:t>Inspector–General</w:t>
      </w:r>
      <w:r w:rsidRPr="00490B30">
        <w:t xml:space="preserve"> of Water Compliance</w:t>
      </w:r>
      <w:r w:rsidRPr="00490B30">
        <w:br/>
      </w:r>
      <w:r w:rsidRPr="00490B30">
        <w:tab/>
        <w:t xml:space="preserve">Department of Climate Change, Energy, the </w:t>
      </w:r>
      <w:proofErr w:type="gramStart"/>
      <w:r w:rsidRPr="00490B30">
        <w:t>Environment</w:t>
      </w:r>
      <w:proofErr w:type="gramEnd"/>
      <w:r w:rsidRPr="00490B30">
        <w:t xml:space="preserve"> and </w:t>
      </w:r>
      <w:r w:rsidRPr="00490B30">
        <w:tab/>
        <w:t>Water</w:t>
      </w:r>
      <w:r w:rsidRPr="00490B30">
        <w:br/>
      </w:r>
      <w:r w:rsidRPr="00490B30">
        <w:tab/>
        <w:t>GPO Box 3090, Canberra ACT 2601</w:t>
      </w:r>
    </w:p>
    <w:p w14:paraId="33344ED9" w14:textId="77777777" w:rsidR="00490B30" w:rsidRPr="00490B30" w:rsidRDefault="00490B30" w:rsidP="00490B30">
      <w:r w:rsidRPr="00490B30">
        <w:t>By email:</w:t>
      </w:r>
    </w:p>
    <w:p w14:paraId="2CF69597" w14:textId="77777777" w:rsidR="00DB25DE" w:rsidRPr="00DB25DE" w:rsidRDefault="00490B30" w:rsidP="00DB25DE">
      <w:r w:rsidRPr="00490B30">
        <w:tab/>
      </w:r>
      <w:hyperlink r:id="rId30" w:history="1">
        <w:r w:rsidR="00DB25DE" w:rsidRPr="00DB25DE">
          <w:rPr>
            <w:rStyle w:val="Hyperlink"/>
          </w:rPr>
          <w:t>IGWC.FOI@agriculture.gov.au</w:t>
        </w:r>
      </w:hyperlink>
    </w:p>
    <w:sectPr w:rsidR="00DB25DE" w:rsidRPr="00DB25DE" w:rsidSect="00D775D1">
      <w:headerReference w:type="first" r:id="rId31"/>
      <w:footerReference w:type="first" r:id="rId32"/>
      <w:pgSz w:w="11906" w:h="16838"/>
      <w:pgMar w:top="1284" w:right="1134" w:bottom="816" w:left="1134" w:header="425"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EF6A" w14:textId="77777777" w:rsidR="00753D86" w:rsidRDefault="00753D86">
      <w:r>
        <w:separator/>
      </w:r>
    </w:p>
  </w:endnote>
  <w:endnote w:type="continuationSeparator" w:id="0">
    <w:p w14:paraId="31A8EF8D" w14:textId="77777777" w:rsidR="00753D86" w:rsidRDefault="00753D86">
      <w:r>
        <w:continuationSeparator/>
      </w:r>
    </w:p>
  </w:endnote>
  <w:endnote w:type="continuationNotice" w:id="1">
    <w:p w14:paraId="0824D479" w14:textId="77777777" w:rsidR="00753D86" w:rsidRDefault="00753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7AE6" w14:textId="196A4DCB" w:rsidR="0046450A" w:rsidRPr="00473F5B" w:rsidRDefault="006E7073" w:rsidP="00473F5B">
    <w:pPr>
      <w:pStyle w:val="Footer"/>
      <w:tabs>
        <w:tab w:val="clear" w:pos="4513"/>
        <w:tab w:val="clear" w:pos="9026"/>
        <w:tab w:val="right" w:pos="9638"/>
      </w:tabs>
    </w:pPr>
    <w:r>
      <w:t>Inspector–General</w:t>
    </w:r>
    <w:r w:rsidR="00473F5B">
      <w:t xml:space="preserve"> of Water Compliance</w:t>
    </w:r>
    <w:r w:rsidR="00473F5B">
      <w:tab/>
    </w:r>
    <w:r w:rsidR="00473F5B">
      <w:fldChar w:fldCharType="begin"/>
    </w:r>
    <w:r w:rsidR="00473F5B">
      <w:instrText xml:space="preserve"> PAGE   \* MERGEFORMAT </w:instrText>
    </w:r>
    <w:r w:rsidR="00473F5B">
      <w:fldChar w:fldCharType="separate"/>
    </w:r>
    <w:r w:rsidR="00473F5B">
      <w:t>2</w:t>
    </w:r>
    <w:r w:rsidR="00473F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2873" w14:textId="2BD3E59E" w:rsidR="009F0367" w:rsidRPr="002C07A5" w:rsidRDefault="009F0367" w:rsidP="002C07A5">
    <w:pPr>
      <w:pStyle w:val="Footer"/>
      <w:tabs>
        <w:tab w:val="clear" w:pos="4513"/>
        <w:tab w:val="clear" w:pos="9026"/>
        <w:tab w:val="right" w:pos="9638"/>
      </w:tabs>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46E7A37E" w:rsidR="00B25458" w:rsidRPr="002C07A5" w:rsidRDefault="006E7073" w:rsidP="002C07A5">
    <w:pPr>
      <w:pStyle w:val="Footer"/>
      <w:tabs>
        <w:tab w:val="clear" w:pos="4513"/>
        <w:tab w:val="clear" w:pos="9026"/>
        <w:tab w:val="right" w:pos="9638"/>
      </w:tabs>
      <w:rPr>
        <w:color w:val="FFFFFF"/>
      </w:rPr>
    </w:pPr>
    <w:r>
      <w:rPr>
        <w:color w:val="FFFFFF"/>
      </w:rPr>
      <w:t>Inspector–General</w:t>
    </w:r>
    <w:r w:rsidR="00B25458" w:rsidRPr="002C07A5">
      <w:rPr>
        <w:color w:val="FFFFFF"/>
      </w:rPr>
      <w:t xml:space="preserve"> of Water Compliance</w:t>
    </w:r>
    <w:r w:rsidR="00B25458" w:rsidRPr="002C07A5">
      <w:rPr>
        <w:color w:val="FFFFFF"/>
      </w:rPr>
      <w:tab/>
    </w:r>
    <w:r w:rsidR="00B25458" w:rsidRPr="002C07A5">
      <w:rPr>
        <w:color w:val="FFFFFF"/>
      </w:rPr>
      <w:fldChar w:fldCharType="begin"/>
    </w:r>
    <w:r w:rsidR="00B25458" w:rsidRPr="002C07A5">
      <w:rPr>
        <w:color w:val="FFFFFF"/>
      </w:rPr>
      <w:instrText xml:space="preserve"> PAGE   \* MERGEFORMAT </w:instrText>
    </w:r>
    <w:r w:rsidR="00B25458" w:rsidRPr="002C07A5">
      <w:rPr>
        <w:color w:val="FFFFFF"/>
      </w:rPr>
      <w:fldChar w:fldCharType="separate"/>
    </w:r>
    <w:r w:rsidR="00B25458" w:rsidRPr="002C07A5">
      <w:rPr>
        <w:color w:val="FFFFFF"/>
      </w:rPr>
      <w:t>3</w:t>
    </w:r>
    <w:r w:rsidR="00B25458"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87F8" w14:textId="77777777" w:rsidR="00753D86" w:rsidRDefault="00753D86">
      <w:r>
        <w:separator/>
      </w:r>
    </w:p>
  </w:footnote>
  <w:footnote w:type="continuationSeparator" w:id="0">
    <w:p w14:paraId="67238A25" w14:textId="77777777" w:rsidR="00753D86" w:rsidRDefault="00753D86">
      <w:r>
        <w:continuationSeparator/>
      </w:r>
    </w:p>
  </w:footnote>
  <w:footnote w:type="continuationNotice" w:id="1">
    <w:p w14:paraId="5A681CFF" w14:textId="77777777" w:rsidR="00753D86" w:rsidRDefault="00753D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934" w14:textId="44329794" w:rsidR="00CD346C" w:rsidRDefault="003A39E1">
    <w:pPr>
      <w:pStyle w:val="Header"/>
    </w:pPr>
    <w:r>
      <w:rPr>
        <w:noProof/>
      </w:rPr>
      <w:drawing>
        <wp:anchor distT="0" distB="0" distL="114300" distR="114300" simplePos="0" relativeHeight="251658243" behindDoc="1" locked="0" layoutInCell="1" allowOverlap="1" wp14:anchorId="63EDE2AD" wp14:editId="59B97309">
          <wp:simplePos x="0" y="0"/>
          <wp:positionH relativeFrom="column">
            <wp:posOffset>2410460</wp:posOffset>
          </wp:positionH>
          <wp:positionV relativeFrom="paragraph">
            <wp:posOffset>1670050</wp:posOffset>
          </wp:positionV>
          <wp:extent cx="7150048" cy="8866060"/>
          <wp:effectExtent l="0" t="0" r="63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150048" cy="886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86A" w14:textId="37853894" w:rsidR="00473F5B" w:rsidRDefault="00473F5B" w:rsidP="005C5D99">
    <w:r w:rsidRPr="003A6733">
      <w:rPr>
        <w:noProof/>
      </w:rPr>
      <w:drawing>
        <wp:anchor distT="0" distB="0" distL="114300" distR="114300" simplePos="0" relativeHeight="251658240" behindDoc="1" locked="0" layoutInCell="1" allowOverlap="1" wp14:anchorId="1BD1B32C" wp14:editId="4F3FD660">
          <wp:simplePos x="0" y="0"/>
          <wp:positionH relativeFrom="column">
            <wp:posOffset>-732790</wp:posOffset>
          </wp:positionH>
          <wp:positionV relativeFrom="paragraph">
            <wp:posOffset>-339725</wp:posOffset>
          </wp:positionV>
          <wp:extent cx="7597588" cy="10751549"/>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p>
  <w:p w14:paraId="252C6567" w14:textId="7641654D" w:rsidR="00473F5B" w:rsidRDefault="00473F5B" w:rsidP="005C5D99"/>
  <w:p w14:paraId="73BFFFC6" w14:textId="7FF26F01" w:rsidR="00473F5B" w:rsidRDefault="00473F5B" w:rsidP="005C5D99"/>
  <w:p w14:paraId="2EDDB6F7" w14:textId="635470C0" w:rsidR="00473F5B" w:rsidRDefault="00473F5B" w:rsidP="005C5D99"/>
  <w:p w14:paraId="2683189A" w14:textId="4C5888D5" w:rsidR="00473F5B" w:rsidRDefault="00473F5B" w:rsidP="005C5D99"/>
  <w:p w14:paraId="3A0EC190" w14:textId="1CADC713" w:rsidR="00473F5B" w:rsidRDefault="00473F5B" w:rsidP="005C5D99"/>
  <w:p w14:paraId="0B4BD0BB" w14:textId="77777777" w:rsidR="00473F5B" w:rsidRDefault="00473F5B" w:rsidP="005C5D99"/>
  <w:p w14:paraId="5DA02233" w14:textId="5CAEC33F" w:rsidR="001345C9" w:rsidRDefault="001345C9" w:rsidP="005C5D99"/>
  <w:p w14:paraId="79B3195C" w14:textId="30DA5E69" w:rsidR="00617D03" w:rsidRPr="00DC6237" w:rsidRDefault="001345C9" w:rsidP="00071327">
    <w:pPr>
      <w:rPr>
        <w:color w:val="00B050"/>
      </w:rPr>
    </w:pPr>
    <w:r>
      <w:rPr>
        <w:noProof/>
      </w:rPr>
      <w:drawing>
        <wp:anchor distT="0" distB="0" distL="114300" distR="114300" simplePos="0" relativeHeight="251658241" behindDoc="1" locked="0" layoutInCell="1" allowOverlap="1" wp14:anchorId="5FA9B021" wp14:editId="23CFC469">
          <wp:simplePos x="0" y="0"/>
          <wp:positionH relativeFrom="page">
            <wp:posOffset>622300</wp:posOffset>
          </wp:positionH>
          <wp:positionV relativeFrom="page">
            <wp:posOffset>546100</wp:posOffset>
          </wp:positionV>
          <wp:extent cx="3600450" cy="1040130"/>
          <wp:effectExtent l="0" t="0" r="0" b="0"/>
          <wp:wrapNone/>
          <wp:docPr id="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D6C" w14:textId="50BEDBCF" w:rsidR="002C07A5" w:rsidRPr="00DC6237" w:rsidRDefault="002C07A5" w:rsidP="00071327">
    <w:pPr>
      <w:rPr>
        <w:color w:val="00B050"/>
      </w:rPr>
    </w:pPr>
    <w:r>
      <w:rPr>
        <w:noProof/>
        <w:color w:val="00B050"/>
      </w:rPr>
      <w:drawing>
        <wp:anchor distT="0" distB="0" distL="114300" distR="114300" simplePos="0" relativeHeight="251658242" behindDoc="1" locked="0" layoutInCell="1" allowOverlap="1" wp14:anchorId="45037C59" wp14:editId="416944F9">
          <wp:simplePos x="0" y="0"/>
          <wp:positionH relativeFrom="column">
            <wp:posOffset>-746984</wp:posOffset>
          </wp:positionH>
          <wp:positionV relativeFrom="paragraph">
            <wp:posOffset>-256428</wp:posOffset>
          </wp:positionV>
          <wp:extent cx="7570694" cy="10713498"/>
          <wp:effectExtent l="0" t="0" r="0" b="5715"/>
          <wp:wrapNone/>
          <wp:docPr id="11" name="Picture 1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0648" cy="107275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1AD05C5"/>
    <w:multiLevelType w:val="multilevel"/>
    <w:tmpl w:val="10B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1F745BC2"/>
    <w:multiLevelType w:val="multilevel"/>
    <w:tmpl w:val="E5E89F92"/>
    <w:numStyleLink w:val="BulletList"/>
  </w:abstractNum>
  <w:abstractNum w:abstractNumId="15" w15:restartNumberingAfterBreak="0">
    <w:nsid w:val="2E2B7364"/>
    <w:multiLevelType w:val="multilevel"/>
    <w:tmpl w:val="0E68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CD142F"/>
    <w:multiLevelType w:val="multilevel"/>
    <w:tmpl w:val="1D0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0"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21"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4"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9"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130057261">
    <w:abstractNumId w:val="30"/>
  </w:num>
  <w:num w:numId="2" w16cid:durableId="880046547">
    <w:abstractNumId w:val="10"/>
  </w:num>
  <w:num w:numId="3" w16cid:durableId="1547444587">
    <w:abstractNumId w:val="28"/>
  </w:num>
  <w:num w:numId="4" w16cid:durableId="1198392322">
    <w:abstractNumId w:val="26"/>
  </w:num>
  <w:num w:numId="5" w16cid:durableId="757210929">
    <w:abstractNumId w:val="17"/>
  </w:num>
  <w:num w:numId="6" w16cid:durableId="1834443292">
    <w:abstractNumId w:val="16"/>
  </w:num>
  <w:num w:numId="7" w16cid:durableId="64304315">
    <w:abstractNumId w:val="25"/>
  </w:num>
  <w:num w:numId="8" w16cid:durableId="1561792126">
    <w:abstractNumId w:val="14"/>
  </w:num>
  <w:num w:numId="9" w16cid:durableId="1411464145">
    <w:abstractNumId w:val="13"/>
  </w:num>
  <w:num w:numId="10" w16cid:durableId="470514319">
    <w:abstractNumId w:val="29"/>
  </w:num>
  <w:num w:numId="11" w16cid:durableId="87819341">
    <w:abstractNumId w:val="25"/>
  </w:num>
  <w:num w:numId="12" w16cid:durableId="1952544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700260">
    <w:abstractNumId w:val="20"/>
  </w:num>
  <w:num w:numId="14" w16cid:durableId="1254127000">
    <w:abstractNumId w:val="24"/>
  </w:num>
  <w:num w:numId="15" w16cid:durableId="1320960511">
    <w:abstractNumId w:val="27"/>
  </w:num>
  <w:num w:numId="16" w16cid:durableId="1845170603">
    <w:abstractNumId w:val="25"/>
  </w:num>
  <w:num w:numId="17" w16cid:durableId="21036050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3503800">
    <w:abstractNumId w:val="25"/>
  </w:num>
  <w:num w:numId="19" w16cid:durableId="983123875">
    <w:abstractNumId w:val="21"/>
  </w:num>
  <w:num w:numId="20" w16cid:durableId="386801160">
    <w:abstractNumId w:val="25"/>
  </w:num>
  <w:num w:numId="21" w16cid:durableId="983435822">
    <w:abstractNumId w:val="23"/>
  </w:num>
  <w:num w:numId="22" w16cid:durableId="317423345">
    <w:abstractNumId w:val="19"/>
  </w:num>
  <w:num w:numId="23" w16cid:durableId="1529830760">
    <w:abstractNumId w:val="12"/>
  </w:num>
  <w:num w:numId="24" w16cid:durableId="1810123858">
    <w:abstractNumId w:val="25"/>
  </w:num>
  <w:num w:numId="25" w16cid:durableId="695689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841286">
    <w:abstractNumId w:val="8"/>
  </w:num>
  <w:num w:numId="27" w16cid:durableId="2032686054">
    <w:abstractNumId w:val="22"/>
  </w:num>
  <w:num w:numId="28" w16cid:durableId="2029327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8642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2163035">
    <w:abstractNumId w:val="25"/>
  </w:num>
  <w:num w:numId="31" w16cid:durableId="1459102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224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7971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7330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7578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53940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862708">
    <w:abstractNumId w:val="0"/>
  </w:num>
  <w:num w:numId="38" w16cid:durableId="1646274149">
    <w:abstractNumId w:val="1"/>
  </w:num>
  <w:num w:numId="39" w16cid:durableId="1509903459">
    <w:abstractNumId w:val="4"/>
  </w:num>
  <w:num w:numId="40" w16cid:durableId="1647707925">
    <w:abstractNumId w:val="5"/>
  </w:num>
  <w:num w:numId="41" w16cid:durableId="1337418793">
    <w:abstractNumId w:val="6"/>
  </w:num>
  <w:num w:numId="42" w16cid:durableId="1185901950">
    <w:abstractNumId w:val="9"/>
  </w:num>
  <w:num w:numId="43" w16cid:durableId="945575463">
    <w:abstractNumId w:val="7"/>
  </w:num>
  <w:num w:numId="44" w16cid:durableId="1054891952">
    <w:abstractNumId w:val="3"/>
  </w:num>
  <w:num w:numId="45" w16cid:durableId="1169246386">
    <w:abstractNumId w:val="2"/>
  </w:num>
  <w:num w:numId="46" w16cid:durableId="41951251">
    <w:abstractNumId w:val="11"/>
  </w:num>
  <w:num w:numId="47" w16cid:durableId="272707985">
    <w:abstractNumId w:val="15"/>
  </w:num>
  <w:num w:numId="48" w16cid:durableId="211866894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589"/>
    <w:rsid w:val="000613B1"/>
    <w:rsid w:val="00071327"/>
    <w:rsid w:val="00082E59"/>
    <w:rsid w:val="00091B06"/>
    <w:rsid w:val="000D06D9"/>
    <w:rsid w:val="000D1751"/>
    <w:rsid w:val="000E5C12"/>
    <w:rsid w:val="000F55E7"/>
    <w:rsid w:val="00114BA0"/>
    <w:rsid w:val="001239D0"/>
    <w:rsid w:val="001345C9"/>
    <w:rsid w:val="0014182C"/>
    <w:rsid w:val="00142E0B"/>
    <w:rsid w:val="00156132"/>
    <w:rsid w:val="0015695F"/>
    <w:rsid w:val="0017077A"/>
    <w:rsid w:val="00170D66"/>
    <w:rsid w:val="00170DC6"/>
    <w:rsid w:val="0017351A"/>
    <w:rsid w:val="001827C2"/>
    <w:rsid w:val="00186E6F"/>
    <w:rsid w:val="001C0255"/>
    <w:rsid w:val="001C0F11"/>
    <w:rsid w:val="001C1ABF"/>
    <w:rsid w:val="001F2A15"/>
    <w:rsid w:val="00204E35"/>
    <w:rsid w:val="00231A97"/>
    <w:rsid w:val="00234917"/>
    <w:rsid w:val="002561B9"/>
    <w:rsid w:val="00272B0B"/>
    <w:rsid w:val="002A5A1E"/>
    <w:rsid w:val="002A7384"/>
    <w:rsid w:val="002B4251"/>
    <w:rsid w:val="002C07A5"/>
    <w:rsid w:val="002C086E"/>
    <w:rsid w:val="002C6C13"/>
    <w:rsid w:val="002D3EC0"/>
    <w:rsid w:val="002E351B"/>
    <w:rsid w:val="002F7ABC"/>
    <w:rsid w:val="0032356E"/>
    <w:rsid w:val="003268F7"/>
    <w:rsid w:val="0034587F"/>
    <w:rsid w:val="00352BB1"/>
    <w:rsid w:val="00374588"/>
    <w:rsid w:val="00374903"/>
    <w:rsid w:val="00376A5A"/>
    <w:rsid w:val="00384EC2"/>
    <w:rsid w:val="0039416C"/>
    <w:rsid w:val="003A39E1"/>
    <w:rsid w:val="003A6733"/>
    <w:rsid w:val="003A7927"/>
    <w:rsid w:val="003B10AF"/>
    <w:rsid w:val="003B3811"/>
    <w:rsid w:val="003B64C4"/>
    <w:rsid w:val="003B7B80"/>
    <w:rsid w:val="003C464C"/>
    <w:rsid w:val="003D63BD"/>
    <w:rsid w:val="003E0289"/>
    <w:rsid w:val="003F7DA8"/>
    <w:rsid w:val="00402EF9"/>
    <w:rsid w:val="00406DCC"/>
    <w:rsid w:val="00407D3B"/>
    <w:rsid w:val="00412531"/>
    <w:rsid w:val="0041656D"/>
    <w:rsid w:val="0042763B"/>
    <w:rsid w:val="00435004"/>
    <w:rsid w:val="00463BE8"/>
    <w:rsid w:val="0046450A"/>
    <w:rsid w:val="00473F5B"/>
    <w:rsid w:val="00474D5B"/>
    <w:rsid w:val="00490047"/>
    <w:rsid w:val="00490B30"/>
    <w:rsid w:val="004A3264"/>
    <w:rsid w:val="004B6AB8"/>
    <w:rsid w:val="004C561D"/>
    <w:rsid w:val="004E09A7"/>
    <w:rsid w:val="004E30CC"/>
    <w:rsid w:val="004E7BFE"/>
    <w:rsid w:val="004F2591"/>
    <w:rsid w:val="004F33A8"/>
    <w:rsid w:val="004F5BB5"/>
    <w:rsid w:val="005102AB"/>
    <w:rsid w:val="00510BCE"/>
    <w:rsid w:val="005268BF"/>
    <w:rsid w:val="005359F0"/>
    <w:rsid w:val="00564FB9"/>
    <w:rsid w:val="00585FD1"/>
    <w:rsid w:val="005B2F67"/>
    <w:rsid w:val="005C5D99"/>
    <w:rsid w:val="005E3F3F"/>
    <w:rsid w:val="005F7CF7"/>
    <w:rsid w:val="00606C45"/>
    <w:rsid w:val="00617D03"/>
    <w:rsid w:val="00622053"/>
    <w:rsid w:val="006318A8"/>
    <w:rsid w:val="00657414"/>
    <w:rsid w:val="0066217F"/>
    <w:rsid w:val="006701E1"/>
    <w:rsid w:val="00693109"/>
    <w:rsid w:val="006B2B83"/>
    <w:rsid w:val="006D01B3"/>
    <w:rsid w:val="006E0EC3"/>
    <w:rsid w:val="006E2B5F"/>
    <w:rsid w:val="006E7073"/>
    <w:rsid w:val="006F3470"/>
    <w:rsid w:val="00710673"/>
    <w:rsid w:val="007140F9"/>
    <w:rsid w:val="00723BDE"/>
    <w:rsid w:val="00725B2A"/>
    <w:rsid w:val="00743ABB"/>
    <w:rsid w:val="007440F7"/>
    <w:rsid w:val="0074454B"/>
    <w:rsid w:val="00753D86"/>
    <w:rsid w:val="00770DD9"/>
    <w:rsid w:val="00774B4C"/>
    <w:rsid w:val="00783454"/>
    <w:rsid w:val="00792822"/>
    <w:rsid w:val="007935B6"/>
    <w:rsid w:val="007A29DB"/>
    <w:rsid w:val="007C3F00"/>
    <w:rsid w:val="007E17AB"/>
    <w:rsid w:val="008015ED"/>
    <w:rsid w:val="0080536E"/>
    <w:rsid w:val="00843C1C"/>
    <w:rsid w:val="0085338F"/>
    <w:rsid w:val="00854106"/>
    <w:rsid w:val="00861326"/>
    <w:rsid w:val="0087312F"/>
    <w:rsid w:val="008773E5"/>
    <w:rsid w:val="008800AC"/>
    <w:rsid w:val="00892B80"/>
    <w:rsid w:val="008A0665"/>
    <w:rsid w:val="008A2AB3"/>
    <w:rsid w:val="008A6BDC"/>
    <w:rsid w:val="008A7636"/>
    <w:rsid w:val="008B1BA2"/>
    <w:rsid w:val="008B7E56"/>
    <w:rsid w:val="008D5EF9"/>
    <w:rsid w:val="008F1E81"/>
    <w:rsid w:val="008F202F"/>
    <w:rsid w:val="009067DC"/>
    <w:rsid w:val="009125C0"/>
    <w:rsid w:val="009427AA"/>
    <w:rsid w:val="00951AD8"/>
    <w:rsid w:val="009A412F"/>
    <w:rsid w:val="009A74DE"/>
    <w:rsid w:val="009C3510"/>
    <w:rsid w:val="009C47DF"/>
    <w:rsid w:val="009E078F"/>
    <w:rsid w:val="009F0367"/>
    <w:rsid w:val="009F20FD"/>
    <w:rsid w:val="00A0041E"/>
    <w:rsid w:val="00A122AB"/>
    <w:rsid w:val="00A27E49"/>
    <w:rsid w:val="00A4261E"/>
    <w:rsid w:val="00A645E5"/>
    <w:rsid w:val="00A74736"/>
    <w:rsid w:val="00A74C3E"/>
    <w:rsid w:val="00A74C64"/>
    <w:rsid w:val="00A94BCC"/>
    <w:rsid w:val="00AA2167"/>
    <w:rsid w:val="00AA7CB2"/>
    <w:rsid w:val="00AB284B"/>
    <w:rsid w:val="00AC4678"/>
    <w:rsid w:val="00AF02F5"/>
    <w:rsid w:val="00AF319C"/>
    <w:rsid w:val="00AF63BF"/>
    <w:rsid w:val="00B1156A"/>
    <w:rsid w:val="00B12041"/>
    <w:rsid w:val="00B25458"/>
    <w:rsid w:val="00B51968"/>
    <w:rsid w:val="00B86445"/>
    <w:rsid w:val="00B924B6"/>
    <w:rsid w:val="00BA0F24"/>
    <w:rsid w:val="00BA7881"/>
    <w:rsid w:val="00BE76F0"/>
    <w:rsid w:val="00BF7140"/>
    <w:rsid w:val="00BF7940"/>
    <w:rsid w:val="00C0103F"/>
    <w:rsid w:val="00C118DE"/>
    <w:rsid w:val="00C322D8"/>
    <w:rsid w:val="00C4688F"/>
    <w:rsid w:val="00C47057"/>
    <w:rsid w:val="00C5495A"/>
    <w:rsid w:val="00C65F8C"/>
    <w:rsid w:val="00C721EA"/>
    <w:rsid w:val="00C827DA"/>
    <w:rsid w:val="00C82C04"/>
    <w:rsid w:val="00C83D74"/>
    <w:rsid w:val="00CA1FF2"/>
    <w:rsid w:val="00CA62BF"/>
    <w:rsid w:val="00CB696E"/>
    <w:rsid w:val="00CC0D65"/>
    <w:rsid w:val="00CC76D5"/>
    <w:rsid w:val="00CC7983"/>
    <w:rsid w:val="00CD12E6"/>
    <w:rsid w:val="00CD346C"/>
    <w:rsid w:val="00CF7A50"/>
    <w:rsid w:val="00D02834"/>
    <w:rsid w:val="00D3516F"/>
    <w:rsid w:val="00D37335"/>
    <w:rsid w:val="00D446A8"/>
    <w:rsid w:val="00D50C76"/>
    <w:rsid w:val="00D55F96"/>
    <w:rsid w:val="00D624A3"/>
    <w:rsid w:val="00D775D1"/>
    <w:rsid w:val="00D80621"/>
    <w:rsid w:val="00DB25DE"/>
    <w:rsid w:val="00DB4BB7"/>
    <w:rsid w:val="00DC6237"/>
    <w:rsid w:val="00DE06C0"/>
    <w:rsid w:val="00DF2153"/>
    <w:rsid w:val="00E200CC"/>
    <w:rsid w:val="00E37723"/>
    <w:rsid w:val="00E51BFA"/>
    <w:rsid w:val="00E56ACF"/>
    <w:rsid w:val="00E75161"/>
    <w:rsid w:val="00E77B8C"/>
    <w:rsid w:val="00E97A4A"/>
    <w:rsid w:val="00ED1B2C"/>
    <w:rsid w:val="00ED30D0"/>
    <w:rsid w:val="00ED327E"/>
    <w:rsid w:val="00F23F93"/>
    <w:rsid w:val="00F267AC"/>
    <w:rsid w:val="00F3130F"/>
    <w:rsid w:val="00F33200"/>
    <w:rsid w:val="00F33452"/>
    <w:rsid w:val="00F5712D"/>
    <w:rsid w:val="00F70602"/>
    <w:rsid w:val="00F8107D"/>
    <w:rsid w:val="00F81F21"/>
    <w:rsid w:val="00F92297"/>
    <w:rsid w:val="00F93899"/>
    <w:rsid w:val="00FA0421"/>
    <w:rsid w:val="00FA69DC"/>
    <w:rsid w:val="00FB0DE5"/>
    <w:rsid w:val="00FB2BF4"/>
    <w:rsid w:val="00FC2697"/>
    <w:rsid w:val="00FD1C48"/>
    <w:rsid w:val="00FE0C2F"/>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semiHidden/>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semiHidden/>
    <w:rsid w:val="00C118DE"/>
    <w:rPr>
      <w:rFonts w:eastAsiaTheme="minorEastAsia" w:cstheme="minorBid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gwc.gov.au/governance" TargetMode="External"/><Relationship Id="rId26" Type="http://schemas.openxmlformats.org/officeDocument/2006/relationships/hyperlink" Target="https://www.igwc.gov.au/about" TargetMode="External"/><Relationship Id="rId3" Type="http://schemas.openxmlformats.org/officeDocument/2006/relationships/customXml" Target="../customXml/item3.xml"/><Relationship Id="rId21" Type="http://schemas.openxmlformats.org/officeDocument/2006/relationships/hyperlink" Target="https://www.igwc.gov.au/freedom-inform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igwc.gov.au/governance" TargetMode="External"/><Relationship Id="rId25" Type="http://schemas.openxmlformats.org/officeDocument/2006/relationships/hyperlink" Target="https://www.igwc.gov.au/media-relea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GWC.FOI@agriculture.gov.au" TargetMode="External"/><Relationship Id="rId20" Type="http://schemas.openxmlformats.org/officeDocument/2006/relationships/hyperlink" Target="https://www.igwc.gov.au/contact" TargetMode="External"/><Relationship Id="rId29" Type="http://schemas.openxmlformats.org/officeDocument/2006/relationships/hyperlink" Target="https://www.agriculture.gov.au/about/freedom-of-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igwc.gov.au/reviews-reports"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gwc.gov.au/freedom-information" TargetMode="External"/><Relationship Id="rId23" Type="http://schemas.openxmlformats.org/officeDocument/2006/relationships/hyperlink" Target="https://www.igwc.gov.au/governance" TargetMode="External"/><Relationship Id="rId28" Type="http://schemas.openxmlformats.org/officeDocument/2006/relationships/hyperlink" Target="https://www.igwc.gov.au/about" TargetMode="External"/><Relationship Id="rId10" Type="http://schemas.openxmlformats.org/officeDocument/2006/relationships/header" Target="header1.xml"/><Relationship Id="rId19" Type="http://schemas.openxmlformats.org/officeDocument/2006/relationships/hyperlink" Target="https://www.igwc.gov.au/reviews-reports"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gwc.gov.au/freedom-information" TargetMode="External"/><Relationship Id="rId22" Type="http://schemas.openxmlformats.org/officeDocument/2006/relationships/hyperlink" Target="https://www.igwc.gov.au/about" TargetMode="External"/><Relationship Id="rId27" Type="http://schemas.openxmlformats.org/officeDocument/2006/relationships/hyperlink" Target="https://www.igwc.gov.au/about" TargetMode="External"/><Relationship Id="rId30" Type="http://schemas.openxmlformats.org/officeDocument/2006/relationships/hyperlink" Target="mailto:IGWC.FOI@agriculture.gov.au"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31e8a4-9d05-4fa9-b62b-4dc281877bbf">
      <UserInfo>
        <DisplayName>Carlos, Reuben</DisplayName>
        <AccountId>152</AccountId>
        <AccountType/>
      </UserInfo>
      <UserInfo>
        <DisplayName>Lyons, Peter</DisplayName>
        <AccountId>288</AccountId>
        <AccountType/>
      </UserInfo>
      <UserInfo>
        <DisplayName>Young, Holly</DisplayName>
        <AccountId>299</AccountId>
        <AccountType/>
      </UserInfo>
      <UserInfo>
        <DisplayName>White, Anna</DisplayName>
        <AccountId>310</AccountId>
        <AccountType/>
      </UserInfo>
      <UserInfo>
        <DisplayName>Rychevska, Ivanna</DisplayName>
        <AccountId>45</AccountId>
        <AccountType/>
      </UserInfo>
      <UserInfo>
        <DisplayName>Oates, Zach</DisplayName>
        <AccountId>38</AccountId>
        <AccountType/>
      </UserInfo>
      <UserInfo>
        <DisplayName>Smith, Jodi</DisplayName>
        <AccountId>15</AccountId>
        <AccountType/>
      </UserInfo>
    </SharedWithUsers>
    <lcf76f155ced4ddcb4097134ff3c332f xmlns="efcbbad4-e4bf-4210-bcda-504876e7bd6e">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5A148063E0E4291460DB30E5FC94E" ma:contentTypeVersion="11" ma:contentTypeDescription="Create a new document." ma:contentTypeScope="" ma:versionID="b787c5e8dd655cbd549fd5588e3d6888">
  <xsd:schema xmlns:xsd="http://www.w3.org/2001/XMLSchema" xmlns:xs="http://www.w3.org/2001/XMLSchema" xmlns:p="http://schemas.microsoft.com/office/2006/metadata/properties" xmlns:ns2="efcbbad4-e4bf-4210-bcda-504876e7bd6e" xmlns:ns3="3831e8a4-9d05-4fa9-b62b-4dc281877bbf" xmlns:ns4="81c01dc6-2c49-4730-b140-874c95cac377" targetNamespace="http://schemas.microsoft.com/office/2006/metadata/properties" ma:root="true" ma:fieldsID="2366f7de45d36672adfd6dc28ee532f4" ns2:_="" ns3:_="" ns4:_="">
    <xsd:import namespace="efcbbad4-e4bf-4210-bcda-504876e7bd6e"/>
    <xsd:import namespace="3831e8a4-9d05-4fa9-b62b-4dc281877bb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bad4-e4bf-4210-bcda-504876e7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1e8a4-9d05-4fa9-b62b-4dc281877b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898701-9d64-4821-b8c3-93bb052a4e3c}" ma:internalName="TaxCatchAll" ma:showField="CatchAllData" ma:web="3831e8a4-9d05-4fa9-b62b-4dc281877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6B18E-E7E3-43EB-8CA4-C77F8503655B}">
  <ds:schemaRefs>
    <ds:schemaRef ds:uri="http://purl.org/dc/elements/1.1/"/>
    <ds:schemaRef ds:uri="http://purl.org/dc/dcmitype/"/>
    <ds:schemaRef ds:uri="http://purl.org/dc/terms/"/>
    <ds:schemaRef ds:uri="http://schemas.openxmlformats.org/package/2006/metadata/core-properties"/>
    <ds:schemaRef ds:uri="3831e8a4-9d05-4fa9-b62b-4dc281877bbf"/>
    <ds:schemaRef ds:uri="http://schemas.microsoft.com/office/2006/documentManagement/types"/>
    <ds:schemaRef ds:uri="http://schemas.microsoft.com/office/infopath/2007/PartnerControls"/>
    <ds:schemaRef ds:uri="81c01dc6-2c49-4730-b140-874c95cac377"/>
    <ds:schemaRef ds:uri="efcbbad4-e4bf-4210-bcda-504876e7bd6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F61B2A-2EE1-462E-ACA7-9AB508D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bad4-e4bf-4210-bcda-504876e7bd6e"/>
    <ds:schemaRef ds:uri="3831e8a4-9d05-4fa9-b62b-4dc281877bb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8D4EC-5AC6-4479-8BDA-51098B36F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Information Publication Scheme Inspector–General of Water Compliance Agency Plan</vt:lpstr>
    </vt:vector>
  </TitlesOfParts>
  <Manager/>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Inspector–General of Water Compliance Agency Plan</dc:title>
  <dc:subject>
  </dc:subject>
  <dc:creator>Inspector–General of Water Compliance</dc:creator>
  <cp:keywords>
  </cp:keywords>
  <dc:description>
  </dc:description>
  <cp:lastModifiedBy>Durack, Bec</cp:lastModifiedBy>
  <cp:revision>2</cp:revision>
  <cp:lastPrinted>2021-12-15T06:45:00Z</cp:lastPrinted>
  <dcterms:created xsi:type="dcterms:W3CDTF">2023-02-09T06:20:00Z</dcterms:created>
  <dcterms:modified xsi:type="dcterms:W3CDTF">2023-02-09T06:20:00Z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0x010100BD75A148063E0E4291460DB30E5FC94E</vt:lpwstr>
  </property>
  <property fmtid="{D5CDD505-2E9C-101B-9397-08002B2CF9AE}" pid="3" name="MediaServiceImageTags">
    <vt:lpwstr/>
  </property>
</Properties>
</file>