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84E1" w14:textId="77777777" w:rsidR="00B7395F" w:rsidRDefault="00FC34AA">
      <w:pPr>
        <w:textAlignment w:val="baseline"/>
        <w:rPr>
          <w:rFonts w:eastAsia="Times New Roman"/>
          <w:color w:val="000000"/>
          <w:sz w:val="24"/>
        </w:rPr>
      </w:pPr>
      <w:r>
        <w:rPr>
          <w:noProof/>
        </w:rPr>
        <mc:AlternateContent>
          <mc:Choice Requires="wps">
            <w:drawing>
              <wp:anchor distT="0" distB="0" distL="0" distR="0" simplePos="0" relativeHeight="251658240" behindDoc="1" locked="0" layoutInCell="1" allowOverlap="1" wp14:anchorId="591817FA" wp14:editId="0C5CBA33">
                <wp:simplePos x="0" y="0"/>
                <wp:positionH relativeFrom="page">
                  <wp:posOffset>0</wp:posOffset>
                </wp:positionH>
                <wp:positionV relativeFrom="page">
                  <wp:posOffset>0</wp:posOffset>
                </wp:positionV>
                <wp:extent cx="7562215" cy="10692130"/>
                <wp:effectExtent l="0" t="0" r="0" b="0"/>
                <wp:wrapSquare wrapText="bothSides"/>
                <wp:docPr id="4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5073" w14:textId="77777777" w:rsidR="00B7395F" w:rsidRDefault="00FC34AA">
                            <w:pPr>
                              <w:textAlignment w:val="baseline"/>
                            </w:pPr>
                            <w:r>
                              <w:rPr>
                                <w:noProof/>
                              </w:rPr>
                              <w:drawing>
                                <wp:inline distT="0" distB="0" distL="0" distR="0" wp14:anchorId="654CCF2E" wp14:editId="4EB4FCF0">
                                  <wp:extent cx="7562215" cy="10692130"/>
                                  <wp:effectExtent l="0" t="0" r="0" b="0"/>
                                  <wp:docPr id="65426524" name="Picture" descr="Cover page: Department of Regional Development, Manufacturing and Water (DRDMW) - Management Response to Audit Recommendations."/>
                                  <wp:cNvGraphicFramePr/>
                                  <a:graphic xmlns:a="http://schemas.openxmlformats.org/drawingml/2006/main">
                                    <a:graphicData uri="http://schemas.openxmlformats.org/drawingml/2006/picture">
                                      <pic:pic xmlns:pic="http://schemas.openxmlformats.org/drawingml/2006/picture">
                                        <pic:nvPicPr>
                                          <pic:cNvPr id="314032218" name="Picture" descr="Cover page: Department of Regional Development, Manufacturing and Water (DRDMW) - Management Response to Audit Recommendations."/>
                                          <pic:cNvPicPr/>
                                        </pic:nvPicPr>
                                        <pic:blipFill>
                                          <a:blip r:embed="rId10"/>
                                          <a:stretch>
                                            <a:fillRect/>
                                          </a:stretch>
                                        </pic:blipFill>
                                        <pic:spPr>
                                          <a:xfrm>
                                            <a:off x="0" y="0"/>
                                            <a:ext cx="7562215" cy="10692130"/>
                                          </a:xfrm>
                                          <a:prstGeom prst="rect">
                                            <a:avLst/>
                                          </a:prstGeom>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91817FA" id="_x0000_t202" coordsize="21600,21600" o:spt="202" path="m,l,21600r21600,l21600,xe">
                <v:stroke joinstyle="miter"/>
                <v:path gradientshapeok="t" o:connecttype="rect"/>
              </v:shapetype>
              <v:shape id="_x0000_s0" o:spid="_x0000_s1026" type="#_x0000_t202" style="position:absolute;margin-left:0;margin-top:0;width:595.45pt;height:841.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" filled="f" stroked="f">
                <v:textbox inset="0,0,0,0">
                  <w:txbxContent>
                    <w:p w14:paraId="61655073" w14:textId="77777777" w:rsidR="00B7395F" w:rsidRDefault="00FC34AA">
                      <w:pPr>
                        <w:textAlignment w:val="baseline"/>
                      </w:pPr>
                      <w:r>
                        <w:rPr>
                          <w:noProof/>
                        </w:rPr>
                        <w:drawing>
                          <wp:inline distT="0" distB="0" distL="0" distR="0" wp14:anchorId="654CCF2E" wp14:editId="4EB4FCF0">
                            <wp:extent cx="7562215" cy="10692130"/>
                            <wp:effectExtent l="0" t="0" r="0" b="0"/>
                            <wp:docPr id="65426524" name="Picture" descr="Cover page: Department of Regional Development, Manufacturing and Water (DRDMW) - Management Response to Audit Recommendations."/>
                            <wp:cNvGraphicFramePr/>
                            <a:graphic xmlns:a="http://schemas.openxmlformats.org/drawingml/2006/main">
                              <a:graphicData uri="http://schemas.openxmlformats.org/drawingml/2006/picture">
                                <pic:pic xmlns:pic="http://schemas.openxmlformats.org/drawingml/2006/picture">
                                  <pic:nvPicPr>
                                    <pic:cNvPr id="314032218" name="Picture" descr="Cover page: Department of Regional Development, Manufacturing and Water (DRDMW) - Management Response to Audit Recommendations."/>
                                    <pic:cNvPicPr/>
                                  </pic:nvPicPr>
                                  <pic:blipFill>
                                    <a:blip r:embed="rId11"/>
                                    <a:stretch>
                                      <a:fillRect/>
                                    </a:stretch>
                                  </pic:blipFill>
                                  <pic:spPr>
                                    <a:xfrm>
                                      <a:off x="0" y="0"/>
                                      <a:ext cx="7562215" cy="1069213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1312" behindDoc="1" locked="0" layoutInCell="1" allowOverlap="1" wp14:anchorId="5C5FEAFA" wp14:editId="66C6585A">
                <wp:simplePos x="0" y="0"/>
                <wp:positionH relativeFrom="page">
                  <wp:posOffset>4608830</wp:posOffset>
                </wp:positionH>
                <wp:positionV relativeFrom="page">
                  <wp:posOffset>1247775</wp:posOffset>
                </wp:positionV>
                <wp:extent cx="2264410" cy="323215"/>
                <wp:effectExtent l="0" t="0" r="0" b="0"/>
                <wp:wrapSquare wrapText="bothSides"/>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Text Box 33" o:spid="_x0000_s1026" style="width:178.3pt;height:25.45pt;margin-top:98.25pt;margin-left:362.9pt;mso-height-percent:0;mso-height-relative:page;mso-position-horizontal-relative:page;mso-position-vertical-relative:page;mso-width-percent:0;mso-width-relative:page;mso-wrap-distance-bottom:0;mso-wrap-distance-left:0;mso-wrap-distance-right:0;mso-wrap-distance-top:0;position:absolute;v-text-anchor:top;z-index:-251656192" filled="f" fillcolor="this" stroked="f">
                <w10:wrap type="square"/>
              </v:rect>
            </w:pict>
          </mc:Fallback>
        </mc:AlternateContent>
      </w:r>
      <w:r>
        <w:rPr>
          <w:noProof/>
        </w:rPr>
        <mc:AlternateContent>
          <mc:Choice Requires="wps">
            <w:drawing>
              <wp:anchor distT="0" distB="0" distL="0" distR="0" simplePos="0" relativeHeight="251662336" behindDoc="1" locked="0" layoutInCell="1" allowOverlap="1" wp14:anchorId="6238653C" wp14:editId="2890A842">
                <wp:simplePos x="0" y="0"/>
                <wp:positionH relativeFrom="page">
                  <wp:posOffset>2115185</wp:posOffset>
                </wp:positionH>
                <wp:positionV relativeFrom="page">
                  <wp:posOffset>5721350</wp:posOffset>
                </wp:positionV>
                <wp:extent cx="4587240" cy="1163955"/>
                <wp:effectExtent l="0" t="0" r="0" b="0"/>
                <wp:wrapSquare wrapText="bothSides"/>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116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C386" w14:textId="77777777" w:rsidR="00B7395F" w:rsidRDefault="00FC34AA">
                            <w:pPr>
                              <w:spacing w:line="454" w:lineRule="exact"/>
                              <w:jc w:val="right"/>
                              <w:textAlignment w:val="baseline"/>
                              <w:rPr>
                                <w:rFonts w:ascii="Arial" w:eastAsia="Arial" w:hAnsi="Arial"/>
                                <w:b/>
                                <w:color w:val="275B6B"/>
                                <w:spacing w:val="-2"/>
                                <w:sz w:val="40"/>
                              </w:rPr>
                            </w:pPr>
                            <w:r>
                              <w:rPr>
                                <w:rFonts w:ascii="Arial" w:eastAsia="Arial" w:hAnsi="Arial"/>
                                <w:b/>
                                <w:color w:val="275B6B"/>
                                <w:spacing w:val="-2"/>
                                <w:sz w:val="40"/>
                              </w:rPr>
                              <w:t>Department of Regional Development, Manufacturing and Water (DRDMW) - Management Response to Audit Recommendations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238653C" id="Text Box 32" o:spid="_x0000_s1027" type="#_x0000_t202" style="position:absolute;margin-left:166.55pt;margin-top:450.5pt;width:361.2pt;height:91.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" filled="f" stroked="f">
                <v:textbox inset="0,0,0,0">
                  <w:txbxContent>
                    <w:p w14:paraId="61E2C386" w14:textId="77777777" w:rsidR="00B7395F" w:rsidRDefault="00FC34AA">
                      <w:pPr>
                        <w:spacing w:line="454" w:lineRule="exact"/>
                        <w:jc w:val="right"/>
                        <w:textAlignment w:val="baseline"/>
                        <w:rPr>
                          <w:rFonts w:ascii="Arial" w:eastAsia="Arial" w:hAnsi="Arial"/>
                          <w:b/>
                          <w:color w:val="275B6B"/>
                          <w:spacing w:val="-2"/>
                          <w:sz w:val="40"/>
                        </w:rPr>
                      </w:pPr>
                      <w:r>
                        <w:rPr>
                          <w:rFonts w:ascii="Arial" w:eastAsia="Arial" w:hAnsi="Arial"/>
                          <w:b/>
                          <w:color w:val="275B6B"/>
                          <w:spacing w:val="-2"/>
                          <w:sz w:val="40"/>
                        </w:rPr>
                        <w:t>Department of Regional Development, Manufacturing and Water (DRDMW) - Management Response to Audit Recommendations</w:t>
                      </w:r>
                    </w:p>
                  </w:txbxContent>
                </v:textbox>
                <w10:wrap type="square" anchorx="page" anchory="page"/>
              </v:shape>
            </w:pict>
          </mc:Fallback>
        </mc:AlternateContent>
      </w:r>
      <w:r>
        <w:rPr>
          <w:noProof/>
        </w:rPr>
        <mc:AlternateContent>
          <mc:Choice Requires="wps">
            <w:drawing>
              <wp:anchor distT="0" distB="0" distL="0" distR="0" simplePos="0" relativeHeight="251664384" behindDoc="1" locked="0" layoutInCell="1" allowOverlap="1" wp14:anchorId="5093B04F" wp14:editId="4CDFB9B7">
                <wp:simplePos x="0" y="0"/>
                <wp:positionH relativeFrom="page">
                  <wp:posOffset>2837815</wp:posOffset>
                </wp:positionH>
                <wp:positionV relativeFrom="page">
                  <wp:posOffset>7035800</wp:posOffset>
                </wp:positionV>
                <wp:extent cx="3721735" cy="292735"/>
                <wp:effectExtent l="0" t="0" r="0" b="0"/>
                <wp:wrapSquare wrapText="bothSides"/>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1CB5B" w14:textId="77777777" w:rsidR="00B7395F" w:rsidRDefault="00FC34AA">
                            <w:pPr>
                              <w:spacing w:before="1" w:line="226" w:lineRule="exact"/>
                              <w:ind w:left="1080" w:hanging="1080"/>
                              <w:textAlignment w:val="baseline"/>
                              <w:rPr>
                                <w:rFonts w:ascii="Arial" w:eastAsia="Arial" w:hAnsi="Arial"/>
                                <w:b/>
                                <w:color w:val="000000"/>
                                <w:sz w:val="20"/>
                              </w:rPr>
                            </w:pPr>
                            <w:r>
                              <w:rPr>
                                <w:rFonts w:ascii="Arial" w:eastAsia="Arial" w:hAnsi="Arial"/>
                                <w:b/>
                                <w:color w:val="000000"/>
                                <w:sz w:val="20"/>
                              </w:rPr>
                              <w:t>Inspector-General of Water Compliance Audit management of overland flow harvesting in the Lower Balonne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093B04F" id="Text Box 31" o:spid="_x0000_s1028" type="#_x0000_t202" style="position:absolute;margin-left:223.45pt;margin-top:554pt;width:293.05pt;height:23.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" filled="f" stroked="f">
                <v:textbox inset="0,0,0,0">
                  <w:txbxContent>
                    <w:p w14:paraId="1EB1CB5B" w14:textId="77777777" w:rsidR="00B7395F" w:rsidRDefault="00FC34AA">
                      <w:pPr>
                        <w:spacing w:before="1" w:line="226" w:lineRule="exact"/>
                        <w:ind w:left="1080" w:hanging="1080"/>
                        <w:textAlignment w:val="baseline"/>
                        <w:rPr>
                          <w:rFonts w:ascii="Arial" w:eastAsia="Arial" w:hAnsi="Arial"/>
                          <w:b/>
                          <w:color w:val="000000"/>
                          <w:sz w:val="20"/>
                        </w:rPr>
                      </w:pPr>
                      <w:r>
                        <w:rPr>
                          <w:rFonts w:ascii="Arial" w:eastAsia="Arial" w:hAnsi="Arial"/>
                          <w:b/>
                          <w:color w:val="000000"/>
                          <w:sz w:val="20"/>
                        </w:rPr>
                        <w:t>Inspector-General of Water Compliance Audit management of overland flow harvesting in the Lower Balonne</w:t>
                      </w:r>
                    </w:p>
                  </w:txbxContent>
                </v:textbox>
                <w10:wrap type="square" anchorx="page" anchory="page"/>
              </v:shape>
            </w:pict>
          </mc:Fallback>
        </mc:AlternateContent>
      </w:r>
      <w:r>
        <w:rPr>
          <w:noProof/>
        </w:rPr>
        <mc:AlternateContent>
          <mc:Choice Requires="wps">
            <w:drawing>
              <wp:anchor distT="0" distB="0" distL="0" distR="0" simplePos="0" relativeHeight="251666432" behindDoc="1" locked="0" layoutInCell="1" allowOverlap="1" wp14:anchorId="3DE4745A" wp14:editId="0050767E">
                <wp:simplePos x="0" y="0"/>
                <wp:positionH relativeFrom="page">
                  <wp:posOffset>542290</wp:posOffset>
                </wp:positionH>
                <wp:positionV relativeFrom="page">
                  <wp:posOffset>9646920</wp:posOffset>
                </wp:positionV>
                <wp:extent cx="1295400" cy="191770"/>
                <wp:effectExtent l="0" t="0" r="0" b="0"/>
                <wp:wrapSquare wrapText="bothSides"/>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E2A34" w14:textId="5D5C024C" w:rsidR="00B7395F" w:rsidRPr="00FC34AA" w:rsidRDefault="00DD5064">
                            <w:pPr>
                              <w:spacing w:before="2" w:line="286" w:lineRule="exact"/>
                              <w:textAlignment w:val="baseline"/>
                              <w:rPr>
                                <w:rFonts w:ascii="Arial" w:eastAsia="Arial" w:hAnsi="Arial"/>
                                <w:b/>
                                <w:color w:val="68685D"/>
                                <w:spacing w:val="-9"/>
                                <w:sz w:val="26"/>
                              </w:rPr>
                            </w:pPr>
                            <w:hyperlink r:id="rId12" w:history="1">
                              <w:r w:rsidR="00F80EFD" w:rsidRPr="00FC34AA">
                                <w:rPr>
                                  <w:rStyle w:val="Hyperlink"/>
                                  <w:rFonts w:ascii="Arial" w:eastAsia="Arial" w:hAnsi="Arial"/>
                                  <w:b/>
                                  <w:spacing w:val="-9"/>
                                  <w:sz w:val="26"/>
                                </w:rPr>
                                <w:t>rdmw.qld.gov.au</w:t>
                              </w:r>
                            </w:hyperlink>
                            <w:r w:rsidR="00F80EFD" w:rsidRPr="00FC34AA">
                              <w:rPr>
                                <w:rFonts w:ascii="Arial" w:eastAsia="Arial" w:hAnsi="Arial"/>
                                <w:b/>
                                <w:color w:val="68685D"/>
                                <w:spacing w:val="-9"/>
                                <w:sz w:val="26"/>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DE4745A" id="Text Box 30" o:spid="_x0000_s1029" type="#_x0000_t202" style="position:absolute;margin-left:42.7pt;margin-top:759.6pt;width:102pt;height:15.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" filled="f" stroked="f">
                <v:textbox inset="0,0,0,0">
                  <w:txbxContent>
                    <w:p w14:paraId="321E2A34" w14:textId="5D5C024C" w:rsidR="00B7395F" w:rsidRPr="00FC34AA" w:rsidRDefault="00FC34AA">
                      <w:pPr>
                        <w:spacing w:before="2" w:line="286" w:lineRule="exact"/>
                        <w:textAlignment w:val="baseline"/>
                        <w:rPr>
                          <w:rFonts w:ascii="Arial" w:eastAsia="Arial" w:hAnsi="Arial"/>
                          <w:b/>
                          <w:color w:val="68685D"/>
                          <w:spacing w:val="-9"/>
                          <w:sz w:val="26"/>
                        </w:rPr>
                      </w:pPr>
                      <w:hyperlink r:id="rId13" w:history="1">
                        <w:r w:rsidR="00F80EFD" w:rsidRPr="00FC34AA">
                          <w:rPr>
                            <w:rStyle w:val="Hyperlink"/>
                            <w:rFonts w:ascii="Arial" w:eastAsia="Arial" w:hAnsi="Arial"/>
                            <w:b/>
                            <w:spacing w:val="-9"/>
                            <w:sz w:val="26"/>
                          </w:rPr>
                          <w:t>rdmw.qld.gov.au</w:t>
                        </w:r>
                      </w:hyperlink>
                      <w:r w:rsidR="00F80EFD" w:rsidRPr="00FC34AA">
                        <w:rPr>
                          <w:rFonts w:ascii="Arial" w:eastAsia="Arial" w:hAnsi="Arial"/>
                          <w:b/>
                          <w:color w:val="68685D"/>
                          <w:spacing w:val="-9"/>
                          <w:sz w:val="26"/>
                        </w:rPr>
                        <w:t xml:space="preserve"> </w:t>
                      </w:r>
                    </w:p>
                  </w:txbxContent>
                </v:textbox>
                <w10:wrap type="square" anchorx="page" anchory="page"/>
              </v:shape>
            </w:pict>
          </mc:Fallback>
        </mc:AlternateContent>
      </w:r>
    </w:p>
    <w:p w14:paraId="20825912" w14:textId="77777777" w:rsidR="00B7395F" w:rsidRDefault="00B7395F">
      <w:pPr>
        <w:sectPr w:rsidR="00B7395F">
          <w:pgSz w:w="11909" w:h="16838"/>
          <w:pgMar w:top="0" w:right="1440" w:bottom="0" w:left="1440" w:header="720" w:footer="720" w:gutter="0"/>
          <w:cols w:space="720"/>
        </w:sectPr>
      </w:pPr>
    </w:p>
    <w:p w14:paraId="6AD0F69B" w14:textId="77777777" w:rsidR="008F4B81" w:rsidRPr="00E30C67" w:rsidRDefault="008F4B81" w:rsidP="008F4B81">
      <w:pPr>
        <w:suppressAutoHyphens/>
        <w:spacing w:before="60"/>
        <w:rPr>
          <w:rFonts w:ascii="Arial" w:eastAsiaTheme="minorEastAsia" w:hAnsi="Arial" w:cs="Roc Grotesk Medium"/>
          <w:b/>
          <w:color w:val="47555E"/>
          <w:sz w:val="36"/>
          <w:szCs w:val="26"/>
          <w:lang w:eastAsia="en-GB"/>
        </w:rPr>
      </w:pPr>
      <w:r w:rsidRPr="00E30C67">
        <w:rPr>
          <w:rFonts w:ascii="Arial" w:eastAsiaTheme="minorEastAsia" w:hAnsi="Arial" w:cs="Roc Grotesk Medium"/>
          <w:b/>
          <w:color w:val="47555E"/>
          <w:sz w:val="36"/>
          <w:szCs w:val="26"/>
          <w:lang w:eastAsia="en-GB"/>
        </w:rPr>
        <w:lastRenderedPageBreak/>
        <w:t xml:space="preserve">Recommendation 1 – Develop documented guidance around key compliance </w:t>
      </w:r>
      <w:proofErr w:type="gramStart"/>
      <w:r w:rsidRPr="00E30C67">
        <w:rPr>
          <w:rFonts w:ascii="Arial" w:eastAsiaTheme="minorEastAsia" w:hAnsi="Arial" w:cs="Roc Grotesk Medium"/>
          <w:b/>
          <w:color w:val="47555E"/>
          <w:sz w:val="36"/>
          <w:szCs w:val="26"/>
          <w:lang w:eastAsia="en-GB"/>
        </w:rPr>
        <w:t>activities</w:t>
      </w:r>
      <w:proofErr w:type="gramEnd"/>
      <w:r w:rsidRPr="00E30C67">
        <w:rPr>
          <w:rFonts w:ascii="Arial" w:eastAsiaTheme="minorEastAsia" w:hAnsi="Arial" w:cs="Roc Grotesk Medium"/>
          <w:b/>
          <w:color w:val="47555E"/>
          <w:sz w:val="36"/>
          <w:szCs w:val="26"/>
          <w:lang w:eastAsia="en-GB"/>
        </w:rPr>
        <w:t xml:space="preserve"> </w:t>
      </w:r>
    </w:p>
    <w:p w14:paraId="1ADA884A" w14:textId="77777777" w:rsidR="008F4B81" w:rsidRPr="00E30C67" w:rsidRDefault="008F4B81" w:rsidP="008F4B81">
      <w:pPr>
        <w:suppressAutoHyphens/>
        <w:spacing w:before="60" w:after="60" w:line="280" w:lineRule="atLeast"/>
        <w:rPr>
          <w:rFonts w:ascii="Arial" w:eastAsiaTheme="minorEastAsia" w:hAnsi="Arial" w:cstheme="minorBidi"/>
          <w:sz w:val="20"/>
          <w:szCs w:val="24"/>
          <w:lang w:val="en-AU" w:eastAsia="en-GB"/>
        </w:rPr>
      </w:pPr>
      <w:r w:rsidRPr="00E30C67">
        <w:rPr>
          <w:rFonts w:ascii="Arial" w:eastAsiaTheme="minorEastAsia" w:hAnsi="Arial" w:cstheme="minorBidi"/>
          <w:sz w:val="20"/>
          <w:szCs w:val="24"/>
          <w:lang w:val="en-AU" w:eastAsia="ja-JP"/>
        </w:rPr>
        <w:t xml:space="preserve">DRDMW should </w:t>
      </w:r>
      <w:r w:rsidRPr="00E30C67">
        <w:rPr>
          <w:rFonts w:ascii="Arial" w:eastAsiaTheme="minorEastAsia" w:hAnsi="Arial" w:cstheme="minorBidi"/>
          <w:sz w:val="20"/>
          <w:szCs w:val="24"/>
          <w:lang w:val="en-AU" w:eastAsia="en-GB"/>
        </w:rPr>
        <w:t>develop documented guidance for:</w:t>
      </w:r>
    </w:p>
    <w:p w14:paraId="4CAB3BA6" w14:textId="77777777" w:rsidR="008F4B81" w:rsidRPr="008F4B81" w:rsidRDefault="008F4B81" w:rsidP="008F4B81">
      <w:pPr>
        <w:pStyle w:val="ListParagraph"/>
        <w:numPr>
          <w:ilvl w:val="1"/>
          <w:numId w:val="13"/>
        </w:numPr>
        <w:rPr>
          <w:rFonts w:ascii="Arial" w:eastAsiaTheme="minorHAnsi" w:hAnsi="Arial" w:cs="Calibri"/>
          <w:sz w:val="20"/>
          <w:lang w:val="en-AU" w:eastAsia="ja-JP"/>
        </w:rPr>
      </w:pPr>
      <w:r w:rsidRPr="008F4B81">
        <w:rPr>
          <w:rFonts w:ascii="Arial" w:eastAsiaTheme="minorHAnsi" w:hAnsi="Arial" w:cs="Calibri"/>
          <w:sz w:val="20"/>
          <w:lang w:val="en-AU" w:eastAsia="ja-JP"/>
        </w:rPr>
        <w:t xml:space="preserve">remote monitoring of storage conditions pre-, mid-, and post-flow </w:t>
      </w:r>
    </w:p>
    <w:p w14:paraId="601C350E" w14:textId="77777777" w:rsidR="008F4B81" w:rsidRPr="008F4B81" w:rsidRDefault="008F4B81" w:rsidP="008F4B81">
      <w:pPr>
        <w:pStyle w:val="ListParagraph"/>
        <w:numPr>
          <w:ilvl w:val="1"/>
          <w:numId w:val="13"/>
        </w:numPr>
        <w:rPr>
          <w:rFonts w:ascii="Arial" w:eastAsiaTheme="minorHAnsi" w:hAnsi="Arial" w:cs="Calibri"/>
          <w:sz w:val="20"/>
          <w:lang w:val="en-AU" w:eastAsia="ja-JP"/>
        </w:rPr>
      </w:pPr>
      <w:r w:rsidRPr="008F4B81">
        <w:rPr>
          <w:rFonts w:ascii="Arial" w:eastAsiaTheme="minorHAnsi" w:hAnsi="Arial" w:cs="Calibri"/>
          <w:sz w:val="20"/>
          <w:lang w:val="en-AU" w:eastAsia="ja-JP"/>
        </w:rPr>
        <w:t xml:space="preserve">verification of measured take data, including routine approaches and guidance for applying additional scrutiny where </w:t>
      </w:r>
      <w:proofErr w:type="gramStart"/>
      <w:r w:rsidRPr="008F4B81">
        <w:rPr>
          <w:rFonts w:ascii="Arial" w:eastAsiaTheme="minorHAnsi" w:hAnsi="Arial" w:cs="Calibri"/>
          <w:sz w:val="20"/>
          <w:lang w:val="en-AU" w:eastAsia="ja-JP"/>
        </w:rPr>
        <w:t>necessary;</w:t>
      </w:r>
      <w:proofErr w:type="gramEnd"/>
    </w:p>
    <w:p w14:paraId="352C4D8D" w14:textId="77777777" w:rsidR="008F4B81" w:rsidRPr="008F4B81" w:rsidRDefault="008F4B81" w:rsidP="008F4B81">
      <w:pPr>
        <w:pStyle w:val="ListParagraph"/>
        <w:numPr>
          <w:ilvl w:val="1"/>
          <w:numId w:val="13"/>
        </w:numPr>
        <w:rPr>
          <w:rFonts w:ascii="Arial" w:eastAsiaTheme="minorHAnsi" w:hAnsi="Arial" w:cs="Calibri"/>
          <w:sz w:val="20"/>
          <w:lang w:val="en-AU" w:eastAsia="ja-JP"/>
        </w:rPr>
      </w:pPr>
      <w:r w:rsidRPr="008F4B81">
        <w:rPr>
          <w:rFonts w:ascii="Arial" w:eastAsiaTheme="minorHAnsi" w:hAnsi="Arial" w:cs="Calibri"/>
          <w:sz w:val="20"/>
          <w:lang w:val="en-AU" w:eastAsia="ja-JP"/>
        </w:rPr>
        <w:t>use of accounting spreadsheets; and</w:t>
      </w:r>
    </w:p>
    <w:p w14:paraId="7FA7F089" w14:textId="77777777" w:rsidR="008F4B81" w:rsidRPr="008F4B81" w:rsidRDefault="008F4B81" w:rsidP="008F4B81">
      <w:pPr>
        <w:pStyle w:val="ListParagraph"/>
        <w:numPr>
          <w:ilvl w:val="1"/>
          <w:numId w:val="13"/>
        </w:numPr>
        <w:rPr>
          <w:rFonts w:ascii="Arial" w:eastAsiaTheme="minorHAnsi" w:hAnsi="Arial" w:cs="Calibri"/>
          <w:sz w:val="20"/>
          <w:lang w:val="en-AU" w:eastAsia="ja-JP"/>
        </w:rPr>
      </w:pPr>
      <w:r w:rsidRPr="008F4B81">
        <w:rPr>
          <w:rFonts w:ascii="Arial" w:eastAsiaTheme="minorHAnsi" w:hAnsi="Arial" w:cs="Calibri"/>
          <w:sz w:val="20"/>
          <w:lang w:val="en-AU" w:eastAsia="ja-JP"/>
        </w:rPr>
        <w:t xml:space="preserve">use of flow event management spreadsheets. </w:t>
      </w:r>
    </w:p>
    <w:p w14:paraId="68C3C18F" w14:textId="77777777" w:rsidR="008F4B81" w:rsidRPr="00E30C67" w:rsidRDefault="008F4B81" w:rsidP="008F4B81">
      <w:pPr>
        <w:ind w:left="425"/>
        <w:rPr>
          <w:rFonts w:ascii="Arial" w:eastAsiaTheme="minorEastAsia" w:hAnsi="Arial" w:cstheme="minorBidi"/>
          <w:sz w:val="20"/>
          <w:szCs w:val="24"/>
          <w:lang w:val="en-AU" w:eastAsia="ja-JP"/>
        </w:rPr>
      </w:pPr>
    </w:p>
    <w:p w14:paraId="38E58CA7" w14:textId="77777777" w:rsidR="008F4B81" w:rsidRPr="00E30C67" w:rsidRDefault="008F4B81" w:rsidP="008F4B81">
      <w:pPr>
        <w:suppressAutoHyphens/>
        <w:spacing w:before="60" w:after="60" w:line="280" w:lineRule="atLeast"/>
        <w:rPr>
          <w:rFonts w:ascii="Arial" w:eastAsiaTheme="minorEastAsia" w:hAnsi="Arial" w:cstheme="minorBidi"/>
          <w:sz w:val="20"/>
          <w:szCs w:val="24"/>
          <w:lang w:val="en-AU" w:eastAsia="en-GB"/>
        </w:rPr>
      </w:pPr>
      <w:r w:rsidRPr="00E30C67">
        <w:rPr>
          <w:rFonts w:ascii="Arial" w:eastAsiaTheme="minorEastAsia" w:hAnsi="Arial" w:cstheme="minorBidi"/>
          <w:sz w:val="20"/>
          <w:szCs w:val="24"/>
          <w:lang w:val="en-AU" w:eastAsia="en-GB"/>
        </w:rPr>
        <w:t xml:space="preserve">Having guidance in place for these key compliance activities would help to reduce the risk of loss of capacity or corporate knowledge due to staff turnover, inconsistent application of rules and gaps in implementation. Documentation of the monitoring, </w:t>
      </w:r>
      <w:proofErr w:type="gramStart"/>
      <w:r w:rsidRPr="00E30C67">
        <w:rPr>
          <w:rFonts w:ascii="Arial" w:eastAsiaTheme="minorEastAsia" w:hAnsi="Arial" w:cstheme="minorBidi"/>
          <w:sz w:val="20"/>
          <w:szCs w:val="24"/>
          <w:lang w:val="en-AU" w:eastAsia="en-GB"/>
        </w:rPr>
        <w:t>frequency</w:t>
      </w:r>
      <w:proofErr w:type="gramEnd"/>
      <w:r w:rsidRPr="00E30C67">
        <w:rPr>
          <w:rFonts w:ascii="Arial" w:eastAsiaTheme="minorEastAsia" w:hAnsi="Arial" w:cstheme="minorBidi"/>
          <w:sz w:val="20"/>
          <w:szCs w:val="24"/>
          <w:lang w:val="en-AU" w:eastAsia="en-GB"/>
        </w:rPr>
        <w:t xml:space="preserve"> and findings in line with guidance (developed in relation to a and b) would provide greater consistency, quality assurance, and auditability. Guidance (developed in relation to c and d) would also mitigate risks of inconsistent application of spreadsheets between officers or missing requirements during handover to different offices.</w:t>
      </w:r>
    </w:p>
    <w:p w14:paraId="5951A641" w14:textId="77777777" w:rsidR="008F4B81" w:rsidRPr="00E30C67" w:rsidRDefault="008F4B81" w:rsidP="008F4B81">
      <w:pPr>
        <w:suppressAutoHyphens/>
        <w:spacing w:before="60" w:after="60" w:line="280" w:lineRule="atLeast"/>
        <w:rPr>
          <w:rFonts w:ascii="Arial" w:eastAsiaTheme="minorEastAsia" w:hAnsi="Arial" w:cstheme="minorBidi"/>
          <w:sz w:val="20"/>
          <w:szCs w:val="24"/>
          <w:lang w:val="en-AU" w:eastAsia="en-GB"/>
        </w:rPr>
      </w:pPr>
      <w:r w:rsidRPr="00E30C67">
        <w:rPr>
          <w:rFonts w:ascii="Arial" w:eastAsiaTheme="minorEastAsia" w:hAnsi="Arial" w:cstheme="minorBidi"/>
          <w:sz w:val="20"/>
          <w:szCs w:val="24"/>
          <w:lang w:val="en-AU" w:eastAsia="en-GB"/>
        </w:rPr>
        <w:t>The guidance for use of the flow event management spreadsheet (developed in relation to d) should include a method for tracking the period elapsed between flow events to support implementation of trigger-based flow event management rules within Chapter 9 of the Water Management Protocol.</w:t>
      </w:r>
    </w:p>
    <w:p w14:paraId="4BAF08DF" w14:textId="77777777" w:rsidR="008F4B81" w:rsidRDefault="008F4B81">
      <w:pPr>
        <w:spacing w:line="391" w:lineRule="exact"/>
        <w:textAlignment w:val="baseline"/>
        <w:rPr>
          <w:rFonts w:ascii="Arial" w:eastAsia="Arial" w:hAnsi="Arial"/>
          <w:b/>
          <w:color w:val="000000"/>
        </w:rPr>
      </w:pPr>
    </w:p>
    <w:p w14:paraId="12B73991" w14:textId="270D7E32" w:rsidR="00B7395F" w:rsidRDefault="00FC34AA">
      <w:pPr>
        <w:spacing w:line="391" w:lineRule="exact"/>
        <w:textAlignment w:val="baseline"/>
        <w:rPr>
          <w:rFonts w:ascii="Arial" w:eastAsia="Arial" w:hAnsi="Arial"/>
          <w:b/>
          <w:color w:val="000000"/>
        </w:rPr>
      </w:pPr>
      <w:r>
        <w:rPr>
          <w:rFonts w:ascii="Arial" w:eastAsia="Arial" w:hAnsi="Arial"/>
          <w:b/>
          <w:color w:val="000000"/>
        </w:rPr>
        <w:t xml:space="preserve">Management Response to Recommendation 1 </w:t>
      </w:r>
      <w:r>
        <w:rPr>
          <w:rFonts w:ascii="Arial" w:eastAsia="Arial" w:hAnsi="Arial"/>
          <w:b/>
          <w:color w:val="000000"/>
        </w:rPr>
        <w:br/>
      </w:r>
      <w:r>
        <w:rPr>
          <w:rFonts w:ascii="Arial" w:eastAsia="Arial" w:hAnsi="Arial"/>
          <w:b/>
          <w:color w:val="000000"/>
          <w:sz w:val="20"/>
        </w:rPr>
        <w:t>The recommendation is accepted.</w:t>
      </w:r>
    </w:p>
    <w:p w14:paraId="1A281C43" w14:textId="77777777" w:rsidR="00B7395F" w:rsidRDefault="00FC34AA">
      <w:pPr>
        <w:spacing w:before="269" w:line="264" w:lineRule="exact"/>
        <w:jc w:val="both"/>
        <w:textAlignment w:val="baseline"/>
        <w:rPr>
          <w:rFonts w:ascii="Arial" w:eastAsia="Arial" w:hAnsi="Arial"/>
          <w:color w:val="000000"/>
          <w:sz w:val="20"/>
        </w:rPr>
      </w:pPr>
      <w:r>
        <w:rPr>
          <w:rFonts w:ascii="Arial" w:eastAsia="Arial" w:hAnsi="Arial"/>
          <w:color w:val="000000"/>
          <w:sz w:val="20"/>
        </w:rPr>
        <w:t>Investment in future work practices and workflow will be delivered through an initiative of the Rural Water Futures program (RWFP) to improve the measurement of overland flow.</w:t>
      </w:r>
    </w:p>
    <w:p w14:paraId="0FD0ECBE" w14:textId="77777777" w:rsidR="00B7395F" w:rsidRDefault="00FC34AA">
      <w:pPr>
        <w:spacing w:before="264" w:line="264" w:lineRule="exact"/>
        <w:jc w:val="both"/>
        <w:textAlignment w:val="baseline"/>
        <w:rPr>
          <w:rFonts w:ascii="Arial" w:eastAsia="Arial" w:hAnsi="Arial"/>
          <w:color w:val="000000"/>
          <w:sz w:val="20"/>
        </w:rPr>
      </w:pPr>
      <w:r>
        <w:rPr>
          <w:rFonts w:ascii="Arial" w:eastAsia="Arial" w:hAnsi="Arial"/>
          <w:color w:val="000000"/>
          <w:sz w:val="20"/>
        </w:rPr>
        <w:t>The overland flow measurement program has been established to develop consistent ways of determining overland flow take and drive legislative change. The program will support the development of new and enhanced measurement and monitoring tools and supporting systems.</w:t>
      </w:r>
    </w:p>
    <w:p w14:paraId="5D16E38D" w14:textId="77777777" w:rsidR="00B7395F" w:rsidRDefault="00FC34AA">
      <w:pPr>
        <w:spacing w:before="264" w:line="264" w:lineRule="exact"/>
        <w:jc w:val="both"/>
        <w:textAlignment w:val="baseline"/>
        <w:rPr>
          <w:rFonts w:ascii="Arial" w:eastAsia="Arial" w:hAnsi="Arial"/>
          <w:color w:val="000000"/>
          <w:sz w:val="20"/>
        </w:rPr>
      </w:pPr>
      <w:r>
        <w:rPr>
          <w:rFonts w:ascii="Arial" w:eastAsia="Arial" w:hAnsi="Arial"/>
          <w:color w:val="000000"/>
          <w:sz w:val="20"/>
        </w:rPr>
        <w:t>Through this project, current state and future state work practices and supporting systems requirements will be documented.</w:t>
      </w:r>
    </w:p>
    <w:p w14:paraId="522490B5" w14:textId="77777777" w:rsidR="00B7395F" w:rsidRDefault="00FC34AA">
      <w:pPr>
        <w:spacing w:before="268" w:after="3488" w:line="264" w:lineRule="exact"/>
        <w:jc w:val="both"/>
        <w:textAlignment w:val="baseline"/>
        <w:rPr>
          <w:rFonts w:ascii="Arial" w:eastAsia="Arial" w:hAnsi="Arial"/>
          <w:color w:val="000000"/>
          <w:sz w:val="20"/>
        </w:rPr>
      </w:pPr>
      <w:r>
        <w:rPr>
          <w:rFonts w:ascii="Arial" w:eastAsia="Arial" w:hAnsi="Arial"/>
          <w:color w:val="000000"/>
          <w:sz w:val="20"/>
        </w:rPr>
        <w:t xml:space="preserve">Transparent water information is another initiative of the RWFP and includes a project to develop and implement a future water accounting framework that improves systems and processes to enable automated reconciliation of actual and </w:t>
      </w:r>
      <w:proofErr w:type="spellStart"/>
      <w:r>
        <w:rPr>
          <w:rFonts w:ascii="Arial" w:eastAsia="Arial" w:hAnsi="Arial"/>
          <w:color w:val="000000"/>
          <w:sz w:val="20"/>
        </w:rPr>
        <w:t>authorised</w:t>
      </w:r>
      <w:proofErr w:type="spellEnd"/>
      <w:r>
        <w:rPr>
          <w:rFonts w:ascii="Arial" w:eastAsia="Arial" w:hAnsi="Arial"/>
          <w:color w:val="000000"/>
          <w:sz w:val="20"/>
        </w:rPr>
        <w:t xml:space="preserve"> take. This project is seeking to </w:t>
      </w:r>
      <w:proofErr w:type="spellStart"/>
      <w:r>
        <w:rPr>
          <w:rFonts w:ascii="Arial" w:eastAsia="Arial" w:hAnsi="Arial"/>
          <w:color w:val="000000"/>
          <w:sz w:val="20"/>
        </w:rPr>
        <w:t>systematise</w:t>
      </w:r>
      <w:proofErr w:type="spellEnd"/>
      <w:r>
        <w:rPr>
          <w:rFonts w:ascii="Arial" w:eastAsia="Arial" w:hAnsi="Arial"/>
          <w:color w:val="000000"/>
          <w:sz w:val="20"/>
        </w:rPr>
        <w:t xml:space="preserve"> consistent water accounting across the MDB.</w:t>
      </w:r>
    </w:p>
    <w:p w14:paraId="5FD04C97" w14:textId="77777777" w:rsidR="00B7395F" w:rsidRDefault="00B7395F">
      <w:pPr>
        <w:spacing w:before="268" w:after="3488" w:line="264" w:lineRule="exact"/>
        <w:sectPr w:rsidR="00B7395F">
          <w:pgSz w:w="11909" w:h="16838"/>
          <w:pgMar w:top="1400" w:right="1335" w:bottom="232" w:left="1354" w:header="720" w:footer="720" w:gutter="0"/>
          <w:cols w:space="720"/>
        </w:sectPr>
      </w:pPr>
    </w:p>
    <w:p w14:paraId="551718B7" w14:textId="77777777" w:rsidR="00B7395F" w:rsidRDefault="00FC34AA">
      <w:pPr>
        <w:pBdr>
          <w:top w:val="single" w:sz="13" w:space="7" w:color="000000"/>
        </w:pBdr>
        <w:shd w:val="solid" w:color="000000" w:fill="000000"/>
        <w:spacing w:line="230" w:lineRule="exact"/>
        <w:ind w:left="360"/>
        <w:textAlignment w:val="baseline"/>
        <w:rPr>
          <w:rFonts w:ascii="Arial" w:eastAsia="Arial" w:hAnsi="Arial"/>
          <w:color w:val="FFFFFF"/>
          <w:sz w:val="20"/>
        </w:rPr>
      </w:pPr>
      <w:r>
        <w:rPr>
          <w:noProof/>
        </w:rPr>
        <mc:AlternateContent>
          <mc:Choice Requires="wps">
            <w:drawing>
              <wp:anchor distT="0" distB="0" distL="114300" distR="114300" simplePos="0" relativeHeight="251668480" behindDoc="0" locked="0" layoutInCell="1" allowOverlap="1" wp14:anchorId="29DE726D" wp14:editId="55D89158">
                <wp:simplePos x="0" y="0"/>
                <wp:positionH relativeFrom="page">
                  <wp:posOffset>880745</wp:posOffset>
                </wp:positionH>
                <wp:positionV relativeFrom="page">
                  <wp:posOffset>9979025</wp:posOffset>
                </wp:positionV>
                <wp:extent cx="5813425" cy="0"/>
                <wp:effectExtent l="0" t="0" r="0" b="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3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9504" from="69.35pt,785.75pt" to="527.1pt,785.75pt" strokeweight="1.7pt"/>
            </w:pict>
          </mc:Fallback>
        </mc:AlternateContent>
      </w:r>
      <w:r>
        <w:rPr>
          <w:rFonts w:ascii="Arial" w:eastAsia="Arial" w:hAnsi="Arial"/>
          <w:color w:val="FFFFFF"/>
          <w:sz w:val="20"/>
        </w:rPr>
        <w:t>2</w:t>
      </w:r>
    </w:p>
    <w:p w14:paraId="721C18D7" w14:textId="77777777" w:rsidR="00B7395F" w:rsidRDefault="00B7395F">
      <w:pPr>
        <w:sectPr w:rsidR="00B7395F">
          <w:type w:val="continuous"/>
          <w:pgSz w:w="11909" w:h="16838"/>
          <w:pgMar w:top="1400" w:right="628" w:bottom="232" w:left="10541" w:header="720" w:footer="720" w:gutter="0"/>
          <w:cols w:space="720"/>
        </w:sectPr>
      </w:pPr>
    </w:p>
    <w:p w14:paraId="1F02EBC2" w14:textId="30ECBEC9" w:rsidR="008F4B81" w:rsidRPr="005A1420" w:rsidRDefault="008F4B81" w:rsidP="008F4B81">
      <w:pPr>
        <w:suppressAutoHyphens/>
        <w:spacing w:before="60"/>
        <w:rPr>
          <w:rFonts w:ascii="Arial" w:eastAsiaTheme="minorEastAsia" w:hAnsi="Arial" w:cs="Roc Grotesk Medium"/>
          <w:b/>
          <w:color w:val="47555E"/>
          <w:sz w:val="36"/>
          <w:szCs w:val="26"/>
          <w:lang w:eastAsia="en-GB"/>
        </w:rPr>
      </w:pPr>
      <w:r w:rsidRPr="005A1420">
        <w:rPr>
          <w:rFonts w:ascii="Arial" w:eastAsiaTheme="minorEastAsia" w:hAnsi="Arial" w:cs="Roc Grotesk Medium"/>
          <w:b/>
          <w:color w:val="47555E"/>
          <w:sz w:val="36"/>
          <w:szCs w:val="26"/>
          <w:lang w:eastAsia="en-GB"/>
        </w:rPr>
        <w:lastRenderedPageBreak/>
        <w:t>Recommendation 2 –</w:t>
      </w:r>
      <w:r w:rsidRPr="005A1420">
        <w:rPr>
          <w:rFonts w:ascii="Arial" w:eastAsiaTheme="minorEastAsia" w:hAnsi="Arial" w:cstheme="minorBidi"/>
          <w:sz w:val="20"/>
          <w:szCs w:val="24"/>
          <w:lang w:val="en-AU" w:eastAsia="ja-JP"/>
        </w:rPr>
        <w:t xml:space="preserve"> </w:t>
      </w:r>
      <w:r w:rsidRPr="005A1420">
        <w:rPr>
          <w:rFonts w:ascii="Arial" w:eastAsiaTheme="minorEastAsia" w:hAnsi="Arial" w:cs="Roc Grotesk Medium"/>
          <w:b/>
          <w:color w:val="47555E"/>
          <w:sz w:val="36"/>
          <w:szCs w:val="26"/>
          <w:lang w:eastAsia="en-GB"/>
        </w:rPr>
        <w:t xml:space="preserve">Commit to a minimum number of on-site audits for pre and post flow </w:t>
      </w:r>
      <w:proofErr w:type="gramStart"/>
      <w:r w:rsidRPr="005A1420">
        <w:rPr>
          <w:rFonts w:ascii="Arial" w:eastAsiaTheme="minorEastAsia" w:hAnsi="Arial" w:cs="Roc Grotesk Medium"/>
          <w:b/>
          <w:color w:val="47555E"/>
          <w:sz w:val="36"/>
          <w:szCs w:val="26"/>
          <w:lang w:eastAsia="en-GB"/>
        </w:rPr>
        <w:t>events</w:t>
      </w:r>
      <w:proofErr w:type="gramEnd"/>
    </w:p>
    <w:p w14:paraId="4E1B294C" w14:textId="77777777" w:rsidR="008F4B81" w:rsidRPr="005A1420" w:rsidRDefault="008F4B81" w:rsidP="008F4B81">
      <w:pPr>
        <w:suppressAutoHyphens/>
        <w:spacing w:before="60" w:after="60" w:line="280" w:lineRule="atLeast"/>
        <w:rPr>
          <w:rFonts w:ascii="Arial" w:eastAsiaTheme="minorEastAsia" w:hAnsi="Arial" w:cstheme="minorBidi"/>
          <w:sz w:val="20"/>
          <w:szCs w:val="24"/>
          <w:lang w:val="en-AU" w:eastAsia="ja-JP"/>
        </w:rPr>
      </w:pPr>
      <w:r w:rsidRPr="005A1420">
        <w:rPr>
          <w:rFonts w:ascii="Arial" w:eastAsiaTheme="minorEastAsia" w:hAnsi="Arial" w:cstheme="minorBidi"/>
          <w:sz w:val="20"/>
          <w:szCs w:val="24"/>
          <w:lang w:val="en-AU" w:eastAsia="ja-JP"/>
        </w:rPr>
        <w:t xml:space="preserve">DRDMW should: </w:t>
      </w:r>
    </w:p>
    <w:p w14:paraId="030C2ED1" w14:textId="77777777" w:rsidR="008F4B81" w:rsidRPr="005A1420" w:rsidRDefault="008F4B81" w:rsidP="008F4B81">
      <w:pPr>
        <w:numPr>
          <w:ilvl w:val="0"/>
          <w:numId w:val="4"/>
        </w:numPr>
        <w:suppressAutoHyphens/>
        <w:spacing w:before="60" w:after="60" w:line="280" w:lineRule="atLeast"/>
        <w:rPr>
          <w:rFonts w:ascii="Arial" w:eastAsiaTheme="minorEastAsia" w:hAnsi="Arial" w:cstheme="minorBidi"/>
          <w:sz w:val="20"/>
          <w:szCs w:val="24"/>
          <w:lang w:val="en-AU" w:eastAsia="ja-JP"/>
        </w:rPr>
      </w:pPr>
      <w:r w:rsidRPr="005A1420">
        <w:rPr>
          <w:rFonts w:ascii="Arial" w:eastAsiaTheme="minorEastAsia" w:hAnsi="Arial" w:cstheme="minorBidi"/>
          <w:sz w:val="20"/>
          <w:szCs w:val="24"/>
          <w:lang w:val="en-AU" w:eastAsia="ja-JP"/>
        </w:rPr>
        <w:t xml:space="preserve">commit to undertaking pre-flow event and post-flow event on-site audits at a </w:t>
      </w:r>
      <w:proofErr w:type="gramStart"/>
      <w:r w:rsidRPr="005A1420">
        <w:rPr>
          <w:rFonts w:ascii="Arial" w:eastAsiaTheme="minorEastAsia" w:hAnsi="Arial" w:cstheme="minorBidi"/>
          <w:sz w:val="20"/>
          <w:szCs w:val="24"/>
          <w:lang w:val="en-AU" w:eastAsia="ja-JP"/>
        </w:rPr>
        <w:t>minimum</w:t>
      </w:r>
      <w:proofErr w:type="gramEnd"/>
    </w:p>
    <w:p w14:paraId="678D81B5" w14:textId="056CB21D" w:rsidR="008F4B81" w:rsidRDefault="008F4B81" w:rsidP="008F4B81">
      <w:pPr>
        <w:spacing w:line="407" w:lineRule="exact"/>
        <w:textAlignment w:val="baseline"/>
        <w:rPr>
          <w:rFonts w:ascii="Arial" w:eastAsia="Arial" w:hAnsi="Arial"/>
          <w:b/>
          <w:color w:val="000000"/>
        </w:rPr>
      </w:pPr>
      <w:r w:rsidRPr="005A1420">
        <w:rPr>
          <w:rFonts w:ascii="Arial" w:eastAsiaTheme="minorHAnsi" w:hAnsi="Arial" w:cstheme="minorBidi"/>
          <w:sz w:val="20"/>
          <w:szCs w:val="24"/>
          <w:lang w:val="en-AU" w:eastAsia="ja-JP"/>
        </w:rPr>
        <w:t>Undertaking sufficient on-site audits will address the risk that issues are not detected, including nonoperational meters, changes to storages, and noncompliance with licence conditions.</w:t>
      </w:r>
    </w:p>
    <w:p w14:paraId="50D8C4E5" w14:textId="77777777" w:rsidR="00FC34AA" w:rsidRDefault="00FC34AA">
      <w:pPr>
        <w:spacing w:line="407" w:lineRule="exact"/>
        <w:textAlignment w:val="baseline"/>
        <w:rPr>
          <w:rFonts w:ascii="Arial" w:eastAsia="Arial" w:hAnsi="Arial"/>
          <w:b/>
          <w:color w:val="000000"/>
        </w:rPr>
      </w:pPr>
    </w:p>
    <w:p w14:paraId="170CE896" w14:textId="5B2C62D7" w:rsidR="00B7395F" w:rsidRDefault="00FC34AA">
      <w:pPr>
        <w:spacing w:line="407" w:lineRule="exact"/>
        <w:textAlignment w:val="baseline"/>
        <w:rPr>
          <w:rFonts w:ascii="Arial" w:eastAsia="Arial" w:hAnsi="Arial"/>
          <w:b/>
          <w:color w:val="000000"/>
        </w:rPr>
      </w:pPr>
      <w:r>
        <w:rPr>
          <w:rFonts w:ascii="Arial" w:eastAsia="Arial" w:hAnsi="Arial"/>
          <w:b/>
          <w:color w:val="000000"/>
        </w:rPr>
        <w:t xml:space="preserve">Management Response to Recommendation 2 </w:t>
      </w:r>
      <w:r>
        <w:rPr>
          <w:rFonts w:ascii="Arial" w:eastAsia="Arial" w:hAnsi="Arial"/>
          <w:b/>
          <w:color w:val="000000"/>
        </w:rPr>
        <w:br/>
      </w:r>
      <w:r>
        <w:rPr>
          <w:rFonts w:ascii="Arial" w:eastAsia="Arial" w:hAnsi="Arial"/>
          <w:b/>
          <w:color w:val="000000"/>
          <w:sz w:val="20"/>
        </w:rPr>
        <w:t>The recommendation is accepted in part.</w:t>
      </w:r>
    </w:p>
    <w:p w14:paraId="65438135" w14:textId="77777777" w:rsidR="00B7395F" w:rsidRDefault="00FC34AA">
      <w:pPr>
        <w:spacing w:before="263" w:line="264" w:lineRule="exact"/>
        <w:jc w:val="both"/>
        <w:textAlignment w:val="baseline"/>
        <w:rPr>
          <w:rFonts w:ascii="Arial" w:eastAsia="Arial" w:hAnsi="Arial"/>
          <w:color w:val="000000"/>
          <w:spacing w:val="-1"/>
          <w:sz w:val="20"/>
        </w:rPr>
      </w:pPr>
      <w:r>
        <w:rPr>
          <w:rFonts w:ascii="Arial" w:eastAsia="Arial" w:hAnsi="Arial"/>
          <w:color w:val="000000"/>
          <w:spacing w:val="-1"/>
          <w:sz w:val="20"/>
        </w:rPr>
        <w:t xml:space="preserve">Currently, the Department of Regional Development, Manufacturing and Water (DRDMW) </w:t>
      </w:r>
      <w:proofErr w:type="spellStart"/>
      <w:r>
        <w:rPr>
          <w:rFonts w:ascii="Arial" w:eastAsia="Arial" w:hAnsi="Arial"/>
          <w:color w:val="000000"/>
          <w:spacing w:val="-1"/>
          <w:sz w:val="20"/>
        </w:rPr>
        <w:t>prioritises</w:t>
      </w:r>
      <w:proofErr w:type="spellEnd"/>
      <w:r>
        <w:rPr>
          <w:rFonts w:ascii="Arial" w:eastAsia="Arial" w:hAnsi="Arial"/>
          <w:color w:val="000000"/>
          <w:spacing w:val="-1"/>
          <w:sz w:val="20"/>
        </w:rPr>
        <w:t xml:space="preserve"> on-site audits in the Lower Balonne in Spring (pre-flow), during flows and post flow events. The ability to undertake audits on-site is impacted by weather and access conditions at the time and was particularly impacted during the audit period. Access to monitoring sites is limited by </w:t>
      </w:r>
      <w:proofErr w:type="gramStart"/>
      <w:r>
        <w:rPr>
          <w:rFonts w:ascii="Arial" w:eastAsia="Arial" w:hAnsi="Arial"/>
          <w:color w:val="000000"/>
          <w:spacing w:val="-1"/>
          <w:sz w:val="20"/>
        </w:rPr>
        <w:t>a number of</w:t>
      </w:r>
      <w:proofErr w:type="gramEnd"/>
      <w:r>
        <w:rPr>
          <w:rFonts w:ascii="Arial" w:eastAsia="Arial" w:hAnsi="Arial"/>
          <w:color w:val="000000"/>
          <w:spacing w:val="-1"/>
          <w:sz w:val="20"/>
        </w:rPr>
        <w:t xml:space="preserve"> factors:</w:t>
      </w:r>
    </w:p>
    <w:p w14:paraId="69C0A95D" w14:textId="77777777" w:rsidR="00B7395F" w:rsidRDefault="00FC34AA">
      <w:pPr>
        <w:numPr>
          <w:ilvl w:val="0"/>
          <w:numId w:val="1"/>
        </w:numPr>
        <w:tabs>
          <w:tab w:val="clear" w:pos="432"/>
          <w:tab w:val="left" w:pos="792"/>
        </w:tabs>
        <w:spacing w:before="29" w:line="249" w:lineRule="exact"/>
        <w:ind w:left="792" w:hanging="432"/>
        <w:textAlignment w:val="baseline"/>
        <w:rPr>
          <w:rFonts w:ascii="Arial" w:eastAsia="Arial" w:hAnsi="Arial"/>
          <w:color w:val="000000"/>
          <w:spacing w:val="-1"/>
          <w:sz w:val="20"/>
        </w:rPr>
      </w:pPr>
      <w:r>
        <w:rPr>
          <w:rFonts w:ascii="Arial" w:eastAsia="Arial" w:hAnsi="Arial"/>
          <w:color w:val="000000"/>
          <w:spacing w:val="-1"/>
          <w:sz w:val="20"/>
        </w:rPr>
        <w:t>flood waters cutting vehicular access to properties.</w:t>
      </w:r>
    </w:p>
    <w:p w14:paraId="1F2E5032" w14:textId="77777777" w:rsidR="00B7395F" w:rsidRDefault="00FC34AA">
      <w:pPr>
        <w:numPr>
          <w:ilvl w:val="0"/>
          <w:numId w:val="1"/>
        </w:numPr>
        <w:tabs>
          <w:tab w:val="clear" w:pos="432"/>
          <w:tab w:val="left" w:pos="792"/>
        </w:tabs>
        <w:spacing w:before="30" w:line="249" w:lineRule="exact"/>
        <w:ind w:left="792" w:hanging="432"/>
        <w:textAlignment w:val="baseline"/>
        <w:rPr>
          <w:rFonts w:ascii="Arial" w:eastAsia="Arial" w:hAnsi="Arial"/>
          <w:color w:val="000000"/>
          <w:spacing w:val="-1"/>
          <w:sz w:val="20"/>
        </w:rPr>
      </w:pPr>
      <w:r>
        <w:rPr>
          <w:rFonts w:ascii="Arial" w:eastAsia="Arial" w:hAnsi="Arial"/>
          <w:color w:val="000000"/>
          <w:spacing w:val="-1"/>
          <w:sz w:val="20"/>
        </w:rPr>
        <w:t>main unsealed road networks closed to all traffic; and</w:t>
      </w:r>
    </w:p>
    <w:p w14:paraId="4EC747DC" w14:textId="77777777" w:rsidR="00B7395F" w:rsidRDefault="00FC34AA">
      <w:pPr>
        <w:numPr>
          <w:ilvl w:val="0"/>
          <w:numId w:val="1"/>
        </w:numPr>
        <w:tabs>
          <w:tab w:val="clear" w:pos="432"/>
          <w:tab w:val="left" w:pos="792"/>
        </w:tabs>
        <w:spacing w:before="29" w:line="249" w:lineRule="exact"/>
        <w:ind w:left="792" w:hanging="432"/>
        <w:textAlignment w:val="baseline"/>
        <w:rPr>
          <w:rFonts w:ascii="Arial" w:eastAsia="Arial" w:hAnsi="Arial"/>
          <w:color w:val="000000"/>
          <w:spacing w:val="-1"/>
          <w:sz w:val="20"/>
        </w:rPr>
      </w:pPr>
      <w:r>
        <w:rPr>
          <w:rFonts w:ascii="Arial" w:eastAsia="Arial" w:hAnsi="Arial"/>
          <w:color w:val="000000"/>
          <w:spacing w:val="-1"/>
          <w:sz w:val="20"/>
        </w:rPr>
        <w:t>local rainfall making farm tracks non-trafficable.</w:t>
      </w:r>
    </w:p>
    <w:p w14:paraId="4E1C9784" w14:textId="77777777" w:rsidR="00B7395F" w:rsidRDefault="00FC34AA">
      <w:pPr>
        <w:spacing w:before="159" w:line="264" w:lineRule="exact"/>
        <w:jc w:val="both"/>
        <w:textAlignment w:val="baseline"/>
        <w:rPr>
          <w:rFonts w:ascii="Arial" w:eastAsia="Arial" w:hAnsi="Arial"/>
          <w:color w:val="000000"/>
          <w:sz w:val="20"/>
        </w:rPr>
      </w:pPr>
      <w:r>
        <w:rPr>
          <w:rFonts w:ascii="Arial" w:eastAsia="Arial" w:hAnsi="Arial"/>
          <w:color w:val="000000"/>
          <w:sz w:val="20"/>
        </w:rPr>
        <w:t>The Strengthened water measurement initiative of the RWFP is progressively investigating the use of technology to strengthen measurements on-site.</w:t>
      </w:r>
    </w:p>
    <w:p w14:paraId="39ED7F91" w14:textId="77777777" w:rsidR="00B7395F" w:rsidRDefault="00FC34AA">
      <w:pPr>
        <w:spacing w:line="266" w:lineRule="exact"/>
        <w:jc w:val="both"/>
        <w:textAlignment w:val="baseline"/>
        <w:rPr>
          <w:rFonts w:ascii="Arial" w:eastAsia="Arial" w:hAnsi="Arial"/>
          <w:color w:val="000000"/>
          <w:sz w:val="20"/>
        </w:rPr>
      </w:pPr>
      <w:r>
        <w:rPr>
          <w:rFonts w:ascii="Arial" w:eastAsia="Arial" w:hAnsi="Arial"/>
          <w:color w:val="000000"/>
          <w:sz w:val="20"/>
        </w:rPr>
        <w:t>To strengthen on-site monitoring, technology trials are being undertaken to support overall timely measurement of water take. Some of these initiatives include:</w:t>
      </w:r>
    </w:p>
    <w:p w14:paraId="6743A4A1" w14:textId="77777777" w:rsidR="00B7395F" w:rsidRDefault="00FC34AA">
      <w:pPr>
        <w:numPr>
          <w:ilvl w:val="0"/>
          <w:numId w:val="1"/>
        </w:numPr>
        <w:tabs>
          <w:tab w:val="clear" w:pos="432"/>
          <w:tab w:val="left" w:pos="792"/>
        </w:tabs>
        <w:spacing w:before="30" w:line="249" w:lineRule="exact"/>
        <w:ind w:left="792" w:hanging="432"/>
        <w:textAlignment w:val="baseline"/>
        <w:rPr>
          <w:rFonts w:ascii="Arial" w:eastAsia="Arial" w:hAnsi="Arial"/>
          <w:color w:val="000000"/>
          <w:spacing w:val="-6"/>
          <w:sz w:val="20"/>
        </w:rPr>
      </w:pPr>
      <w:r>
        <w:rPr>
          <w:rFonts w:ascii="Arial" w:eastAsia="Arial" w:hAnsi="Arial"/>
          <w:color w:val="000000"/>
          <w:spacing w:val="-6"/>
          <w:sz w:val="20"/>
        </w:rPr>
        <w:t>telemetry,</w:t>
      </w:r>
    </w:p>
    <w:p w14:paraId="290FB538" w14:textId="77777777" w:rsidR="00B7395F" w:rsidRDefault="00FC34AA">
      <w:pPr>
        <w:numPr>
          <w:ilvl w:val="0"/>
          <w:numId w:val="1"/>
        </w:numPr>
        <w:tabs>
          <w:tab w:val="clear" w:pos="432"/>
          <w:tab w:val="left" w:pos="792"/>
        </w:tabs>
        <w:spacing w:before="19" w:line="259" w:lineRule="exact"/>
        <w:ind w:left="792" w:hanging="432"/>
        <w:jc w:val="both"/>
        <w:textAlignment w:val="baseline"/>
        <w:rPr>
          <w:rFonts w:ascii="Arial" w:eastAsia="Arial" w:hAnsi="Arial"/>
          <w:color w:val="000000"/>
          <w:sz w:val="20"/>
        </w:rPr>
      </w:pPr>
      <w:r>
        <w:rPr>
          <w:rFonts w:ascii="Arial" w:eastAsia="Arial" w:hAnsi="Arial"/>
          <w:color w:val="000000"/>
          <w:sz w:val="20"/>
        </w:rPr>
        <w:t>a Water User App that captures and submits meter readings through automated recognition tools, and</w:t>
      </w:r>
    </w:p>
    <w:p w14:paraId="5AA7DB11" w14:textId="77777777" w:rsidR="00B7395F" w:rsidRDefault="00FC34AA">
      <w:pPr>
        <w:numPr>
          <w:ilvl w:val="0"/>
          <w:numId w:val="1"/>
        </w:numPr>
        <w:tabs>
          <w:tab w:val="clear" w:pos="432"/>
          <w:tab w:val="left" w:pos="792"/>
        </w:tabs>
        <w:spacing w:before="20" w:line="264" w:lineRule="exact"/>
        <w:ind w:left="792" w:hanging="432"/>
        <w:jc w:val="both"/>
        <w:textAlignment w:val="baseline"/>
        <w:rPr>
          <w:rFonts w:ascii="Arial" w:eastAsia="Arial" w:hAnsi="Arial"/>
          <w:color w:val="000000"/>
          <w:sz w:val="20"/>
        </w:rPr>
      </w:pPr>
      <w:r>
        <w:rPr>
          <w:rFonts w:ascii="Arial" w:eastAsia="Arial" w:hAnsi="Arial"/>
          <w:color w:val="000000"/>
          <w:sz w:val="20"/>
        </w:rPr>
        <w:t xml:space="preserve">Remote sensing using satellite imagery proof of concepts including analytics of imagery to detect the presence of water in </w:t>
      </w:r>
      <w:proofErr w:type="spellStart"/>
      <w:r>
        <w:rPr>
          <w:rFonts w:ascii="Arial" w:eastAsia="Arial" w:hAnsi="Arial"/>
          <w:color w:val="000000"/>
          <w:sz w:val="20"/>
        </w:rPr>
        <w:t>offstream</w:t>
      </w:r>
      <w:proofErr w:type="spellEnd"/>
      <w:r>
        <w:rPr>
          <w:rFonts w:ascii="Arial" w:eastAsia="Arial" w:hAnsi="Arial"/>
          <w:color w:val="000000"/>
          <w:sz w:val="20"/>
        </w:rPr>
        <w:t xml:space="preserve"> storages.</w:t>
      </w:r>
    </w:p>
    <w:p w14:paraId="748BFE14" w14:textId="77777777" w:rsidR="00B7395F" w:rsidRDefault="00FC34AA">
      <w:pPr>
        <w:spacing w:before="158" w:after="4943" w:line="264" w:lineRule="exact"/>
        <w:jc w:val="both"/>
        <w:textAlignment w:val="baseline"/>
        <w:rPr>
          <w:rFonts w:ascii="Arial" w:eastAsia="Arial" w:hAnsi="Arial"/>
          <w:color w:val="000000"/>
          <w:sz w:val="20"/>
        </w:rPr>
      </w:pPr>
      <w:r>
        <w:rPr>
          <w:rFonts w:ascii="Arial" w:eastAsia="Arial" w:hAnsi="Arial"/>
          <w:color w:val="000000"/>
          <w:sz w:val="20"/>
        </w:rPr>
        <w:t xml:space="preserve">On-site audits will continue to be a part of the overall compliance framework but will be complemented by other strategies. The numbers of audits of overland flow storages undertaken in each year will continue to be assessed according to risk and </w:t>
      </w:r>
      <w:proofErr w:type="spellStart"/>
      <w:r>
        <w:rPr>
          <w:rFonts w:ascii="Arial" w:eastAsia="Arial" w:hAnsi="Arial"/>
          <w:color w:val="000000"/>
          <w:sz w:val="20"/>
        </w:rPr>
        <w:t>prioritised</w:t>
      </w:r>
      <w:proofErr w:type="spellEnd"/>
      <w:r>
        <w:rPr>
          <w:rFonts w:ascii="Arial" w:eastAsia="Arial" w:hAnsi="Arial"/>
          <w:color w:val="000000"/>
          <w:sz w:val="20"/>
        </w:rPr>
        <w:t xml:space="preserve"> in the DRDMW Annual Compliance Plan.</w:t>
      </w:r>
    </w:p>
    <w:p w14:paraId="399F3C7A" w14:textId="77777777" w:rsidR="00B7395F" w:rsidRDefault="00B7395F">
      <w:pPr>
        <w:spacing w:before="158" w:after="4943" w:line="264" w:lineRule="exact"/>
        <w:sectPr w:rsidR="00B7395F">
          <w:pgSz w:w="11909" w:h="16838"/>
          <w:pgMar w:top="1400" w:right="1349" w:bottom="232" w:left="1340" w:header="720" w:footer="720" w:gutter="0"/>
          <w:cols w:space="720"/>
        </w:sectPr>
      </w:pPr>
    </w:p>
    <w:p w14:paraId="2CDFEDDC" w14:textId="77777777" w:rsidR="00B7395F" w:rsidRDefault="00FC34AA">
      <w:pPr>
        <w:pBdr>
          <w:top w:val="single" w:sz="13" w:space="7" w:color="000000"/>
        </w:pBdr>
        <w:shd w:val="solid" w:color="000000" w:fill="000000"/>
        <w:spacing w:line="229" w:lineRule="exact"/>
        <w:ind w:left="360"/>
        <w:textAlignment w:val="baseline"/>
        <w:rPr>
          <w:rFonts w:ascii="Arial" w:eastAsia="Arial" w:hAnsi="Arial"/>
          <w:color w:val="FFFFFF"/>
          <w:sz w:val="20"/>
        </w:rPr>
      </w:pPr>
      <w:r>
        <w:rPr>
          <w:noProof/>
        </w:rPr>
        <mc:AlternateContent>
          <mc:Choice Requires="wps">
            <w:drawing>
              <wp:anchor distT="0" distB="0" distL="114300" distR="114300" simplePos="0" relativeHeight="251670528" behindDoc="0" locked="0" layoutInCell="1" allowOverlap="1" wp14:anchorId="704CCBB6" wp14:editId="4D2FF0CA">
                <wp:simplePos x="0" y="0"/>
                <wp:positionH relativeFrom="page">
                  <wp:posOffset>880745</wp:posOffset>
                </wp:positionH>
                <wp:positionV relativeFrom="page">
                  <wp:posOffset>9979025</wp:posOffset>
                </wp:positionV>
                <wp:extent cx="5813425" cy="0"/>
                <wp:effectExtent l="0" t="0" r="0" b="0"/>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3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1552" from="69.35pt,785.75pt" to="527.1pt,785.75pt" strokeweight="1.7pt"/>
            </w:pict>
          </mc:Fallback>
        </mc:AlternateContent>
      </w:r>
      <w:r>
        <w:rPr>
          <w:rFonts w:ascii="Arial" w:eastAsia="Arial" w:hAnsi="Arial"/>
          <w:color w:val="FFFFFF"/>
          <w:sz w:val="20"/>
        </w:rPr>
        <w:t>3</w:t>
      </w:r>
    </w:p>
    <w:p w14:paraId="25B4ED16" w14:textId="77777777" w:rsidR="00B7395F" w:rsidRDefault="00B7395F">
      <w:pPr>
        <w:sectPr w:rsidR="00B7395F">
          <w:type w:val="continuous"/>
          <w:pgSz w:w="11909" w:h="16838"/>
          <w:pgMar w:top="1400" w:right="635" w:bottom="232" w:left="10534" w:header="720" w:footer="720" w:gutter="0"/>
          <w:cols w:space="720"/>
        </w:sectPr>
      </w:pPr>
    </w:p>
    <w:p w14:paraId="3460B6A9" w14:textId="77777777" w:rsidR="008F4B81" w:rsidRPr="00D827CE" w:rsidRDefault="008F4B81" w:rsidP="008F4B81">
      <w:pPr>
        <w:suppressAutoHyphens/>
        <w:spacing w:before="60"/>
        <w:rPr>
          <w:rFonts w:ascii="Arial" w:eastAsiaTheme="minorEastAsia" w:hAnsi="Arial" w:cs="Roc Grotesk Medium"/>
          <w:b/>
          <w:color w:val="47555E"/>
          <w:sz w:val="36"/>
          <w:szCs w:val="26"/>
          <w:lang w:eastAsia="en-GB"/>
        </w:rPr>
      </w:pPr>
      <w:r w:rsidRPr="00D827CE">
        <w:rPr>
          <w:rFonts w:ascii="Arial" w:eastAsiaTheme="minorEastAsia" w:hAnsi="Arial" w:cs="Roc Grotesk Medium"/>
          <w:b/>
          <w:color w:val="47555E"/>
          <w:sz w:val="36"/>
          <w:szCs w:val="26"/>
          <w:lang w:eastAsia="en-GB"/>
        </w:rPr>
        <w:lastRenderedPageBreak/>
        <w:t xml:space="preserve">Recommendation 3 – Implement alternative audit strategies to combat limitations to onsite audits due to weather </w:t>
      </w:r>
      <w:proofErr w:type="gramStart"/>
      <w:r w:rsidRPr="00D827CE">
        <w:rPr>
          <w:rFonts w:ascii="Arial" w:eastAsiaTheme="minorEastAsia" w:hAnsi="Arial" w:cs="Roc Grotesk Medium"/>
          <w:b/>
          <w:color w:val="47555E"/>
          <w:sz w:val="36"/>
          <w:szCs w:val="26"/>
          <w:lang w:eastAsia="en-GB"/>
        </w:rPr>
        <w:t>conditions</w:t>
      </w:r>
      <w:proofErr w:type="gramEnd"/>
    </w:p>
    <w:p w14:paraId="7D4C4A55" w14:textId="77777777" w:rsidR="008F4B81" w:rsidRPr="00D827CE" w:rsidRDefault="008F4B81" w:rsidP="008F4B81">
      <w:pPr>
        <w:suppressAutoHyphens/>
        <w:spacing w:before="60" w:after="60" w:line="280" w:lineRule="atLeast"/>
        <w:rPr>
          <w:rFonts w:ascii="Arial" w:eastAsiaTheme="minorEastAsia" w:hAnsi="Arial" w:cstheme="minorBidi"/>
          <w:sz w:val="20"/>
          <w:szCs w:val="24"/>
          <w:lang w:val="en-AU" w:eastAsia="ja-JP"/>
        </w:rPr>
      </w:pPr>
      <w:r w:rsidRPr="00D827CE">
        <w:rPr>
          <w:rFonts w:ascii="Arial" w:eastAsiaTheme="minorEastAsia" w:hAnsi="Arial" w:cstheme="minorBidi"/>
          <w:sz w:val="20"/>
          <w:szCs w:val="24"/>
          <w:lang w:val="en-AU" w:eastAsia="ja-JP"/>
        </w:rPr>
        <w:t>DRDMW should:</w:t>
      </w:r>
    </w:p>
    <w:p w14:paraId="72CC9005" w14:textId="77777777" w:rsidR="008F4B81" w:rsidRPr="00D827CE" w:rsidRDefault="008F4B81" w:rsidP="008F4B81">
      <w:pPr>
        <w:pStyle w:val="Ariallistletters"/>
        <w:numPr>
          <w:ilvl w:val="0"/>
          <w:numId w:val="16"/>
        </w:numPr>
      </w:pPr>
      <w:r w:rsidRPr="00D827CE">
        <w:t xml:space="preserve">ensure post-flow audits occur with minimal </w:t>
      </w:r>
      <w:proofErr w:type="gramStart"/>
      <w:r w:rsidRPr="00D827CE">
        <w:t>delay</w:t>
      </w:r>
      <w:proofErr w:type="gramEnd"/>
      <w:r w:rsidRPr="00D827CE">
        <w:t xml:space="preserve"> </w:t>
      </w:r>
    </w:p>
    <w:p w14:paraId="2CBDF472" w14:textId="77777777" w:rsidR="008F4B81" w:rsidRPr="00D827CE" w:rsidRDefault="008F4B81" w:rsidP="008F4B81">
      <w:pPr>
        <w:pStyle w:val="Ariallistletters"/>
      </w:pPr>
      <w:r w:rsidRPr="00D827CE">
        <w:t xml:space="preserve">investigate alternate types of evidence (to on-site meter reads) to verify take immediately post event and develop a methodology. </w:t>
      </w:r>
    </w:p>
    <w:p w14:paraId="1739BED0" w14:textId="1D59ED82" w:rsidR="008F4B81" w:rsidRDefault="008F4B81" w:rsidP="008F4B81">
      <w:pPr>
        <w:suppressAutoHyphens/>
        <w:spacing w:before="60" w:after="60" w:line="280" w:lineRule="atLeast"/>
        <w:rPr>
          <w:rFonts w:ascii="Arial" w:eastAsiaTheme="minorHAnsi" w:hAnsi="Arial" w:cstheme="minorBidi"/>
          <w:sz w:val="20"/>
          <w:szCs w:val="24"/>
          <w:lang w:val="en-AU" w:eastAsia="ja-JP"/>
        </w:rPr>
      </w:pPr>
      <w:r w:rsidRPr="00D827CE">
        <w:rPr>
          <w:rFonts w:ascii="Arial" w:eastAsiaTheme="minorHAnsi" w:hAnsi="Arial" w:cstheme="minorBidi"/>
          <w:sz w:val="20"/>
          <w:szCs w:val="24"/>
          <w:lang w:val="en-AU" w:eastAsia="ja-JP"/>
        </w:rPr>
        <w:t>Where on-site audits are not feasible or are delayed, remote monitoring approaches should be taken to ensure there is timely oversight during and following flow events. Monitoring and audit of measurement data is most critical immediately post event and when remote sensing would be of most value to verify the actual volume taken by licence holders during the event is compliant with the licence held.</w:t>
      </w:r>
    </w:p>
    <w:p w14:paraId="2C9CFA30" w14:textId="4C4D63E8" w:rsidR="008F4B81" w:rsidRDefault="008F4B81" w:rsidP="008F4B81">
      <w:pPr>
        <w:suppressAutoHyphens/>
        <w:spacing w:before="60" w:after="60" w:line="280" w:lineRule="atLeast"/>
        <w:rPr>
          <w:rFonts w:ascii="Arial" w:eastAsia="Arial" w:hAnsi="Arial"/>
          <w:b/>
          <w:color w:val="000000"/>
        </w:rPr>
      </w:pPr>
      <w:r w:rsidRPr="00D827CE">
        <w:rPr>
          <w:rFonts w:ascii="Arial" w:eastAsiaTheme="minorHAnsi" w:hAnsi="Arial" w:cstheme="minorBidi"/>
          <w:sz w:val="20"/>
          <w:szCs w:val="24"/>
          <w:lang w:val="en-AU" w:eastAsia="ja-JP"/>
        </w:rPr>
        <w:t>Alternative audit strategies to investigate should include</w:t>
      </w:r>
      <w:r>
        <w:rPr>
          <w:rFonts w:ascii="Arial" w:eastAsiaTheme="minorHAnsi" w:hAnsi="Arial" w:cstheme="minorBidi"/>
          <w:sz w:val="20"/>
          <w:szCs w:val="24"/>
          <w:lang w:val="en-AU" w:eastAsia="ja-JP"/>
        </w:rPr>
        <w:t xml:space="preserve"> c</w:t>
      </w:r>
      <w:r w:rsidRPr="00D827CE">
        <w:rPr>
          <w:rFonts w:ascii="Arial" w:eastAsiaTheme="minorHAnsi" w:hAnsi="Arial" w:cstheme="minorBidi"/>
          <w:sz w:val="20"/>
          <w:szCs w:val="24"/>
          <w:lang w:val="en-AU" w:eastAsia="ja-JP"/>
        </w:rPr>
        <w:t>loud-penetrating remote sensing, satellite imagery, aerial imagery for pre- and immediately post-event (whether by plane, drones, or helicopter flyovers).</w:t>
      </w:r>
    </w:p>
    <w:p w14:paraId="36DD199D" w14:textId="77777777" w:rsidR="00FC34AA" w:rsidRDefault="00FC34AA">
      <w:pPr>
        <w:spacing w:line="391" w:lineRule="exact"/>
        <w:ind w:right="4320"/>
        <w:jc w:val="both"/>
        <w:textAlignment w:val="baseline"/>
        <w:rPr>
          <w:rFonts w:ascii="Arial" w:eastAsia="Arial" w:hAnsi="Arial"/>
          <w:b/>
          <w:color w:val="000000"/>
        </w:rPr>
      </w:pPr>
    </w:p>
    <w:p w14:paraId="02FFBD5F" w14:textId="399F7F22" w:rsidR="00B7395F" w:rsidRDefault="00FC34AA">
      <w:pPr>
        <w:spacing w:line="391" w:lineRule="exact"/>
        <w:ind w:right="4320"/>
        <w:jc w:val="both"/>
        <w:textAlignment w:val="baseline"/>
        <w:rPr>
          <w:rFonts w:ascii="Arial" w:eastAsia="Arial" w:hAnsi="Arial"/>
          <w:b/>
          <w:color w:val="000000"/>
        </w:rPr>
      </w:pPr>
      <w:r>
        <w:rPr>
          <w:rFonts w:ascii="Arial" w:eastAsia="Arial" w:hAnsi="Arial"/>
          <w:b/>
          <w:color w:val="000000"/>
        </w:rPr>
        <w:t xml:space="preserve">Management Response to Recommendation 3 </w:t>
      </w:r>
      <w:r>
        <w:rPr>
          <w:rFonts w:ascii="Arial" w:eastAsia="Arial" w:hAnsi="Arial"/>
          <w:b/>
          <w:color w:val="000000"/>
          <w:sz w:val="20"/>
        </w:rPr>
        <w:t>The recommendation is accepted.</w:t>
      </w:r>
    </w:p>
    <w:p w14:paraId="281095B1" w14:textId="77777777" w:rsidR="00B7395F" w:rsidRDefault="00FC34AA">
      <w:pPr>
        <w:spacing w:before="298" w:line="229" w:lineRule="exact"/>
        <w:jc w:val="both"/>
        <w:textAlignment w:val="baseline"/>
        <w:rPr>
          <w:rFonts w:ascii="Arial" w:eastAsia="Arial" w:hAnsi="Arial"/>
          <w:color w:val="000000"/>
          <w:sz w:val="20"/>
        </w:rPr>
      </w:pPr>
      <w:r>
        <w:rPr>
          <w:rFonts w:ascii="Arial" w:eastAsia="Arial" w:hAnsi="Arial"/>
          <w:color w:val="000000"/>
          <w:sz w:val="20"/>
        </w:rPr>
        <w:t>Alternative strategies are being investigated as part of:</w:t>
      </w:r>
    </w:p>
    <w:p w14:paraId="1F4B7947" w14:textId="77777777" w:rsidR="00B7395F" w:rsidRDefault="00FC34AA">
      <w:pPr>
        <w:numPr>
          <w:ilvl w:val="0"/>
          <w:numId w:val="2"/>
        </w:numPr>
        <w:tabs>
          <w:tab w:val="clear" w:pos="360"/>
          <w:tab w:val="left" w:pos="720"/>
        </w:tabs>
        <w:spacing w:before="34" w:line="249" w:lineRule="exact"/>
        <w:ind w:left="720" w:hanging="360"/>
        <w:textAlignment w:val="baseline"/>
        <w:rPr>
          <w:rFonts w:ascii="Arial" w:eastAsia="Arial" w:hAnsi="Arial"/>
          <w:color w:val="000000"/>
          <w:sz w:val="20"/>
        </w:rPr>
      </w:pPr>
      <w:r>
        <w:rPr>
          <w:rFonts w:ascii="Arial" w:eastAsia="Arial" w:hAnsi="Arial"/>
          <w:color w:val="000000"/>
          <w:sz w:val="20"/>
        </w:rPr>
        <w:t>the RWFP as described in the response to Recommendation 2.</w:t>
      </w:r>
    </w:p>
    <w:p w14:paraId="2D785855" w14:textId="77777777" w:rsidR="00B7395F" w:rsidRDefault="00FC34AA">
      <w:pPr>
        <w:numPr>
          <w:ilvl w:val="0"/>
          <w:numId w:val="2"/>
        </w:numPr>
        <w:tabs>
          <w:tab w:val="clear" w:pos="360"/>
          <w:tab w:val="left" w:pos="720"/>
        </w:tabs>
        <w:spacing w:before="24" w:line="249" w:lineRule="exact"/>
        <w:ind w:left="720" w:hanging="360"/>
        <w:textAlignment w:val="baseline"/>
        <w:rPr>
          <w:rFonts w:ascii="Arial" w:eastAsia="Arial" w:hAnsi="Arial"/>
          <w:color w:val="000000"/>
          <w:sz w:val="20"/>
        </w:rPr>
      </w:pPr>
      <w:r>
        <w:rPr>
          <w:rFonts w:ascii="Arial" w:eastAsia="Arial" w:hAnsi="Arial"/>
          <w:color w:val="000000"/>
          <w:sz w:val="20"/>
        </w:rPr>
        <w:t>the Commonwealth funded Hydrometric Network and Remote Sensing Program, and</w:t>
      </w:r>
    </w:p>
    <w:p w14:paraId="7CE18FEA" w14:textId="77777777" w:rsidR="00B7395F" w:rsidRDefault="00FC34AA">
      <w:pPr>
        <w:numPr>
          <w:ilvl w:val="0"/>
          <w:numId w:val="2"/>
        </w:numPr>
        <w:tabs>
          <w:tab w:val="clear" w:pos="360"/>
          <w:tab w:val="left" w:pos="720"/>
        </w:tabs>
        <w:spacing w:before="15" w:line="264" w:lineRule="exact"/>
        <w:ind w:left="720" w:hanging="360"/>
        <w:jc w:val="both"/>
        <w:textAlignment w:val="baseline"/>
        <w:rPr>
          <w:rFonts w:ascii="Arial" w:eastAsia="Arial" w:hAnsi="Arial"/>
          <w:color w:val="000000"/>
          <w:sz w:val="20"/>
        </w:rPr>
      </w:pPr>
      <w:r>
        <w:rPr>
          <w:rFonts w:ascii="Arial" w:eastAsia="Arial" w:hAnsi="Arial"/>
          <w:color w:val="000000"/>
          <w:sz w:val="20"/>
        </w:rPr>
        <w:t xml:space="preserve">collaboration across New South Wales, Bureau of Meteorology, Geosciences </w:t>
      </w:r>
      <w:proofErr w:type="gramStart"/>
      <w:r>
        <w:rPr>
          <w:rFonts w:ascii="Arial" w:eastAsia="Arial" w:hAnsi="Arial"/>
          <w:color w:val="000000"/>
          <w:sz w:val="20"/>
        </w:rPr>
        <w:t>Australia</w:t>
      </w:r>
      <w:proofErr w:type="gramEnd"/>
      <w:r>
        <w:rPr>
          <w:rFonts w:ascii="Arial" w:eastAsia="Arial" w:hAnsi="Arial"/>
          <w:color w:val="000000"/>
          <w:sz w:val="20"/>
        </w:rPr>
        <w:t xml:space="preserve"> and the Murray Darling Basin Authority.</w:t>
      </w:r>
    </w:p>
    <w:p w14:paraId="745AF872" w14:textId="77777777" w:rsidR="00B7395F" w:rsidRDefault="00FC34AA">
      <w:pPr>
        <w:spacing w:before="198" w:after="6215" w:line="229" w:lineRule="exact"/>
        <w:textAlignment w:val="baseline"/>
        <w:rPr>
          <w:rFonts w:ascii="Arial" w:eastAsia="Arial" w:hAnsi="Arial"/>
          <w:color w:val="000000"/>
          <w:spacing w:val="-1"/>
          <w:sz w:val="20"/>
        </w:rPr>
      </w:pPr>
      <w:r>
        <w:rPr>
          <w:rFonts w:ascii="Arial" w:eastAsia="Arial" w:hAnsi="Arial"/>
          <w:color w:val="000000"/>
          <w:spacing w:val="-1"/>
          <w:sz w:val="20"/>
        </w:rPr>
        <w:t>The alternative strategies are focused on methods that are cost effective and repeatable at short notice.</w:t>
      </w:r>
    </w:p>
    <w:p w14:paraId="60FA11BE" w14:textId="77777777" w:rsidR="00B7395F" w:rsidRDefault="00B7395F">
      <w:pPr>
        <w:spacing w:before="198" w:after="6215" w:line="229" w:lineRule="exact"/>
        <w:sectPr w:rsidR="00B7395F">
          <w:pgSz w:w="11909" w:h="16838"/>
          <w:pgMar w:top="1400" w:right="1351" w:bottom="232" w:left="1338" w:header="720" w:footer="720" w:gutter="0"/>
          <w:cols w:space="720"/>
        </w:sectPr>
      </w:pPr>
    </w:p>
    <w:p w14:paraId="74878840" w14:textId="77777777" w:rsidR="00B7395F" w:rsidRDefault="00FC34AA">
      <w:pPr>
        <w:pBdr>
          <w:top w:val="single" w:sz="13" w:space="7" w:color="000000"/>
        </w:pBdr>
        <w:shd w:val="solid" w:color="000000" w:fill="000000"/>
        <w:spacing w:line="229" w:lineRule="exact"/>
        <w:ind w:left="360"/>
        <w:textAlignment w:val="baseline"/>
        <w:rPr>
          <w:rFonts w:ascii="Arial" w:eastAsia="Arial" w:hAnsi="Arial"/>
          <w:color w:val="FFFFFF"/>
          <w:sz w:val="20"/>
        </w:rPr>
      </w:pPr>
      <w:r>
        <w:rPr>
          <w:noProof/>
        </w:rPr>
        <mc:AlternateContent>
          <mc:Choice Requires="wps">
            <w:drawing>
              <wp:anchor distT="0" distB="0" distL="114300" distR="114300" simplePos="0" relativeHeight="251672576" behindDoc="0" locked="0" layoutInCell="1" allowOverlap="1" wp14:anchorId="43354FF9" wp14:editId="6F49CE15">
                <wp:simplePos x="0" y="0"/>
                <wp:positionH relativeFrom="page">
                  <wp:posOffset>880745</wp:posOffset>
                </wp:positionH>
                <wp:positionV relativeFrom="page">
                  <wp:posOffset>9979025</wp:posOffset>
                </wp:positionV>
                <wp:extent cx="5813425" cy="0"/>
                <wp:effectExtent l="0" t="0" r="0" b="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3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3600" from="69.35pt,785.75pt" to="527.1pt,785.75pt" strokeweight="1.7pt"/>
            </w:pict>
          </mc:Fallback>
        </mc:AlternateContent>
      </w:r>
      <w:r>
        <w:rPr>
          <w:rFonts w:ascii="Arial" w:eastAsia="Arial" w:hAnsi="Arial"/>
          <w:color w:val="FFFFFF"/>
          <w:sz w:val="20"/>
        </w:rPr>
        <w:t>4</w:t>
      </w:r>
    </w:p>
    <w:p w14:paraId="0E83047A" w14:textId="77777777" w:rsidR="00B7395F" w:rsidRDefault="00B7395F">
      <w:pPr>
        <w:sectPr w:rsidR="00B7395F">
          <w:type w:val="continuous"/>
          <w:pgSz w:w="11909" w:h="16838"/>
          <w:pgMar w:top="1400" w:right="635" w:bottom="232" w:left="10534" w:header="720" w:footer="720" w:gutter="0"/>
          <w:cols w:space="720"/>
        </w:sectPr>
      </w:pPr>
    </w:p>
    <w:p w14:paraId="23A736DD" w14:textId="38FCE7ED" w:rsidR="008F4B81" w:rsidRPr="00FA5985" w:rsidRDefault="008F4B81" w:rsidP="008F4B81">
      <w:pPr>
        <w:suppressAutoHyphens/>
        <w:spacing w:before="60"/>
        <w:rPr>
          <w:rFonts w:ascii="Arial" w:eastAsiaTheme="minorEastAsia" w:hAnsi="Arial" w:cs="Roc Grotesk Medium"/>
          <w:b/>
          <w:color w:val="47555E"/>
          <w:sz w:val="36"/>
          <w:szCs w:val="26"/>
          <w:lang w:eastAsia="en-GB"/>
        </w:rPr>
      </w:pPr>
      <w:r w:rsidRPr="00FA5985">
        <w:rPr>
          <w:rFonts w:ascii="Arial" w:eastAsiaTheme="minorEastAsia" w:hAnsi="Arial" w:cs="Roc Grotesk Medium"/>
          <w:b/>
          <w:color w:val="47555E"/>
          <w:sz w:val="36"/>
          <w:szCs w:val="26"/>
          <w:lang w:eastAsia="en-GB"/>
        </w:rPr>
        <w:t xml:space="preserve">Recommendation 4 – Ensure that the requirement to report measured take within a specified period is consistent and enforceable </w:t>
      </w:r>
    </w:p>
    <w:p w14:paraId="60F070E2" w14:textId="77777777" w:rsidR="008F4B81" w:rsidRPr="00FA5985" w:rsidRDefault="008F4B81" w:rsidP="008F4B81">
      <w:pPr>
        <w:suppressAutoHyphens/>
        <w:spacing w:before="60" w:after="60" w:line="280" w:lineRule="atLeast"/>
        <w:rPr>
          <w:rFonts w:ascii="Arial" w:eastAsiaTheme="minorHAnsi" w:hAnsi="Arial" w:cstheme="minorBidi"/>
          <w:sz w:val="20"/>
          <w:szCs w:val="24"/>
          <w:lang w:val="en-AU" w:eastAsia="ja-JP"/>
        </w:rPr>
      </w:pPr>
      <w:r w:rsidRPr="00FA5985">
        <w:rPr>
          <w:rFonts w:ascii="Arial" w:eastAsiaTheme="minorHAnsi" w:hAnsi="Arial" w:cstheme="minorBidi"/>
          <w:sz w:val="20"/>
          <w:szCs w:val="24"/>
          <w:lang w:val="en-AU" w:eastAsia="ja-JP"/>
        </w:rPr>
        <w:t xml:space="preserve">DRDMW should: </w:t>
      </w:r>
    </w:p>
    <w:p w14:paraId="03277B93" w14:textId="437996A2" w:rsidR="008F4B81" w:rsidRDefault="008F4B81" w:rsidP="00FC34AA">
      <w:pPr>
        <w:pStyle w:val="Ariallistletters"/>
        <w:numPr>
          <w:ilvl w:val="0"/>
          <w:numId w:val="18"/>
        </w:numPr>
      </w:pPr>
      <w:r w:rsidRPr="00120ACB">
        <w:t>reconcile the current approach in the Management Protocol, which requires reporting 5 business days at the end of an announced period, with Division 4 of the Water Regulation 2016 which suggests from compliance perspective the threshold is 30 days from receiving a notice from the chief executive.</w:t>
      </w:r>
    </w:p>
    <w:p w14:paraId="1CBC7857" w14:textId="77777777" w:rsidR="008F4B81" w:rsidRPr="00FA5985" w:rsidRDefault="008F4B81" w:rsidP="00FC34AA">
      <w:pPr>
        <w:pStyle w:val="Ariallistletters"/>
        <w:numPr>
          <w:ilvl w:val="0"/>
          <w:numId w:val="18"/>
        </w:numPr>
      </w:pPr>
      <w:r w:rsidRPr="00FA5985">
        <w:t xml:space="preserve">revise the approach to include a time threshold, beyond which a notice requiring a meter reading within 30 days is sent. This would address the risk of extended delays in receiving data that may prevent DRDMW from checking compliance with conditions and publishing flow event reports. This would also enable a compliance response to be taken if appropriate. </w:t>
      </w:r>
    </w:p>
    <w:p w14:paraId="76D92F10" w14:textId="77777777" w:rsidR="008F4B81" w:rsidRDefault="008F4B81">
      <w:pPr>
        <w:spacing w:line="408" w:lineRule="exact"/>
        <w:textAlignment w:val="baseline"/>
        <w:rPr>
          <w:rFonts w:ascii="Arial" w:eastAsia="Arial" w:hAnsi="Arial"/>
          <w:b/>
          <w:color w:val="000000"/>
        </w:rPr>
      </w:pPr>
    </w:p>
    <w:p w14:paraId="560134B8" w14:textId="05610A6A" w:rsidR="00B7395F" w:rsidRDefault="00FC34AA">
      <w:pPr>
        <w:spacing w:line="408" w:lineRule="exact"/>
        <w:textAlignment w:val="baseline"/>
        <w:rPr>
          <w:rFonts w:ascii="Arial" w:eastAsia="Arial" w:hAnsi="Arial"/>
          <w:b/>
          <w:color w:val="000000"/>
        </w:rPr>
      </w:pPr>
      <w:r>
        <w:rPr>
          <w:rFonts w:ascii="Arial" w:eastAsia="Arial" w:hAnsi="Arial"/>
          <w:b/>
          <w:color w:val="000000"/>
        </w:rPr>
        <w:t xml:space="preserve">Management Response to Recommendation 4 </w:t>
      </w:r>
      <w:r>
        <w:rPr>
          <w:rFonts w:ascii="Arial" w:eastAsia="Arial" w:hAnsi="Arial"/>
          <w:b/>
          <w:color w:val="000000"/>
        </w:rPr>
        <w:br/>
      </w:r>
      <w:r>
        <w:rPr>
          <w:rFonts w:ascii="Arial" w:eastAsia="Arial" w:hAnsi="Arial"/>
          <w:b/>
          <w:color w:val="000000"/>
          <w:sz w:val="20"/>
        </w:rPr>
        <w:t>The recommendation is accepted.</w:t>
      </w:r>
    </w:p>
    <w:p w14:paraId="07504FB6" w14:textId="77777777" w:rsidR="00B7395F" w:rsidRDefault="00FC34AA">
      <w:pPr>
        <w:spacing w:before="264" w:line="264" w:lineRule="exact"/>
        <w:jc w:val="both"/>
        <w:textAlignment w:val="baseline"/>
        <w:rPr>
          <w:rFonts w:ascii="Arial" w:eastAsia="Arial" w:hAnsi="Arial"/>
          <w:color w:val="000000"/>
          <w:sz w:val="20"/>
        </w:rPr>
      </w:pPr>
      <w:r>
        <w:rPr>
          <w:rFonts w:ascii="Arial" w:eastAsia="Arial" w:hAnsi="Arial"/>
          <w:color w:val="000000"/>
          <w:sz w:val="20"/>
        </w:rPr>
        <w:t>The technical standard for on-farm water level stations (which commenced in 2021) already sets the requirement for collection, data security and logging time requirements. Under the standard, collection and recording of water level data is a continuous requirement at hourly intervals. Data collection in relation to overland flow entitlements will be consistent with this standard once the current process to revalidate all water level stations in the Lower Balonne area is complete.</w:t>
      </w:r>
    </w:p>
    <w:p w14:paraId="2F0EBCEE" w14:textId="77777777" w:rsidR="00B7395F" w:rsidRDefault="00FC34AA">
      <w:pPr>
        <w:spacing w:before="269" w:line="264" w:lineRule="exact"/>
        <w:jc w:val="both"/>
        <w:textAlignment w:val="baseline"/>
        <w:rPr>
          <w:rFonts w:ascii="Arial" w:eastAsia="Arial" w:hAnsi="Arial"/>
          <w:color w:val="000000"/>
          <w:sz w:val="20"/>
        </w:rPr>
      </w:pPr>
      <w:r>
        <w:rPr>
          <w:rFonts w:ascii="Arial" w:eastAsia="Arial" w:hAnsi="Arial"/>
          <w:color w:val="000000"/>
          <w:sz w:val="20"/>
        </w:rPr>
        <w:t>As described in the RWFP, the current approach (5 business days mentioned in the Management Protocol) will be replaced with a requirement to transfer data in accordance with new measurement requirements as the second phase of the overland flow measurement framework (measurement plans) is implemented. This will ensure that information about water taken is transferred to DRDMW in accordance with its compliance needs.</w:t>
      </w:r>
    </w:p>
    <w:p w14:paraId="6372B8B2" w14:textId="5AD3ADE8" w:rsidR="00B7395F" w:rsidRPr="00FC34AA" w:rsidRDefault="00FC34AA">
      <w:pPr>
        <w:spacing w:before="264" w:after="5628" w:line="264" w:lineRule="exact"/>
        <w:jc w:val="both"/>
        <w:textAlignment w:val="baseline"/>
        <w:rPr>
          <w:rFonts w:ascii="Arial" w:eastAsia="Arial" w:hAnsi="Arial"/>
          <w:color w:val="000000"/>
          <w:sz w:val="20"/>
        </w:rPr>
      </w:pPr>
      <w:r>
        <w:rPr>
          <w:rFonts w:ascii="Arial" w:eastAsia="Arial" w:hAnsi="Arial"/>
          <w:color w:val="000000"/>
          <w:sz w:val="20"/>
        </w:rPr>
        <w:t>Changes to the Water Act 2000 which provides the foundation for the future approach</w:t>
      </w:r>
      <w:r w:rsidRPr="00FC34AA">
        <w:rPr>
          <w:rFonts w:ascii="Arial" w:eastAsia="Arial" w:hAnsi="Arial"/>
          <w:color w:val="000000"/>
          <w:sz w:val="20"/>
        </w:rPr>
        <w:t xml:space="preserve"> </w:t>
      </w:r>
      <w:hyperlink r:id="rId14" w:history="1">
        <w:r w:rsidRPr="00FC34AA">
          <w:rPr>
            <w:rStyle w:val="Hyperlink"/>
            <w:rFonts w:ascii="Arial" w:eastAsia="Arial" w:hAnsi="Arial"/>
            <w:sz w:val="20"/>
          </w:rPr>
          <w:t>are currently being progressed</w:t>
        </w:r>
      </w:hyperlink>
      <w:r w:rsidRPr="00FC34AA">
        <w:rPr>
          <w:rFonts w:ascii="Arial" w:eastAsia="Arial" w:hAnsi="Arial"/>
          <w:color w:val="000000"/>
          <w:sz w:val="20"/>
        </w:rPr>
        <w:t xml:space="preserve">. </w:t>
      </w:r>
    </w:p>
    <w:p w14:paraId="79769BAD" w14:textId="1E8D6D3A" w:rsidR="00FC34AA" w:rsidRPr="008F3ED0" w:rsidRDefault="00FC34AA" w:rsidP="00FC34AA">
      <w:pPr>
        <w:spacing w:line="391" w:lineRule="exact"/>
        <w:textAlignment w:val="baseline"/>
        <w:rPr>
          <w:rFonts w:ascii="Arial" w:eastAsiaTheme="minorEastAsia" w:hAnsi="Arial" w:cs="Roc Grotesk Medium"/>
          <w:b/>
          <w:color w:val="47555E"/>
          <w:sz w:val="36"/>
          <w:szCs w:val="26"/>
          <w:lang w:eastAsia="en-GB"/>
        </w:rPr>
      </w:pPr>
      <w:r>
        <w:br w:type="column"/>
      </w:r>
      <w:r w:rsidRPr="008F3ED0">
        <w:rPr>
          <w:rFonts w:ascii="Arial" w:eastAsiaTheme="minorEastAsia" w:hAnsi="Arial" w:cs="Roc Grotesk Medium"/>
          <w:b/>
          <w:color w:val="47555E"/>
          <w:sz w:val="36"/>
          <w:szCs w:val="26"/>
          <w:lang w:eastAsia="en-GB"/>
        </w:rPr>
        <w:t xml:space="preserve">Recommendation 5 – Verify self-reported measured </w:t>
      </w:r>
      <w:proofErr w:type="gramStart"/>
      <w:r w:rsidRPr="008F3ED0">
        <w:rPr>
          <w:rFonts w:ascii="Arial" w:eastAsiaTheme="minorEastAsia" w:hAnsi="Arial" w:cs="Roc Grotesk Medium"/>
          <w:b/>
          <w:color w:val="47555E"/>
          <w:sz w:val="36"/>
          <w:szCs w:val="26"/>
          <w:lang w:eastAsia="en-GB"/>
        </w:rPr>
        <w:t>take</w:t>
      </w:r>
      <w:proofErr w:type="gramEnd"/>
    </w:p>
    <w:p w14:paraId="563F3E39" w14:textId="77777777" w:rsidR="00FC34AA" w:rsidRPr="008F3ED0" w:rsidRDefault="00FC34AA" w:rsidP="00FC34AA">
      <w:pPr>
        <w:suppressAutoHyphens/>
        <w:spacing w:before="60" w:after="60" w:line="280" w:lineRule="atLeast"/>
        <w:rPr>
          <w:rFonts w:ascii="Arial" w:eastAsiaTheme="minorHAnsi" w:hAnsi="Arial" w:cstheme="minorBidi"/>
          <w:sz w:val="20"/>
          <w:szCs w:val="24"/>
          <w:lang w:val="en-AU" w:eastAsia="ja-JP"/>
        </w:rPr>
      </w:pPr>
      <w:r w:rsidRPr="008F3ED0">
        <w:rPr>
          <w:rFonts w:ascii="Arial" w:eastAsiaTheme="minorHAnsi" w:hAnsi="Arial" w:cstheme="minorBidi"/>
          <w:sz w:val="20"/>
          <w:szCs w:val="24"/>
          <w:lang w:val="en-AU" w:eastAsia="ja-JP"/>
        </w:rPr>
        <w:t xml:space="preserve">DRDMW should: </w:t>
      </w:r>
    </w:p>
    <w:p w14:paraId="5342ECA5" w14:textId="1EB3CCE1" w:rsidR="00FC34AA" w:rsidRPr="008F3ED0" w:rsidRDefault="00FC34AA" w:rsidP="00FC34AA">
      <w:pPr>
        <w:pStyle w:val="Ariallistletters"/>
        <w:numPr>
          <w:ilvl w:val="0"/>
          <w:numId w:val="20"/>
        </w:numPr>
      </w:pPr>
      <w:r w:rsidRPr="008F3ED0">
        <w:t>verify licence holder reported take (links to Recommendation 1</w:t>
      </w:r>
      <w:r>
        <w:t>b</w:t>
      </w:r>
      <w:r w:rsidRPr="008F3ED0">
        <w:t>)</w:t>
      </w:r>
    </w:p>
    <w:p w14:paraId="497D4AE9" w14:textId="77777777" w:rsidR="00FC34AA" w:rsidRPr="008F3ED0" w:rsidRDefault="00FC34AA" w:rsidP="00FC34AA">
      <w:pPr>
        <w:pStyle w:val="Ariallistletters"/>
        <w:numPr>
          <w:ilvl w:val="0"/>
          <w:numId w:val="20"/>
        </w:numPr>
      </w:pPr>
      <w:r w:rsidRPr="008F3ED0">
        <w:t xml:space="preserve">develop a method to reduce the risk that meter read data is tampered with (meter read data is manually collected by licence holders and transferred to DRDMW) </w:t>
      </w:r>
    </w:p>
    <w:p w14:paraId="66AFA5BB" w14:textId="77777777" w:rsidR="00FC34AA" w:rsidRPr="008F3ED0" w:rsidRDefault="00FC34AA" w:rsidP="00FC34AA">
      <w:pPr>
        <w:suppressAutoHyphens/>
        <w:spacing w:before="60" w:after="60" w:line="280" w:lineRule="atLeast"/>
        <w:rPr>
          <w:rFonts w:ascii="Arial" w:eastAsiaTheme="minorHAnsi" w:hAnsi="Arial" w:cstheme="minorBidi"/>
          <w:sz w:val="20"/>
          <w:szCs w:val="24"/>
          <w:lang w:val="en-AU" w:eastAsia="ja-JP"/>
        </w:rPr>
      </w:pPr>
      <w:r w:rsidRPr="008F3ED0">
        <w:rPr>
          <w:rFonts w:ascii="Arial" w:eastAsiaTheme="minorHAnsi" w:hAnsi="Arial" w:cstheme="minorBidi"/>
          <w:sz w:val="20"/>
          <w:szCs w:val="24"/>
          <w:lang w:val="en-AU" w:eastAsia="ja-JP"/>
        </w:rPr>
        <w:t xml:space="preserve">Methods to investigate for recommendation 5b include a chain of custody method such as telemetry, or by requesting date-stamped photo evidence of the meter reads and storages in addition to supplying the meter read sheet. </w:t>
      </w:r>
    </w:p>
    <w:p w14:paraId="7B75F602" w14:textId="77777777" w:rsidR="00FC34AA" w:rsidRPr="008F3ED0" w:rsidRDefault="00FC34AA" w:rsidP="00FC34AA">
      <w:pPr>
        <w:suppressAutoHyphens/>
        <w:spacing w:before="60" w:after="60" w:line="280" w:lineRule="atLeast"/>
        <w:rPr>
          <w:rFonts w:ascii="Arial" w:eastAsiaTheme="minorHAnsi" w:hAnsi="Arial" w:cstheme="minorBidi"/>
          <w:sz w:val="20"/>
          <w:szCs w:val="24"/>
          <w:lang w:val="en-AU" w:eastAsia="ja-JP"/>
        </w:rPr>
      </w:pPr>
      <w:r w:rsidRPr="008F3ED0">
        <w:rPr>
          <w:rFonts w:ascii="Arial" w:eastAsiaTheme="minorHAnsi" w:hAnsi="Arial" w:cstheme="minorBidi"/>
          <w:sz w:val="20"/>
          <w:szCs w:val="24"/>
          <w:lang w:val="en-AU" w:eastAsia="ja-JP"/>
        </w:rPr>
        <w:t xml:space="preserve">This recommendation may align with initiatives to strengthen water measurement under the Queensland Rural Water Futures program. </w:t>
      </w:r>
    </w:p>
    <w:p w14:paraId="0C1A60E3" w14:textId="77777777" w:rsidR="00FC34AA" w:rsidRDefault="00FC34AA" w:rsidP="00957790">
      <w:pPr>
        <w:spacing w:line="391" w:lineRule="exact"/>
        <w:textAlignment w:val="baseline"/>
        <w:rPr>
          <w:rFonts w:ascii="Arial" w:eastAsia="Arial" w:hAnsi="Arial"/>
          <w:b/>
          <w:color w:val="000000"/>
        </w:rPr>
      </w:pPr>
    </w:p>
    <w:p w14:paraId="1EFD4C7C" w14:textId="0E91D80F" w:rsidR="00957790" w:rsidRDefault="00FC34AA" w:rsidP="00957790">
      <w:pPr>
        <w:spacing w:line="391" w:lineRule="exact"/>
        <w:textAlignment w:val="baseline"/>
        <w:rPr>
          <w:rFonts w:ascii="Arial" w:eastAsia="Arial" w:hAnsi="Arial"/>
          <w:b/>
          <w:color w:val="000000"/>
        </w:rPr>
      </w:pPr>
      <w:r>
        <w:rPr>
          <w:rFonts w:ascii="Arial" w:eastAsia="Arial" w:hAnsi="Arial"/>
          <w:b/>
          <w:color w:val="000000"/>
        </w:rPr>
        <w:t xml:space="preserve">Management Response to Recommendation 5 </w:t>
      </w:r>
      <w:r>
        <w:rPr>
          <w:rFonts w:ascii="Arial" w:eastAsia="Arial" w:hAnsi="Arial"/>
          <w:b/>
          <w:color w:val="000000"/>
        </w:rPr>
        <w:br/>
      </w:r>
      <w:r>
        <w:rPr>
          <w:rFonts w:ascii="Arial" w:eastAsia="Arial" w:hAnsi="Arial"/>
          <w:b/>
          <w:color w:val="000000"/>
          <w:sz w:val="20"/>
        </w:rPr>
        <w:t>The recommendation is accepted.</w:t>
      </w:r>
    </w:p>
    <w:p w14:paraId="766C0689" w14:textId="77777777" w:rsidR="00957790" w:rsidRDefault="00FC34AA" w:rsidP="00957790">
      <w:pPr>
        <w:spacing w:before="259" w:line="269" w:lineRule="exact"/>
        <w:textAlignment w:val="baseline"/>
        <w:rPr>
          <w:rFonts w:ascii="Arial" w:eastAsia="Arial" w:hAnsi="Arial"/>
          <w:color w:val="000000"/>
          <w:sz w:val="20"/>
        </w:rPr>
      </w:pPr>
      <w:r>
        <w:rPr>
          <w:rFonts w:ascii="Arial" w:eastAsia="Arial" w:hAnsi="Arial"/>
          <w:color w:val="000000"/>
          <w:sz w:val="20"/>
        </w:rPr>
        <w:t>Alternative strategies are being investigated as part of the RWFP as described in the response to Recommendation 2.</w:t>
      </w:r>
    </w:p>
    <w:p w14:paraId="2943BFA4" w14:textId="77777777" w:rsidR="00957790" w:rsidRDefault="00FC34AA" w:rsidP="00957790">
      <w:pPr>
        <w:spacing w:before="264" w:after="8182" w:line="264" w:lineRule="exact"/>
        <w:textAlignment w:val="baseline"/>
        <w:rPr>
          <w:rFonts w:ascii="Arial" w:eastAsia="Arial" w:hAnsi="Arial"/>
          <w:color w:val="000000"/>
          <w:sz w:val="20"/>
        </w:rPr>
      </w:pPr>
      <w:r>
        <w:rPr>
          <w:rFonts w:ascii="Arial" w:eastAsia="Arial" w:hAnsi="Arial"/>
          <w:color w:val="000000"/>
          <w:sz w:val="20"/>
        </w:rPr>
        <w:t>These strategies include investment in data analytics that compare volumes taken with previous patterns of water use.</w:t>
      </w:r>
    </w:p>
    <w:p w14:paraId="3119BF99" w14:textId="3903BFF2" w:rsidR="00FC34AA" w:rsidRPr="00706D6C" w:rsidRDefault="00FC34AA" w:rsidP="00FC34AA">
      <w:pPr>
        <w:spacing w:line="380" w:lineRule="exact"/>
        <w:textAlignment w:val="baseline"/>
        <w:rPr>
          <w:rFonts w:ascii="Arial" w:eastAsiaTheme="minorEastAsia" w:hAnsi="Arial" w:cstheme="minorBidi"/>
          <w:b/>
          <w:sz w:val="20"/>
          <w:szCs w:val="24"/>
          <w:lang w:eastAsia="en-GB"/>
        </w:rPr>
      </w:pPr>
      <w:r>
        <w:br w:type="column"/>
      </w:r>
      <w:r w:rsidRPr="00706D6C">
        <w:rPr>
          <w:rFonts w:ascii="Arial" w:eastAsiaTheme="minorEastAsia" w:hAnsi="Arial" w:cs="Roc Grotesk Medium"/>
          <w:b/>
          <w:color w:val="47555E"/>
          <w:sz w:val="36"/>
          <w:szCs w:val="26"/>
          <w:lang w:eastAsia="en-GB"/>
        </w:rPr>
        <w:t xml:space="preserve">Recommendation 6 – Provide entitlement holders with clear written instructions for notification of changes to </w:t>
      </w:r>
      <w:proofErr w:type="gramStart"/>
      <w:r w:rsidRPr="00706D6C">
        <w:rPr>
          <w:rFonts w:ascii="Arial" w:eastAsiaTheme="minorEastAsia" w:hAnsi="Arial" w:cs="Roc Grotesk Medium"/>
          <w:b/>
          <w:color w:val="47555E"/>
          <w:sz w:val="36"/>
          <w:szCs w:val="26"/>
          <w:lang w:eastAsia="en-GB"/>
        </w:rPr>
        <w:t>storages</w:t>
      </w:r>
      <w:proofErr w:type="gramEnd"/>
      <w:r w:rsidRPr="00706D6C">
        <w:rPr>
          <w:rFonts w:ascii="Arial" w:eastAsiaTheme="minorEastAsia" w:hAnsi="Arial" w:cs="Roc Grotesk Medium"/>
          <w:b/>
          <w:color w:val="47555E"/>
          <w:sz w:val="36"/>
          <w:szCs w:val="26"/>
          <w:lang w:eastAsia="en-GB"/>
        </w:rPr>
        <w:t xml:space="preserve"> </w:t>
      </w:r>
      <w:r w:rsidRPr="00706D6C">
        <w:rPr>
          <w:rFonts w:ascii="Arial" w:eastAsiaTheme="minorEastAsia" w:hAnsi="Arial" w:cstheme="minorBidi"/>
          <w:b/>
          <w:sz w:val="20"/>
          <w:szCs w:val="24"/>
          <w:lang w:eastAsia="en-GB"/>
        </w:rPr>
        <w:t xml:space="preserve"> </w:t>
      </w:r>
    </w:p>
    <w:p w14:paraId="43D80CD3" w14:textId="77777777" w:rsidR="00FC34AA" w:rsidRPr="00706D6C" w:rsidRDefault="00FC34AA" w:rsidP="00FC34AA">
      <w:pPr>
        <w:suppressAutoHyphens/>
        <w:spacing w:before="60" w:after="60" w:line="280" w:lineRule="atLeast"/>
        <w:rPr>
          <w:rFonts w:ascii="Arial" w:eastAsiaTheme="minorHAnsi" w:hAnsi="Arial" w:cstheme="minorBidi"/>
          <w:sz w:val="20"/>
          <w:szCs w:val="24"/>
          <w:lang w:val="en-AU" w:eastAsia="ja-JP"/>
        </w:rPr>
      </w:pPr>
      <w:r w:rsidRPr="00706D6C">
        <w:rPr>
          <w:rFonts w:ascii="Arial" w:eastAsiaTheme="minorHAnsi" w:hAnsi="Arial" w:cstheme="minorBidi"/>
          <w:sz w:val="20"/>
          <w:szCs w:val="24"/>
          <w:lang w:val="en-AU" w:eastAsia="ja-JP"/>
        </w:rPr>
        <w:t xml:space="preserve">DRDMW should: </w:t>
      </w:r>
    </w:p>
    <w:p w14:paraId="5270D5FD" w14:textId="77777777" w:rsidR="00FC34AA" w:rsidRPr="00706D6C" w:rsidRDefault="00FC34AA" w:rsidP="00FC34AA">
      <w:pPr>
        <w:pStyle w:val="Ariallistletters"/>
        <w:numPr>
          <w:ilvl w:val="0"/>
          <w:numId w:val="21"/>
        </w:numPr>
      </w:pPr>
      <w:r w:rsidRPr="00706D6C">
        <w:t>review the level of information provided to educate entitlement holders on compliance requirements; and</w:t>
      </w:r>
    </w:p>
    <w:p w14:paraId="4DCE34DC" w14:textId="77777777" w:rsidR="00FC34AA" w:rsidRPr="00706D6C" w:rsidRDefault="00FC34AA" w:rsidP="00FC34AA">
      <w:pPr>
        <w:pStyle w:val="Ariallistletters"/>
        <w:numPr>
          <w:ilvl w:val="0"/>
          <w:numId w:val="21"/>
        </w:numPr>
      </w:pPr>
      <w:r w:rsidRPr="00706D6C">
        <w:t>ensure entitlement holders are provided with clear written instructions on their requirement to notify on completion of a new water storage, or the alteration of an existing storage used to store water under the authority of a water allocation.</w:t>
      </w:r>
    </w:p>
    <w:p w14:paraId="7ACEAF9D" w14:textId="77777777" w:rsidR="00FC34AA" w:rsidRPr="00706D6C" w:rsidRDefault="00FC34AA" w:rsidP="00FC34AA">
      <w:pPr>
        <w:suppressAutoHyphens/>
        <w:spacing w:before="60" w:after="60" w:line="280" w:lineRule="atLeast"/>
        <w:rPr>
          <w:rFonts w:ascii="Arial" w:eastAsiaTheme="minorHAnsi" w:hAnsi="Arial" w:cstheme="minorBidi"/>
          <w:sz w:val="20"/>
          <w:szCs w:val="24"/>
          <w:lang w:val="en-AU" w:eastAsia="ja-JP"/>
        </w:rPr>
      </w:pPr>
      <w:r w:rsidRPr="00706D6C">
        <w:rPr>
          <w:rFonts w:ascii="Arial" w:eastAsiaTheme="minorHAnsi" w:hAnsi="Arial" w:cstheme="minorBidi"/>
          <w:sz w:val="20"/>
          <w:szCs w:val="24"/>
          <w:lang w:val="en-AU" w:eastAsia="ja-JP"/>
        </w:rPr>
        <w:t xml:space="preserve">The information </w:t>
      </w:r>
      <w:r w:rsidRPr="00706D6C">
        <w:rPr>
          <w:rFonts w:ascii="Arial" w:eastAsiaTheme="minorEastAsia" w:hAnsi="Arial" w:cstheme="minorBidi"/>
          <w:sz w:val="20"/>
          <w:szCs w:val="24"/>
          <w:lang w:val="en-AU" w:eastAsia="ja-JP"/>
        </w:rPr>
        <w:t>could</w:t>
      </w:r>
      <w:r w:rsidRPr="00706D6C">
        <w:rPr>
          <w:rFonts w:ascii="Arial" w:eastAsiaTheme="minorHAnsi" w:hAnsi="Arial" w:cstheme="minorBidi"/>
          <w:sz w:val="20"/>
          <w:szCs w:val="24"/>
          <w:lang w:val="en-AU" w:eastAsia="ja-JP"/>
        </w:rPr>
        <w:t xml:space="preserve"> be included in a variety of written communications, such as in a Water Licence, direct mailout and/or on the DRDMW website.</w:t>
      </w:r>
    </w:p>
    <w:p w14:paraId="77414EF1" w14:textId="77777777" w:rsidR="00FC34AA" w:rsidRDefault="00FC34AA" w:rsidP="00957790">
      <w:pPr>
        <w:spacing w:line="380" w:lineRule="exact"/>
        <w:textAlignment w:val="baseline"/>
        <w:rPr>
          <w:rFonts w:ascii="Arial" w:eastAsia="Arial" w:hAnsi="Arial"/>
          <w:b/>
          <w:color w:val="000000"/>
          <w:sz w:val="20"/>
        </w:rPr>
      </w:pPr>
    </w:p>
    <w:p w14:paraId="1FD5537F" w14:textId="6634161D" w:rsidR="00957790" w:rsidRDefault="00FC34AA" w:rsidP="00957790">
      <w:pPr>
        <w:spacing w:line="380" w:lineRule="exact"/>
        <w:textAlignment w:val="baseline"/>
        <w:rPr>
          <w:rFonts w:ascii="Arial" w:eastAsia="Arial" w:hAnsi="Arial"/>
          <w:b/>
          <w:color w:val="000000"/>
          <w:sz w:val="20"/>
        </w:rPr>
      </w:pPr>
      <w:r>
        <w:rPr>
          <w:rFonts w:ascii="Arial" w:eastAsia="Arial" w:hAnsi="Arial"/>
          <w:b/>
          <w:color w:val="000000"/>
          <w:sz w:val="20"/>
        </w:rPr>
        <w:t xml:space="preserve">Management Response to Recommendation 6 </w:t>
      </w:r>
      <w:r>
        <w:rPr>
          <w:rFonts w:ascii="Arial" w:eastAsia="Arial" w:hAnsi="Arial"/>
          <w:b/>
          <w:color w:val="000000"/>
          <w:sz w:val="20"/>
        </w:rPr>
        <w:br/>
        <w:t>The recommendation is accepted in part.</w:t>
      </w:r>
    </w:p>
    <w:p w14:paraId="55F0E2E9" w14:textId="77777777" w:rsidR="00957790" w:rsidRDefault="00FC34AA" w:rsidP="00957790">
      <w:pPr>
        <w:spacing w:before="263" w:line="264" w:lineRule="exact"/>
        <w:textAlignment w:val="baseline"/>
        <w:rPr>
          <w:rFonts w:ascii="Arial" w:eastAsia="Arial" w:hAnsi="Arial"/>
          <w:color w:val="000000"/>
          <w:sz w:val="20"/>
        </w:rPr>
      </w:pPr>
      <w:r>
        <w:rPr>
          <w:rFonts w:ascii="Arial" w:eastAsia="Arial" w:hAnsi="Arial"/>
          <w:color w:val="000000"/>
          <w:sz w:val="20"/>
        </w:rPr>
        <w:t>DRDMW believes there is a high level of knowledge in the Lower Balonne of the requirements for notification and/or development approval for changes to water infrastructure including storages.</w:t>
      </w:r>
    </w:p>
    <w:p w14:paraId="153DF231" w14:textId="1E044852" w:rsidR="00957790" w:rsidRDefault="00FC34AA" w:rsidP="00957790">
      <w:pPr>
        <w:spacing w:before="33" w:line="231" w:lineRule="exact"/>
        <w:textAlignment w:val="baseline"/>
        <w:rPr>
          <w:rFonts w:ascii="Arial" w:eastAsia="Arial" w:hAnsi="Arial"/>
          <w:color w:val="000000"/>
          <w:sz w:val="20"/>
        </w:rPr>
      </w:pPr>
      <w:r>
        <w:rPr>
          <w:rFonts w:ascii="Arial" w:eastAsia="Arial" w:hAnsi="Arial"/>
          <w:color w:val="000000"/>
          <w:sz w:val="20"/>
        </w:rPr>
        <w:t xml:space="preserve">In accordance with </w:t>
      </w:r>
      <w:r>
        <w:rPr>
          <w:rFonts w:ascii="Arial" w:eastAsia="Arial" w:hAnsi="Arial"/>
          <w:b/>
          <w:color w:val="000000"/>
          <w:sz w:val="19"/>
        </w:rPr>
        <w:t xml:space="preserve">DRDMW’s </w:t>
      </w:r>
      <w:r>
        <w:rPr>
          <w:rFonts w:ascii="Arial" w:eastAsia="Arial" w:hAnsi="Arial"/>
          <w:color w:val="000000"/>
          <w:sz w:val="20"/>
        </w:rPr>
        <w:t>current</w:t>
      </w:r>
      <w:r w:rsidRPr="00FC34AA">
        <w:rPr>
          <w:rFonts w:ascii="Arial" w:eastAsia="Arial" w:hAnsi="Arial"/>
          <w:color w:val="000000"/>
          <w:sz w:val="20"/>
        </w:rPr>
        <w:t xml:space="preserve"> </w:t>
      </w:r>
      <w:hyperlink r:id="rId15" w:anchor=":~:text=This%20strategy%20sets%20out%20our%20approach%20for%20the,we%20utilise%20and%20our%20compliance%20and%20enforcement%20pathways." w:history="1">
        <w:r w:rsidRPr="00FC34AA">
          <w:rPr>
            <w:rStyle w:val="Hyperlink"/>
            <w:rFonts w:ascii="Arial" w:eastAsia="Arial" w:hAnsi="Arial"/>
            <w:sz w:val="20"/>
          </w:rPr>
          <w:t>Regulatory Strategy 2022-2024</w:t>
        </w:r>
      </w:hyperlink>
      <w:r w:rsidRPr="00FC34AA">
        <w:rPr>
          <w:rFonts w:ascii="Arial" w:eastAsia="Arial" w:hAnsi="Arial"/>
          <w:color w:val="000000"/>
          <w:sz w:val="20"/>
        </w:rPr>
        <w:t>,</w:t>
      </w:r>
      <w:r>
        <w:rPr>
          <w:rFonts w:ascii="Arial" w:eastAsia="Arial" w:hAnsi="Arial"/>
          <w:color w:val="000000"/>
          <w:sz w:val="20"/>
        </w:rPr>
        <w:t xml:space="preserve"> DRDMW will continue to provide information and guidance to all entitlement holders to ensure awareness of their requirements.</w:t>
      </w:r>
    </w:p>
    <w:p w14:paraId="04810AB6" w14:textId="77777777" w:rsidR="00957790" w:rsidRDefault="00FC34AA" w:rsidP="00957790">
      <w:pPr>
        <w:spacing w:before="231" w:line="230" w:lineRule="exact"/>
        <w:textAlignment w:val="baseline"/>
        <w:rPr>
          <w:rFonts w:ascii="Arial" w:eastAsia="Arial" w:hAnsi="Arial"/>
          <w:color w:val="000000"/>
          <w:sz w:val="20"/>
        </w:rPr>
      </w:pPr>
      <w:r>
        <w:rPr>
          <w:rFonts w:ascii="Arial" w:eastAsia="Arial" w:hAnsi="Arial"/>
          <w:color w:val="000000"/>
          <w:sz w:val="20"/>
        </w:rPr>
        <w:t>This includes the development of targeted and routine communications with entitlement holders in the Lower Balonne and the wider Queensland Murray Darling Basin.</w:t>
      </w:r>
    </w:p>
    <w:p w14:paraId="6584917A" w14:textId="361B4E62" w:rsidR="00B7395F" w:rsidRDefault="00FC34AA" w:rsidP="00957790">
      <w:pPr>
        <w:spacing w:before="231" w:after="7361" w:line="230" w:lineRule="exact"/>
        <w:textAlignment w:val="baseline"/>
        <w:sectPr w:rsidR="00B7395F">
          <w:pgSz w:w="11909" w:h="16838"/>
          <w:pgMar w:top="1400" w:right="1349" w:bottom="232" w:left="1340" w:header="720" w:footer="720" w:gutter="0"/>
          <w:cols w:space="720"/>
        </w:sectPr>
      </w:pPr>
      <w:r>
        <w:rPr>
          <w:rFonts w:ascii="Arial" w:eastAsia="Arial" w:hAnsi="Arial"/>
          <w:color w:val="000000"/>
          <w:sz w:val="20"/>
        </w:rPr>
        <w:t>Targeted communications are currently planned under the current</w:t>
      </w:r>
      <w:r w:rsidRPr="00FC34AA">
        <w:rPr>
          <w:rFonts w:ascii="Arial" w:eastAsia="Arial" w:hAnsi="Arial"/>
          <w:color w:val="000000"/>
          <w:sz w:val="20"/>
        </w:rPr>
        <w:t xml:space="preserve"> </w:t>
      </w:r>
      <w:hyperlink r:id="rId16" w:history="1">
        <w:r w:rsidRPr="00FC34AA">
          <w:rPr>
            <w:rStyle w:val="Hyperlink"/>
            <w:rFonts w:ascii="Arial" w:eastAsia="Arial" w:hAnsi="Arial"/>
            <w:sz w:val="20"/>
          </w:rPr>
          <w:t>Annual Compliance Plan 2022-2023</w:t>
        </w:r>
      </w:hyperlink>
      <w:r w:rsidRPr="00FC34AA">
        <w:rPr>
          <w:rFonts w:ascii="Arial" w:eastAsia="Arial" w:hAnsi="Arial"/>
          <w:color w:val="000000"/>
          <w:sz w:val="20"/>
        </w:rPr>
        <w:t>.</w:t>
      </w:r>
      <w:r>
        <w:rPr>
          <w:rFonts w:ascii="Arial" w:eastAsia="Arial" w:hAnsi="Arial"/>
          <w:color w:val="FFFFFF"/>
          <w:sz w:val="20"/>
          <w:u w:val="single"/>
          <w:shd w:val="solid" w:color="000000" w:fill="000000"/>
        </w:rPr>
        <w:t xml:space="preserve"> </w:t>
      </w:r>
      <w:r w:rsidR="00F80EFD">
        <w:rPr>
          <w:noProof/>
        </w:rPr>
        <mc:AlternateContent>
          <mc:Choice Requires="wps">
            <w:drawing>
              <wp:anchor distT="0" distB="0" distL="114300" distR="114300" simplePos="0" relativeHeight="251674624" behindDoc="0" locked="0" layoutInCell="1" allowOverlap="1" wp14:anchorId="7D73F888" wp14:editId="651271D0">
                <wp:simplePos x="0" y="0"/>
                <wp:positionH relativeFrom="page">
                  <wp:posOffset>880745</wp:posOffset>
                </wp:positionH>
                <wp:positionV relativeFrom="page">
                  <wp:posOffset>9979025</wp:posOffset>
                </wp:positionV>
                <wp:extent cx="5813425"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3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5648" from="69.35pt,785.75pt" to="527.1pt,785.75pt" strokeweight="1.7pt"/>
            </w:pict>
          </mc:Fallback>
        </mc:AlternateContent>
      </w:r>
      <w:r w:rsidR="00F80EFD">
        <w:rPr>
          <w:noProof/>
        </w:rPr>
        <mc:AlternateContent>
          <mc:Choice Requires="wps">
            <w:drawing>
              <wp:anchor distT="0" distB="0" distL="114300" distR="114300" simplePos="0" relativeHeight="251676672" behindDoc="0" locked="0" layoutInCell="1" allowOverlap="1" wp14:anchorId="0FA534DF" wp14:editId="4FEA0F99">
                <wp:simplePos x="0" y="0"/>
                <wp:positionH relativeFrom="page">
                  <wp:posOffset>880745</wp:posOffset>
                </wp:positionH>
                <wp:positionV relativeFrom="page">
                  <wp:posOffset>9979025</wp:posOffset>
                </wp:positionV>
                <wp:extent cx="5813425"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3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7696" from="69.35pt,785.75pt" to="527.1pt,785.75pt" strokeweight="1.7pt"/>
            </w:pict>
          </mc:Fallback>
        </mc:AlternateContent>
      </w:r>
    </w:p>
    <w:p w14:paraId="29CDD95A" w14:textId="77777777" w:rsidR="00B7395F" w:rsidRDefault="00B7395F" w:rsidP="00957790">
      <w:pPr>
        <w:pBdr>
          <w:top w:val="single" w:sz="13" w:space="7" w:color="000000"/>
        </w:pBdr>
        <w:shd w:val="solid" w:color="000000" w:fill="000000"/>
        <w:spacing w:line="230" w:lineRule="exact"/>
        <w:ind w:left="360"/>
        <w:textAlignment w:val="baseline"/>
        <w:rPr>
          <w:rFonts w:ascii="Arial" w:eastAsia="Arial" w:hAnsi="Arial"/>
          <w:color w:val="FFFFFF"/>
          <w:sz w:val="20"/>
        </w:rPr>
      </w:pPr>
    </w:p>
    <w:sectPr w:rsidR="00B7395F">
      <w:type w:val="continuous"/>
      <w:pgSz w:w="11909" w:h="16838"/>
      <w:pgMar w:top="1400" w:right="635" w:bottom="232" w:left="105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9EB9" w14:textId="77777777" w:rsidR="00C31031" w:rsidRDefault="00C31031" w:rsidP="00C31031">
      <w:r>
        <w:separator/>
      </w:r>
    </w:p>
  </w:endnote>
  <w:endnote w:type="continuationSeparator" w:id="0">
    <w:p w14:paraId="11786C80" w14:textId="77777777" w:rsidR="00C31031" w:rsidRDefault="00C31031" w:rsidP="00C3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Roc Grotesk Medium">
    <w:altName w:val="Calibri"/>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0CC1" w14:textId="77777777" w:rsidR="00C31031" w:rsidRDefault="00C31031" w:rsidP="00C31031">
      <w:r>
        <w:separator/>
      </w:r>
    </w:p>
  </w:footnote>
  <w:footnote w:type="continuationSeparator" w:id="0">
    <w:p w14:paraId="5BFE3FA6" w14:textId="77777777" w:rsidR="00C31031" w:rsidRDefault="00C31031" w:rsidP="00C31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0A09"/>
    <w:multiLevelType w:val="hybridMultilevel"/>
    <w:tmpl w:val="1A78D68E"/>
    <w:lvl w:ilvl="0" w:tplc="B8366146">
      <w:start w:val="1"/>
      <w:numFmt w:val="lowerLetter"/>
      <w:pStyle w:val="Ariallistletters"/>
      <w:lvlText w:val="%1)"/>
      <w:lvlJc w:val="left"/>
      <w:pPr>
        <w:ind w:left="644" w:hanging="360"/>
      </w:pPr>
    </w:lvl>
    <w:lvl w:ilvl="1" w:tplc="1248DB46">
      <w:start w:val="1"/>
      <w:numFmt w:val="lowerLetter"/>
      <w:lvlText w:val="%2."/>
      <w:lvlJc w:val="left"/>
      <w:pPr>
        <w:ind w:left="1364" w:hanging="360"/>
      </w:pPr>
    </w:lvl>
    <w:lvl w:ilvl="2" w:tplc="BE765E50" w:tentative="1">
      <w:start w:val="1"/>
      <w:numFmt w:val="lowerRoman"/>
      <w:lvlText w:val="%3."/>
      <w:lvlJc w:val="right"/>
      <w:pPr>
        <w:ind w:left="2084" w:hanging="180"/>
      </w:pPr>
    </w:lvl>
    <w:lvl w:ilvl="3" w:tplc="7A1ACF82" w:tentative="1">
      <w:start w:val="1"/>
      <w:numFmt w:val="decimal"/>
      <w:lvlText w:val="%4."/>
      <w:lvlJc w:val="left"/>
      <w:pPr>
        <w:ind w:left="2804" w:hanging="360"/>
      </w:pPr>
    </w:lvl>
    <w:lvl w:ilvl="4" w:tplc="434AEE7E" w:tentative="1">
      <w:start w:val="1"/>
      <w:numFmt w:val="lowerLetter"/>
      <w:lvlText w:val="%5."/>
      <w:lvlJc w:val="left"/>
      <w:pPr>
        <w:ind w:left="3524" w:hanging="360"/>
      </w:pPr>
    </w:lvl>
    <w:lvl w:ilvl="5" w:tplc="1AEE5BF4" w:tentative="1">
      <w:start w:val="1"/>
      <w:numFmt w:val="lowerRoman"/>
      <w:lvlText w:val="%6."/>
      <w:lvlJc w:val="right"/>
      <w:pPr>
        <w:ind w:left="4244" w:hanging="180"/>
      </w:pPr>
    </w:lvl>
    <w:lvl w:ilvl="6" w:tplc="0A0A9456" w:tentative="1">
      <w:start w:val="1"/>
      <w:numFmt w:val="decimal"/>
      <w:lvlText w:val="%7."/>
      <w:lvlJc w:val="left"/>
      <w:pPr>
        <w:ind w:left="4964" w:hanging="360"/>
      </w:pPr>
    </w:lvl>
    <w:lvl w:ilvl="7" w:tplc="2ECE167A" w:tentative="1">
      <w:start w:val="1"/>
      <w:numFmt w:val="lowerLetter"/>
      <w:lvlText w:val="%8."/>
      <w:lvlJc w:val="left"/>
      <w:pPr>
        <w:ind w:left="5684" w:hanging="360"/>
      </w:pPr>
    </w:lvl>
    <w:lvl w:ilvl="8" w:tplc="9626A9D2" w:tentative="1">
      <w:start w:val="1"/>
      <w:numFmt w:val="lowerRoman"/>
      <w:lvlText w:val="%9."/>
      <w:lvlJc w:val="right"/>
      <w:pPr>
        <w:ind w:left="6404" w:hanging="180"/>
      </w:pPr>
    </w:lvl>
  </w:abstractNum>
  <w:abstractNum w:abstractNumId="1" w15:restartNumberingAfterBreak="0">
    <w:nsid w:val="4C732F2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B6B40D4"/>
    <w:multiLevelType w:val="multilevel"/>
    <w:tmpl w:val="9AA8ABAE"/>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C20F96"/>
    <w:multiLevelType w:val="multilevel"/>
    <w:tmpl w:val="38F456DC"/>
    <w:lvl w:ilvl="0">
      <w:numFmt w:val="bullet"/>
      <w:lvlText w:val="·"/>
      <w:lvlJc w:val="left"/>
      <w:pPr>
        <w:tabs>
          <w:tab w:val="left" w:pos="432"/>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2894025">
    <w:abstractNumId w:val="3"/>
  </w:num>
  <w:num w:numId="2" w16cid:durableId="657922514">
    <w:abstractNumId w:val="2"/>
  </w:num>
  <w:num w:numId="3" w16cid:durableId="937757567">
    <w:abstractNumId w:val="0"/>
  </w:num>
  <w:num w:numId="4" w16cid:durableId="1798796740">
    <w:abstractNumId w:val="0"/>
    <w:lvlOverride w:ilvl="0">
      <w:startOverride w:val="1"/>
    </w:lvlOverride>
  </w:num>
  <w:num w:numId="5" w16cid:durableId="268395034">
    <w:abstractNumId w:val="0"/>
    <w:lvlOverride w:ilvl="0">
      <w:startOverride w:val="1"/>
    </w:lvlOverride>
  </w:num>
  <w:num w:numId="6" w16cid:durableId="2042389470">
    <w:abstractNumId w:val="0"/>
    <w:lvlOverride w:ilvl="0">
      <w:startOverride w:val="1"/>
    </w:lvlOverride>
  </w:num>
  <w:num w:numId="7" w16cid:durableId="1144347937">
    <w:abstractNumId w:val="0"/>
    <w:lvlOverride w:ilvl="0">
      <w:startOverride w:val="1"/>
    </w:lvlOverride>
  </w:num>
  <w:num w:numId="8" w16cid:durableId="500435436">
    <w:abstractNumId w:val="0"/>
    <w:lvlOverride w:ilvl="0">
      <w:startOverride w:val="1"/>
    </w:lvlOverride>
  </w:num>
  <w:num w:numId="9" w16cid:durableId="1971782285">
    <w:abstractNumId w:val="0"/>
  </w:num>
  <w:num w:numId="10" w16cid:durableId="6324024">
    <w:abstractNumId w:val="0"/>
    <w:lvlOverride w:ilvl="0">
      <w:startOverride w:val="1"/>
    </w:lvlOverride>
  </w:num>
  <w:num w:numId="11" w16cid:durableId="1628047948">
    <w:abstractNumId w:val="0"/>
    <w:lvlOverride w:ilvl="0">
      <w:startOverride w:val="1"/>
    </w:lvlOverride>
  </w:num>
  <w:num w:numId="12" w16cid:durableId="747573983">
    <w:abstractNumId w:val="0"/>
    <w:lvlOverride w:ilvl="0">
      <w:startOverride w:val="1"/>
    </w:lvlOverride>
  </w:num>
  <w:num w:numId="13" w16cid:durableId="44767321">
    <w:abstractNumId w:val="1"/>
  </w:num>
  <w:num w:numId="14" w16cid:durableId="1742559529">
    <w:abstractNumId w:val="0"/>
    <w:lvlOverride w:ilvl="0">
      <w:startOverride w:val="1"/>
    </w:lvlOverride>
  </w:num>
  <w:num w:numId="15" w16cid:durableId="1326125824">
    <w:abstractNumId w:val="0"/>
    <w:lvlOverride w:ilvl="0">
      <w:startOverride w:val="1"/>
    </w:lvlOverride>
  </w:num>
  <w:num w:numId="16" w16cid:durableId="89283248">
    <w:abstractNumId w:val="0"/>
    <w:lvlOverride w:ilvl="0">
      <w:startOverride w:val="1"/>
    </w:lvlOverride>
  </w:num>
  <w:num w:numId="17" w16cid:durableId="1266301388">
    <w:abstractNumId w:val="0"/>
    <w:lvlOverride w:ilvl="0">
      <w:startOverride w:val="1"/>
    </w:lvlOverride>
  </w:num>
  <w:num w:numId="18" w16cid:durableId="1943881125">
    <w:abstractNumId w:val="0"/>
    <w:lvlOverride w:ilvl="0">
      <w:startOverride w:val="1"/>
    </w:lvlOverride>
  </w:num>
  <w:num w:numId="19" w16cid:durableId="937131489">
    <w:abstractNumId w:val="0"/>
    <w:lvlOverride w:ilvl="0">
      <w:startOverride w:val="1"/>
    </w:lvlOverride>
  </w:num>
  <w:num w:numId="20" w16cid:durableId="913927701">
    <w:abstractNumId w:val="0"/>
    <w:lvlOverride w:ilvl="0">
      <w:startOverride w:val="1"/>
    </w:lvlOverride>
  </w:num>
  <w:num w:numId="21" w16cid:durableId="6673671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5F"/>
    <w:rsid w:val="00091495"/>
    <w:rsid w:val="00112FDC"/>
    <w:rsid w:val="00120ACB"/>
    <w:rsid w:val="00236A13"/>
    <w:rsid w:val="002525FA"/>
    <w:rsid w:val="002E0C8B"/>
    <w:rsid w:val="00397CEB"/>
    <w:rsid w:val="003F3F64"/>
    <w:rsid w:val="005A1420"/>
    <w:rsid w:val="00706D6C"/>
    <w:rsid w:val="00870FD9"/>
    <w:rsid w:val="008F3ED0"/>
    <w:rsid w:val="008F4B81"/>
    <w:rsid w:val="00957790"/>
    <w:rsid w:val="00B7395F"/>
    <w:rsid w:val="00C31031"/>
    <w:rsid w:val="00D827CE"/>
    <w:rsid w:val="00DD5064"/>
    <w:rsid w:val="00E30C67"/>
    <w:rsid w:val="00F80EFD"/>
    <w:rsid w:val="00FA5985"/>
    <w:rsid w:val="00FC34AA"/>
    <w:rsid w:val="00FF46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D2CF7"/>
  <w15:docId w15:val="{6D38ED28-6DCC-49D6-AE4A-3BA9683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listletters">
    <w:name w:val="Arial list (letters)"/>
    <w:basedOn w:val="ListParagraph"/>
    <w:qFormat/>
    <w:rsid w:val="005A1420"/>
    <w:pPr>
      <w:numPr>
        <w:numId w:val="9"/>
      </w:numPr>
      <w:contextualSpacing w:val="0"/>
    </w:pPr>
    <w:rPr>
      <w:rFonts w:ascii="Arial" w:eastAsiaTheme="minorEastAsia" w:hAnsi="Arial" w:cstheme="minorBidi"/>
      <w:sz w:val="20"/>
      <w:szCs w:val="24"/>
      <w:lang w:val="en-AU" w:eastAsia="ja-JP"/>
    </w:rPr>
  </w:style>
  <w:style w:type="paragraph" w:styleId="ListParagraph">
    <w:name w:val="List Paragraph"/>
    <w:basedOn w:val="Normal"/>
    <w:uiPriority w:val="34"/>
    <w:qFormat/>
    <w:rsid w:val="005A1420"/>
    <w:pPr>
      <w:ind w:left="720"/>
      <w:contextualSpacing/>
    </w:pPr>
  </w:style>
  <w:style w:type="table" w:styleId="TableGrid">
    <w:name w:val="Table Grid"/>
    <w:basedOn w:val="TableNormal"/>
    <w:uiPriority w:val="39"/>
    <w:rsid w:val="002E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790"/>
    <w:pPr>
      <w:tabs>
        <w:tab w:val="center" w:pos="4513"/>
        <w:tab w:val="right" w:pos="9026"/>
      </w:tabs>
    </w:pPr>
  </w:style>
  <w:style w:type="character" w:customStyle="1" w:styleId="HeaderChar">
    <w:name w:val="Header Char"/>
    <w:basedOn w:val="DefaultParagraphFont"/>
    <w:link w:val="Header"/>
    <w:uiPriority w:val="99"/>
    <w:rsid w:val="00957790"/>
  </w:style>
  <w:style w:type="paragraph" w:styleId="Footer">
    <w:name w:val="footer"/>
    <w:basedOn w:val="Normal"/>
    <w:link w:val="FooterChar"/>
    <w:uiPriority w:val="99"/>
    <w:unhideWhenUsed/>
    <w:rsid w:val="00957790"/>
    <w:pPr>
      <w:tabs>
        <w:tab w:val="center" w:pos="4513"/>
        <w:tab w:val="right" w:pos="9026"/>
      </w:tabs>
    </w:pPr>
  </w:style>
  <w:style w:type="character" w:customStyle="1" w:styleId="FooterChar">
    <w:name w:val="Footer Char"/>
    <w:basedOn w:val="DefaultParagraphFont"/>
    <w:link w:val="Footer"/>
    <w:uiPriority w:val="99"/>
    <w:rsid w:val="00957790"/>
  </w:style>
  <w:style w:type="character" w:styleId="Hyperlink">
    <w:name w:val="Hyperlink"/>
    <w:basedOn w:val="DefaultParagraphFont"/>
    <w:uiPriority w:val="99"/>
    <w:unhideWhenUsed/>
    <w:rsid w:val="00FC34AA"/>
    <w:rPr>
      <w:color w:val="0563C1" w:themeColor="hyperlink"/>
      <w:u w:val="single"/>
    </w:rPr>
  </w:style>
  <w:style w:type="character" w:styleId="UnresolvedMention">
    <w:name w:val="Unresolved Mention"/>
    <w:basedOn w:val="DefaultParagraphFont"/>
    <w:uiPriority w:val="99"/>
    <w:rsid w:val="00FC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dmw.qld.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dmw.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dmw.qld.gov.au/__data/assets/pdf_file/0007/1634182/compliance-plan-2022-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hyperlink" Target="https://www.rdmw.qld.gov.au/__data/assets/pdf_file/0011/1630784/regulatory-strategy-wrm-2022-24.pdf"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uments.parliament.qld.gov.au/bills/2022/3111/Water-Legislation-Amendment-Bill-2022-d5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E2FFB-915B-4C49-8CE8-79A58604EE21}">
  <ds:schemaRefs>
    <ds:schemaRef ds:uri="http://schemas.openxmlformats.org/officeDocument/2006/bibliography"/>
  </ds:schemaRefs>
</ds:datastoreItem>
</file>

<file path=customXml/itemProps2.xml><?xml version="1.0" encoding="utf-8"?>
<ds:datastoreItem xmlns:ds="http://schemas.openxmlformats.org/officeDocument/2006/customXml" ds:itemID="{2EE6F7FC-C85A-47D7-A72E-7B66F3C08AE6}">
  <ds:schemaRefs>
    <ds:schemaRef ds:uri="http://schemas.microsoft.com/sharepoint/v3/contenttype/forms"/>
  </ds:schemaRefs>
</ds:datastoreItem>
</file>

<file path=customXml/itemProps3.xml><?xml version="1.0" encoding="utf-8"?>
<ds:datastoreItem xmlns:ds="http://schemas.openxmlformats.org/officeDocument/2006/customXml" ds:itemID="{8EC8DE39-4390-4ED5-A6E4-C8774EC54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Queensland Management Responses to Recommendations from Audit</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Management Responses to Recommendations from Audit</dc:title>
  <dc:creator>Queensland Government</dc:creator>
  <cp:lastModifiedBy>Nguyen, Lien</cp:lastModifiedBy>
  <cp:revision>5</cp:revision>
  <dcterms:created xsi:type="dcterms:W3CDTF">2023-05-31T04:44:00Z</dcterms:created>
  <dcterms:modified xsi:type="dcterms:W3CDTF">2023-06-06T02:08:00Z</dcterms:modified>
</cp:coreProperties>
</file>