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33837" w14:textId="732B77EC" w:rsidR="008B7EF7" w:rsidRDefault="008C25CB" w:rsidP="00473F5B">
      <w:pPr>
        <w:pStyle w:val="Title"/>
      </w:pPr>
      <w:r>
        <w:rPr>
          <w:noProof/>
        </w:rPr>
        <w:drawing>
          <wp:anchor distT="0" distB="0" distL="114300" distR="114300" simplePos="0" relativeHeight="251659265" behindDoc="0" locked="0" layoutInCell="1" allowOverlap="1" wp14:anchorId="65A47C2A" wp14:editId="4FDDF2B1">
            <wp:simplePos x="0" y="0"/>
            <wp:positionH relativeFrom="margin">
              <wp:align>left</wp:align>
            </wp:positionH>
            <wp:positionV relativeFrom="paragraph">
              <wp:posOffset>-2057400</wp:posOffset>
            </wp:positionV>
            <wp:extent cx="4118317" cy="963216"/>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8317" cy="963216"/>
                    </a:xfrm>
                    <a:prstGeom prst="rect">
                      <a:avLst/>
                    </a:prstGeom>
                  </pic:spPr>
                </pic:pic>
              </a:graphicData>
            </a:graphic>
            <wp14:sizeRelH relativeFrom="page">
              <wp14:pctWidth>0</wp14:pctWidth>
            </wp14:sizeRelH>
            <wp14:sizeRelV relativeFrom="page">
              <wp14:pctHeight>0</wp14:pctHeight>
            </wp14:sizeRelV>
          </wp:anchor>
        </w:drawing>
      </w:r>
      <w:r w:rsidR="007A7E92">
        <w:t xml:space="preserve">Murray-Darling Basin Compliance Performance Report </w:t>
      </w:r>
    </w:p>
    <w:p w14:paraId="28196401" w14:textId="77777777" w:rsidR="008B7EF7" w:rsidRDefault="008B7EF7" w:rsidP="00473F5B">
      <w:pPr>
        <w:pStyle w:val="Title"/>
      </w:pPr>
    </w:p>
    <w:p w14:paraId="4672C73F" w14:textId="5CAACCAB" w:rsidR="00473F5B" w:rsidRDefault="007A7E92" w:rsidP="00473F5B">
      <w:pPr>
        <w:pStyle w:val="Title"/>
      </w:pPr>
      <w:r>
        <w:t>2022</w:t>
      </w:r>
      <w:r w:rsidR="00ED5DF7">
        <w:t>-</w:t>
      </w:r>
      <w:r>
        <w:t>23</w:t>
      </w:r>
      <w:r w:rsidR="007A1E2C" w:rsidRPr="003A6733">
        <w:rPr>
          <w:noProof/>
        </w:rPr>
        <w:drawing>
          <wp:anchor distT="0" distB="0" distL="114300" distR="114300" simplePos="0" relativeHeight="251658241" behindDoc="1" locked="1" layoutInCell="1" allowOverlap="1" wp14:anchorId="75AAD8E9" wp14:editId="36899737">
            <wp:simplePos x="0" y="0"/>
            <wp:positionH relativeFrom="margin">
              <wp:posOffset>-755650</wp:posOffset>
            </wp:positionH>
            <wp:positionV relativeFrom="paragraph">
              <wp:posOffset>-5473065</wp:posOffset>
            </wp:positionV>
            <wp:extent cx="7597140" cy="12828905"/>
            <wp:effectExtent l="0" t="0" r="381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7140" cy="12828905"/>
                    </a:xfrm>
                    <a:prstGeom prst="rect">
                      <a:avLst/>
                    </a:prstGeom>
                  </pic:spPr>
                </pic:pic>
              </a:graphicData>
            </a:graphic>
            <wp14:sizeRelH relativeFrom="page">
              <wp14:pctWidth>0</wp14:pctWidth>
            </wp14:sizeRelH>
            <wp14:sizeRelV relativeFrom="page">
              <wp14:pctHeight>0</wp14:pctHeight>
            </wp14:sizeRelV>
          </wp:anchor>
        </w:drawing>
      </w:r>
      <w:r w:rsidR="007A1E2C">
        <w:rPr>
          <w:noProof/>
        </w:rPr>
        <w:drawing>
          <wp:anchor distT="0" distB="0" distL="114300" distR="114300" simplePos="0" relativeHeight="251658240" behindDoc="1" locked="1" layoutInCell="1" allowOverlap="1" wp14:anchorId="4434F8DB" wp14:editId="549862F5">
            <wp:simplePos x="0" y="0"/>
            <wp:positionH relativeFrom="page">
              <wp:posOffset>594360</wp:posOffset>
            </wp:positionH>
            <wp:positionV relativeFrom="paragraph">
              <wp:posOffset>-1986280</wp:posOffset>
            </wp:positionV>
            <wp:extent cx="3600450" cy="104013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pic:cNvPicPr>
                  </pic:nvPicPr>
                  <pic:blipFill>
                    <a:blip r:embed="rId13">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B916E" w14:textId="0B3358B9" w:rsidR="00473F5B" w:rsidRPr="00852318" w:rsidRDefault="00473F5B" w:rsidP="00852318">
      <w:pPr>
        <w:pStyle w:val="Author"/>
      </w:pPr>
    </w:p>
    <w:p w14:paraId="07FC3C62" w14:textId="1A99C961" w:rsidR="00473F5B" w:rsidRDefault="00473F5B">
      <w:pPr>
        <w:spacing w:after="0"/>
        <w:rPr>
          <w:b/>
          <w:color w:val="FFFFFF"/>
          <w:sz w:val="60"/>
          <w:szCs w:val="24"/>
        </w:rPr>
      </w:pPr>
      <w:r>
        <w:br w:type="page"/>
      </w:r>
    </w:p>
    <w:p w14:paraId="4044C11E" w14:textId="26EAF3AB" w:rsidR="00C118DE" w:rsidRPr="00452256" w:rsidRDefault="00C118DE" w:rsidP="00C118DE">
      <w:pPr>
        <w:rPr>
          <w:szCs w:val="20"/>
        </w:rPr>
      </w:pPr>
      <w:r w:rsidRPr="00452256">
        <w:rPr>
          <w:szCs w:val="20"/>
        </w:rPr>
        <w:lastRenderedPageBreak/>
        <w:t xml:space="preserve">© Commonwealth of </w:t>
      </w:r>
      <w:r w:rsidRPr="00E31B50">
        <w:rPr>
          <w:szCs w:val="20"/>
        </w:rPr>
        <w:t>Australia 202</w:t>
      </w:r>
      <w:r w:rsidR="00E31B50">
        <w:rPr>
          <w:szCs w:val="20"/>
        </w:rPr>
        <w:t>4</w:t>
      </w:r>
    </w:p>
    <w:p w14:paraId="28B179DA" w14:textId="77777777" w:rsidR="00C118DE" w:rsidRPr="00452256" w:rsidRDefault="00C118DE" w:rsidP="00C118DE">
      <w:pPr>
        <w:rPr>
          <w:rStyle w:val="Strong"/>
          <w:szCs w:val="20"/>
        </w:rPr>
      </w:pPr>
      <w:r w:rsidRPr="00452256">
        <w:rPr>
          <w:rStyle w:val="Strong"/>
          <w:szCs w:val="20"/>
        </w:rPr>
        <w:t>Ownership of intellectual property rights</w:t>
      </w:r>
    </w:p>
    <w:p w14:paraId="3B9C6235" w14:textId="77777777" w:rsidR="00C118DE" w:rsidRPr="00452256" w:rsidRDefault="00C118DE" w:rsidP="00C118DE">
      <w:pPr>
        <w:rPr>
          <w:szCs w:val="20"/>
        </w:rPr>
      </w:pPr>
      <w:r w:rsidRPr="00452256">
        <w:rPr>
          <w:szCs w:val="20"/>
        </w:rPr>
        <w:t>Unless otherwise noted, copyright (and any other intellectual property rights) in this publication is owned by the Commonwealth of Australia (referred to as the Commonwealth).</w:t>
      </w:r>
    </w:p>
    <w:p w14:paraId="79706610" w14:textId="77777777" w:rsidR="00C118DE" w:rsidRPr="00452256" w:rsidRDefault="00C118DE" w:rsidP="00C118DE">
      <w:pPr>
        <w:rPr>
          <w:rStyle w:val="Strong"/>
          <w:szCs w:val="20"/>
        </w:rPr>
      </w:pPr>
      <w:r w:rsidRPr="00452256">
        <w:rPr>
          <w:rStyle w:val="Strong"/>
          <w:szCs w:val="20"/>
        </w:rPr>
        <w:t xml:space="preserve">Creative Commons licence </w:t>
      </w:r>
    </w:p>
    <w:p w14:paraId="680879B5" w14:textId="77777777" w:rsidR="00C118DE" w:rsidRPr="00452256" w:rsidRDefault="00C118DE" w:rsidP="00C118DE">
      <w:pPr>
        <w:rPr>
          <w:szCs w:val="20"/>
        </w:rPr>
      </w:pPr>
      <w:r w:rsidRPr="00452256">
        <w:rPr>
          <w:szCs w:val="20"/>
        </w:rPr>
        <w:t xml:space="preserve">All material in this publication is licensed under a Creative Commons Attribution 4.0 International Licence, except for content supplied by third parties, logos and the Commonwealth Coat of Arms. </w:t>
      </w:r>
    </w:p>
    <w:p w14:paraId="2832055F" w14:textId="77777777" w:rsidR="00C118DE" w:rsidRPr="00452256" w:rsidRDefault="00C118DE" w:rsidP="00C118DE">
      <w:pPr>
        <w:rPr>
          <w:szCs w:val="20"/>
        </w:rPr>
      </w:pPr>
      <w:r w:rsidRPr="00452256">
        <w:rPr>
          <w:szCs w:val="20"/>
        </w:rPr>
        <w:t xml:space="preserve">Inquiries about the licence and any use of this document should be emailed to </w:t>
      </w:r>
      <w:hyperlink r:id="rId14" w:history="1">
        <w:r w:rsidRPr="00452256">
          <w:rPr>
            <w:rStyle w:val="Hyperlink"/>
            <w:szCs w:val="20"/>
          </w:rPr>
          <w:t>copyright@dcceew.gov.au</w:t>
        </w:r>
      </w:hyperlink>
      <w:r w:rsidRPr="00452256">
        <w:rPr>
          <w:szCs w:val="20"/>
        </w:rPr>
        <w:t>.</w:t>
      </w:r>
    </w:p>
    <w:p w14:paraId="2204E794" w14:textId="77777777" w:rsidR="00C118DE" w:rsidRPr="00452256" w:rsidRDefault="00C118DE" w:rsidP="00C118DE">
      <w:pPr>
        <w:rPr>
          <w:szCs w:val="20"/>
        </w:rPr>
      </w:pPr>
      <w:r w:rsidRPr="00452256">
        <w:rPr>
          <w:noProof/>
          <w:szCs w:val="20"/>
          <w:lang w:eastAsia="en-AU"/>
        </w:rPr>
        <w:drawing>
          <wp:inline distT="0" distB="0" distL="0" distR="0" wp14:anchorId="05DB0953" wp14:editId="3F0175E4">
            <wp:extent cx="724535" cy="25527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134D8FB" w14:textId="77777777" w:rsidR="00C118DE" w:rsidRPr="00452256" w:rsidRDefault="00C118DE" w:rsidP="00C118DE">
      <w:pPr>
        <w:rPr>
          <w:rStyle w:val="Strong"/>
          <w:szCs w:val="20"/>
        </w:rPr>
      </w:pPr>
      <w:r w:rsidRPr="00452256">
        <w:rPr>
          <w:rStyle w:val="Strong"/>
          <w:szCs w:val="20"/>
        </w:rPr>
        <w:t>Cataloguing data</w:t>
      </w:r>
    </w:p>
    <w:p w14:paraId="5374E236" w14:textId="043CA7B1" w:rsidR="00C118DE" w:rsidRPr="00452256" w:rsidRDefault="00C118DE" w:rsidP="00C118DE">
      <w:pPr>
        <w:rPr>
          <w:szCs w:val="20"/>
        </w:rPr>
      </w:pPr>
      <w:r w:rsidRPr="00452256">
        <w:rPr>
          <w:szCs w:val="20"/>
        </w:rPr>
        <w:t xml:space="preserve">This publication (and any material sourced from it) should be attributed as: Inspector-General of Water Compliance </w:t>
      </w:r>
      <w:r w:rsidR="006C7DC6" w:rsidRPr="00452256">
        <w:rPr>
          <w:szCs w:val="20"/>
        </w:rPr>
        <w:t>202</w:t>
      </w:r>
      <w:r w:rsidR="006C7DC6">
        <w:rPr>
          <w:szCs w:val="20"/>
        </w:rPr>
        <w:t>4</w:t>
      </w:r>
      <w:r w:rsidRPr="00452256">
        <w:rPr>
          <w:szCs w:val="20"/>
        </w:rPr>
        <w:t xml:space="preserve">, </w:t>
      </w:r>
      <w:r w:rsidR="00D77587" w:rsidRPr="00D77587">
        <w:rPr>
          <w:rStyle w:val="Emphasis"/>
          <w:szCs w:val="20"/>
        </w:rPr>
        <w:t xml:space="preserve">Murray-Darling Basin </w:t>
      </w:r>
      <w:r w:rsidR="006108EB">
        <w:rPr>
          <w:rStyle w:val="Emphasis"/>
          <w:szCs w:val="20"/>
        </w:rPr>
        <w:t>Compliance Performance Report 2022</w:t>
      </w:r>
      <w:r w:rsidR="00CF0868">
        <w:rPr>
          <w:rStyle w:val="Emphasis"/>
          <w:szCs w:val="20"/>
        </w:rPr>
        <w:t>-</w:t>
      </w:r>
      <w:r w:rsidR="006108EB">
        <w:rPr>
          <w:rStyle w:val="Emphasis"/>
          <w:szCs w:val="20"/>
        </w:rPr>
        <w:t>23</w:t>
      </w:r>
      <w:r w:rsidRPr="00452256">
        <w:rPr>
          <w:szCs w:val="20"/>
        </w:rPr>
        <w:t>, the Australian Government, Canberra</w:t>
      </w:r>
      <w:r w:rsidRPr="00E31B50">
        <w:rPr>
          <w:szCs w:val="20"/>
        </w:rPr>
        <w:t xml:space="preserve">, </w:t>
      </w:r>
      <w:r w:rsidR="00E31B50">
        <w:rPr>
          <w:szCs w:val="20"/>
        </w:rPr>
        <w:t>November</w:t>
      </w:r>
      <w:r w:rsidR="00ED5DF7" w:rsidRPr="00E31B50">
        <w:rPr>
          <w:szCs w:val="20"/>
        </w:rPr>
        <w:t xml:space="preserve"> </w:t>
      </w:r>
      <w:r w:rsidRPr="00E31B50">
        <w:rPr>
          <w:szCs w:val="20"/>
        </w:rPr>
        <w:t>202</w:t>
      </w:r>
      <w:r w:rsidR="006108EB" w:rsidRPr="00E31B50">
        <w:rPr>
          <w:szCs w:val="20"/>
        </w:rPr>
        <w:t>4</w:t>
      </w:r>
      <w:r w:rsidRPr="008B7EF7">
        <w:rPr>
          <w:szCs w:val="20"/>
        </w:rPr>
        <w:t>. CC</w:t>
      </w:r>
      <w:r w:rsidRPr="00452256">
        <w:rPr>
          <w:szCs w:val="20"/>
        </w:rPr>
        <w:t xml:space="preserve"> BY 4.0.</w:t>
      </w:r>
    </w:p>
    <w:p w14:paraId="461700F7" w14:textId="2CC4EC83" w:rsidR="00C118DE" w:rsidRPr="00452256" w:rsidRDefault="00C118DE" w:rsidP="00C118DE">
      <w:pPr>
        <w:rPr>
          <w:rStyle w:val="Hyperlink"/>
          <w:szCs w:val="20"/>
        </w:rPr>
      </w:pPr>
      <w:r w:rsidRPr="00452256">
        <w:rPr>
          <w:szCs w:val="20"/>
        </w:rPr>
        <w:t xml:space="preserve">This publication is available at </w:t>
      </w:r>
      <w:hyperlink r:id="rId16" w:history="1">
        <w:r w:rsidR="00D62F55" w:rsidRPr="00682AA1">
          <w:rPr>
            <w:rStyle w:val="Hyperlink"/>
            <w:szCs w:val="20"/>
          </w:rPr>
          <w:t>https://www.igwc.gov.au/publications/reviews-reports</w:t>
        </w:r>
      </w:hyperlink>
    </w:p>
    <w:p w14:paraId="7B8CEB47" w14:textId="77777777" w:rsidR="00C118DE" w:rsidRPr="00452256" w:rsidRDefault="00C118DE" w:rsidP="00C118DE">
      <w:pPr>
        <w:rPr>
          <w:szCs w:val="20"/>
        </w:rPr>
      </w:pPr>
      <w:r w:rsidRPr="00452256">
        <w:rPr>
          <w:szCs w:val="20"/>
        </w:rPr>
        <w:t>Inspector-General of Water Compliance</w:t>
      </w:r>
      <w:r w:rsidRPr="00452256">
        <w:rPr>
          <w:szCs w:val="20"/>
        </w:rPr>
        <w:br/>
        <w:t>GPO Box 3090 Canberra ACT 2601</w:t>
      </w:r>
    </w:p>
    <w:p w14:paraId="682B040B" w14:textId="77777777" w:rsidR="00C118DE" w:rsidRPr="00452256" w:rsidRDefault="00C118DE" w:rsidP="00C118DE">
      <w:pPr>
        <w:rPr>
          <w:rStyle w:val="Strong"/>
          <w:szCs w:val="20"/>
        </w:rPr>
      </w:pPr>
      <w:r w:rsidRPr="00452256">
        <w:rPr>
          <w:rStyle w:val="Strong"/>
          <w:szCs w:val="20"/>
        </w:rPr>
        <w:t>Disclaimer</w:t>
      </w:r>
    </w:p>
    <w:p w14:paraId="55470092" w14:textId="77777777" w:rsidR="00C118DE" w:rsidRPr="00452256" w:rsidRDefault="00C118DE" w:rsidP="00C118DE">
      <w:pPr>
        <w:rPr>
          <w:szCs w:val="20"/>
        </w:rPr>
      </w:pPr>
      <w:r w:rsidRPr="00452256">
        <w:rPr>
          <w:szCs w:val="20"/>
        </w:rPr>
        <w:t xml:space="preserve">The Australian Government represented by the Inspector-General of Water Compliance, has exercised due care and skill in preparing and compiling the information and data in this publication. Notwithstanding, the Inspector-General of Water Compliance, the Australian Government’s employees disclaim all liability, including liability for negligence and for any loss, damage, injury, expense or cost incurred by any person </w:t>
      </w:r>
      <w:proofErr w:type="gramStart"/>
      <w:r w:rsidRPr="00452256">
        <w:rPr>
          <w:szCs w:val="20"/>
        </w:rPr>
        <w:t>as a result of</w:t>
      </w:r>
      <w:proofErr w:type="gramEnd"/>
      <w:r w:rsidRPr="00452256">
        <w:rPr>
          <w:szCs w:val="20"/>
        </w:rPr>
        <w:t xml:space="preserve"> accessing, using or relying on any of the information or data in this publication to the maximum extent permitted by law.</w:t>
      </w:r>
    </w:p>
    <w:p w14:paraId="0DBAD482" w14:textId="77777777" w:rsidR="00F54AA6" w:rsidRPr="00452256" w:rsidRDefault="00F54AA6" w:rsidP="00F54AA6">
      <w:pPr>
        <w:rPr>
          <w:rStyle w:val="Strong"/>
          <w:szCs w:val="20"/>
        </w:rPr>
      </w:pPr>
      <w:r w:rsidRPr="00452256">
        <w:rPr>
          <w:rStyle w:val="Strong"/>
          <w:szCs w:val="20"/>
        </w:rPr>
        <w:t xml:space="preserve">Acknowledgement of </w:t>
      </w:r>
      <w:r>
        <w:rPr>
          <w:rStyle w:val="Strong"/>
          <w:szCs w:val="20"/>
        </w:rPr>
        <w:t>all Traditional Owners</w:t>
      </w:r>
    </w:p>
    <w:p w14:paraId="53774030" w14:textId="77777777" w:rsidR="00F54AA6" w:rsidRDefault="00F54AA6" w:rsidP="00F54AA6">
      <w:pPr>
        <w:rPr>
          <w:szCs w:val="20"/>
        </w:rPr>
      </w:pPr>
      <w:r>
        <w:rPr>
          <w:szCs w:val="20"/>
        </w:rPr>
        <w:t xml:space="preserve">We pay our respect to the Traditional Owners and their Nations of the Murray-Darling Basin. We acknowledge their deep cultural, social, environmental, spiritual and economic connection to their lands and waters. </w:t>
      </w:r>
    </w:p>
    <w:p w14:paraId="20E65DC9" w14:textId="77777777" w:rsidR="00F54AA6" w:rsidRPr="00452256" w:rsidRDefault="00F54AA6" w:rsidP="00F54AA6">
      <w:pPr>
        <w:rPr>
          <w:szCs w:val="20"/>
        </w:rPr>
      </w:pPr>
      <w:r>
        <w:rPr>
          <w:szCs w:val="20"/>
        </w:rPr>
        <w:t xml:space="preserve">Aboriginal people should be aware that this publication may contain images, names, or quotations of deceased persons. </w:t>
      </w:r>
    </w:p>
    <w:p w14:paraId="10795F39" w14:textId="77777777" w:rsidR="00C118DE" w:rsidRPr="00452256" w:rsidRDefault="00C118DE" w:rsidP="00C118DE">
      <w:pPr>
        <w:rPr>
          <w:rStyle w:val="Strong"/>
          <w:szCs w:val="20"/>
        </w:rPr>
      </w:pPr>
      <w:r w:rsidRPr="00452256">
        <w:rPr>
          <w:rStyle w:val="Strong"/>
          <w:szCs w:val="20"/>
        </w:rPr>
        <w:t>Accessibility</w:t>
      </w:r>
    </w:p>
    <w:p w14:paraId="1B46CAB4" w14:textId="7D677E67" w:rsidR="00C118DE" w:rsidRDefault="00C118DE" w:rsidP="00C118DE">
      <w:pPr>
        <w:rPr>
          <w:szCs w:val="20"/>
        </w:rPr>
      </w:pPr>
      <w:r w:rsidRPr="00452256">
        <w:rPr>
          <w:szCs w:val="20"/>
        </w:rPr>
        <w:t xml:space="preserve">The document and information </w:t>
      </w:r>
      <w:proofErr w:type="gramStart"/>
      <w:r w:rsidRPr="00452256">
        <w:rPr>
          <w:szCs w:val="20"/>
        </w:rPr>
        <w:t>is</w:t>
      </w:r>
      <w:proofErr w:type="gramEnd"/>
      <w:r w:rsidRPr="00452256">
        <w:rPr>
          <w:szCs w:val="20"/>
        </w:rPr>
        <w:t xml:space="preserve"> available in accessible formats. On some occasions the highly technical nature of the document means that we cannot make some sections fully accessible. If you encounter accessibility problems or the document is in a format that you cannot access, please contact us</w:t>
      </w:r>
      <w:r w:rsidR="00686F17">
        <w:rPr>
          <w:szCs w:val="20"/>
        </w:rPr>
        <w:t xml:space="preserve"> at </w:t>
      </w:r>
      <w:hyperlink r:id="rId17" w:history="1">
        <w:r w:rsidR="00686F17" w:rsidRPr="00574A02">
          <w:rPr>
            <w:rStyle w:val="Hyperlink"/>
            <w:szCs w:val="20"/>
          </w:rPr>
          <w:t>contact@igwc.gov.au</w:t>
        </w:r>
      </w:hyperlink>
      <w:r w:rsidR="00686F17">
        <w:rPr>
          <w:szCs w:val="20"/>
        </w:rPr>
        <w:t xml:space="preserve">. </w:t>
      </w:r>
    </w:p>
    <w:p w14:paraId="4F776981" w14:textId="6CAEDB6E" w:rsidR="00473F5B" w:rsidRPr="00473F5B" w:rsidRDefault="00473F5B" w:rsidP="00473F5B">
      <w:r>
        <w:br w:type="page"/>
      </w:r>
    </w:p>
    <w:p w14:paraId="1D637D49" w14:textId="77777777" w:rsidR="00726F26" w:rsidRDefault="00726F26" w:rsidP="005F2850">
      <w:pPr>
        <w:pStyle w:val="Heading1"/>
      </w:pPr>
      <w:bookmarkStart w:id="0" w:name="_Toc181271318"/>
      <w:r w:rsidRPr="005F2850">
        <w:lastRenderedPageBreak/>
        <w:t>Foreword</w:t>
      </w:r>
      <w:bookmarkEnd w:id="0"/>
    </w:p>
    <w:p w14:paraId="0CCA2367" w14:textId="16AF9529" w:rsidR="00726F26" w:rsidRPr="002F534C" w:rsidRDefault="00726F26" w:rsidP="00726F26">
      <w:r>
        <w:t>As the Inspector-General of Water Compliance, I am pleased to present the first Murray-Darling Basin Compliance Performance Report. This initiative provide</w:t>
      </w:r>
      <w:r w:rsidR="00D251E0">
        <w:t>s</w:t>
      </w:r>
      <w:r>
        <w:t xml:space="preserve"> valuable insights into the diverse approaches employed by Basin States</w:t>
      </w:r>
      <w:r>
        <w:rPr>
          <w:rStyle w:val="FootnoteReference"/>
        </w:rPr>
        <w:footnoteReference w:id="2"/>
      </w:r>
      <w:r>
        <w:t xml:space="preserve"> in managing water </w:t>
      </w:r>
      <w:r w:rsidR="00197633">
        <w:t xml:space="preserve">take </w:t>
      </w:r>
      <w:r>
        <w:t>compliance. It shed</w:t>
      </w:r>
      <w:r w:rsidR="002B795A">
        <w:t>s</w:t>
      </w:r>
      <w:r>
        <w:t xml:space="preserve"> light on the effectiveness of specific enforcement tools, the need for greater consistency </w:t>
      </w:r>
      <w:r w:rsidRPr="002F534C">
        <w:t xml:space="preserve">and transparency in reporting practices, and the importance of collaboration. </w:t>
      </w:r>
    </w:p>
    <w:p w14:paraId="51453129" w14:textId="68BC06F5" w:rsidR="00B74C3F" w:rsidRPr="002F534C" w:rsidRDefault="002F534C" w:rsidP="00726F26">
      <w:r>
        <w:t>T</w:t>
      </w:r>
      <w:r w:rsidR="00B74C3F">
        <w:t xml:space="preserve">his report complements other reporting </w:t>
      </w:r>
      <w:r w:rsidR="00F37623">
        <w:t xml:space="preserve">I undertake </w:t>
      </w:r>
      <w:r w:rsidR="00B74C3F">
        <w:t>such as reports provided on sustainable diversion limit and water resource plan compliance</w:t>
      </w:r>
      <w:r w:rsidR="00042754">
        <w:t xml:space="preserve">. </w:t>
      </w:r>
      <w:r w:rsidR="004D7B63">
        <w:t xml:space="preserve">The matters reported on in this document have been provided by Basin State water compliance regulators as part of collaborative efforts to shift towards a consistent, outcomes-based approach to reporting on water take compliance across the Basin. </w:t>
      </w:r>
      <w:r w:rsidR="00984097">
        <w:t xml:space="preserve">I </w:t>
      </w:r>
      <w:r w:rsidR="0023609B">
        <w:t xml:space="preserve">acknowledge </w:t>
      </w:r>
      <w:r w:rsidR="004D7B63">
        <w:t xml:space="preserve">and thank the regulators for </w:t>
      </w:r>
      <w:r w:rsidR="0023609B">
        <w:t xml:space="preserve">the good will </w:t>
      </w:r>
      <w:r w:rsidR="004D7B63">
        <w:t xml:space="preserve">and effort expended </w:t>
      </w:r>
      <w:r w:rsidR="0023609B">
        <w:t>by the Basin States</w:t>
      </w:r>
      <w:r w:rsidR="008A1B16">
        <w:t xml:space="preserve"> </w:t>
      </w:r>
      <w:r w:rsidR="004D7B63">
        <w:t>to date</w:t>
      </w:r>
      <w:r w:rsidR="008A1B16">
        <w:t>.</w:t>
      </w:r>
    </w:p>
    <w:p w14:paraId="41BCDDA4" w14:textId="2E02ADE4" w:rsidR="00726F26" w:rsidRDefault="00726F26" w:rsidP="00726F26">
      <w:r>
        <w:t xml:space="preserve">One of the most notable observations from this report is the impact of legislative differences on enforcement capabilities across the Basin. For example, South Australia’s ability to issue mandatory fines for unauthorised water take has proven to be a </w:t>
      </w:r>
      <w:r w:rsidR="00451D9D">
        <w:t xml:space="preserve">strong and efficient </w:t>
      </w:r>
      <w:r w:rsidR="001632C5">
        <w:t xml:space="preserve">enforcement tool. </w:t>
      </w:r>
      <w:r>
        <w:t xml:space="preserve">The high number of financial penalties issued by South Australia during 2022-23 underscores the potential for other Basin States to consider adopting similar legislative provisions to enhance their enforcement tools. By learning from each other’s successes and challenges, Basin States can work towards developing a more cohesive and effective compliance framework. </w:t>
      </w:r>
    </w:p>
    <w:p w14:paraId="058FB167" w14:textId="4ACE42F2" w:rsidR="00726F26" w:rsidRDefault="00726F26" w:rsidP="00726F26">
      <w:r>
        <w:t xml:space="preserve">While the variation in compliance and enforcement strategies across the Basin States can be attributed to the unique legislative frameworks and resource characteristics of each jurisdiction, I recognise the need for greater consistency and transparency in reporting practices. To address this issue, I am committed to working closely with the Basin States to develop more standardised reporting metrics and practices. By fostering greater collaboration and information sharing among the jurisdictions, we aim to create a more comprehensive and accurate picture of the state of </w:t>
      </w:r>
      <w:r w:rsidR="00276733">
        <w:t xml:space="preserve">water take </w:t>
      </w:r>
      <w:r>
        <w:t>compliance</w:t>
      </w:r>
      <w:r w:rsidR="002F1818">
        <w:t xml:space="preserve"> </w:t>
      </w:r>
      <w:r>
        <w:t xml:space="preserve">in the Basin. </w:t>
      </w:r>
    </w:p>
    <w:p w14:paraId="74956134" w14:textId="65EB08FD" w:rsidR="00726F26" w:rsidRDefault="00726F26" w:rsidP="00726F26">
      <w:r>
        <w:t xml:space="preserve">Moving forward, I will continue to monitor the </w:t>
      </w:r>
      <w:r w:rsidR="00097E09">
        <w:t xml:space="preserve">water take </w:t>
      </w:r>
      <w:r>
        <w:t xml:space="preserve">compliance performance of Basin States, focusing on identifying best practices and areas for improvement. Together with the Basin States, we will work towards expanding the scope of our reporting to include a wider range of compliance performance metrics, providing a more detailed and nuanced understanding of the effectiveness of compliance efforts. Additionally, we will place a strong emphasis on reporting outcomes, as this is a crucial component of the project that will help us assess the real-world impact of compliance efforts on water resource management and sustainability. </w:t>
      </w:r>
    </w:p>
    <w:p w14:paraId="21BF0F37" w14:textId="77777777" w:rsidR="00726F26" w:rsidRDefault="00726F26" w:rsidP="00726F26">
      <w:r>
        <w:t xml:space="preserve">I recognise that the success of the compliance performance reporting project depends on the trust and confidence of stakeholders and the public. To this end, we will work towards making our reporting more accessible, easily understood, and responsive to the needs and concerns of all parties involved. </w:t>
      </w:r>
    </w:p>
    <w:p w14:paraId="39B76641" w14:textId="1072F5AE" w:rsidR="00726F26" w:rsidRDefault="00726F26" w:rsidP="00726F26">
      <w:r>
        <w:t xml:space="preserve">In conclusion, the first year of compliance performance reporting has laid the groundwork for more robust and effective reporting </w:t>
      </w:r>
      <w:r w:rsidR="00DB3379">
        <w:t xml:space="preserve">of </w:t>
      </w:r>
      <w:r w:rsidR="004D025C">
        <w:t xml:space="preserve">water take </w:t>
      </w:r>
      <w:r>
        <w:t>on compliance and enforcement</w:t>
      </w:r>
      <w:r w:rsidR="00EB645A">
        <w:t xml:space="preserve"> </w:t>
      </w:r>
      <w:r>
        <w:t xml:space="preserve">in the Basin. As the Inspector-General, I am encouraged by the progress made thus far and remain committed to working with the Basin States to promote responsible water use and maintain the sustainability of this critical resource for generations to come. By expanding the scope of </w:t>
      </w:r>
      <w:r>
        <w:lastRenderedPageBreak/>
        <w:t xml:space="preserve">our reporting, focusing on outcomes, and increasing transparency, we will continue to drive positive change to ensure the long-term health and resilience of the Basin. </w:t>
      </w:r>
    </w:p>
    <w:p w14:paraId="4BDAAB12" w14:textId="77777777" w:rsidR="00726F26" w:rsidRDefault="00726F26" w:rsidP="00726F26">
      <w:r>
        <w:t xml:space="preserve">Yours sincerely, </w:t>
      </w:r>
    </w:p>
    <w:p w14:paraId="1EE1BB1E" w14:textId="77777777" w:rsidR="00726F26" w:rsidRDefault="00726F26" w:rsidP="00726F26">
      <w:r>
        <w:t>Hon. Troy Grant</w:t>
      </w:r>
    </w:p>
    <w:p w14:paraId="26CF4690" w14:textId="1F4EBF06" w:rsidR="00A5423C" w:rsidRDefault="00A5423C">
      <w:pPr>
        <w:spacing w:after="0"/>
      </w:pPr>
      <w:r>
        <w:br w:type="page"/>
      </w:r>
    </w:p>
    <w:p w14:paraId="2B030772" w14:textId="3E893E85" w:rsidR="00D41951" w:rsidRPr="00A5423C" w:rsidRDefault="00E26731" w:rsidP="00E26731">
      <w:pPr>
        <w:pStyle w:val="Heading1"/>
      </w:pPr>
      <w:bookmarkStart w:id="1" w:name="_Toc181271319"/>
      <w:r>
        <w:lastRenderedPageBreak/>
        <w:t xml:space="preserve">Table of </w:t>
      </w:r>
      <w:r w:rsidR="00A5423C">
        <w:t>Contents</w:t>
      </w:r>
      <w:bookmarkEnd w:id="1"/>
    </w:p>
    <w:p w14:paraId="452485CE" w14:textId="71429935" w:rsidR="00641533" w:rsidRDefault="00446F4D">
      <w:pPr>
        <w:pStyle w:val="TOC1"/>
        <w:rPr>
          <w:rFonts w:asciiTheme="minorHAnsi" w:eastAsiaTheme="minorEastAsia" w:hAnsiTheme="minorHAnsi" w:cstheme="minorBidi"/>
          <w:b w:val="0"/>
          <w:color w:val="auto"/>
          <w:kern w:val="2"/>
          <w:szCs w:val="24"/>
          <w:lang w:eastAsia="en-AU"/>
          <w14:ligatures w14:val="standardContextual"/>
        </w:rPr>
      </w:pPr>
      <w:r>
        <w:rPr>
          <w:rFonts w:ascii="Calibri"/>
          <w:sz w:val="20"/>
        </w:rPr>
        <w:fldChar w:fldCharType="begin"/>
      </w:r>
      <w:r>
        <w:rPr>
          <w:rFonts w:ascii="Calibri"/>
          <w:sz w:val="20"/>
        </w:rPr>
        <w:instrText xml:space="preserve"> TOC  \* MERGEFORMAT </w:instrText>
      </w:r>
      <w:r>
        <w:rPr>
          <w:rFonts w:ascii="Calibri"/>
          <w:sz w:val="20"/>
        </w:rPr>
        <w:fldChar w:fldCharType="separate"/>
      </w:r>
      <w:r w:rsidR="00641533">
        <w:t>Foreword</w:t>
      </w:r>
      <w:r w:rsidR="00641533">
        <w:tab/>
      </w:r>
      <w:r w:rsidR="00641533">
        <w:fldChar w:fldCharType="begin"/>
      </w:r>
      <w:r w:rsidR="00641533">
        <w:instrText xml:space="preserve"> PAGEREF _Toc181271318 \h </w:instrText>
      </w:r>
      <w:r w:rsidR="00641533">
        <w:fldChar w:fldCharType="separate"/>
      </w:r>
      <w:r w:rsidR="00641533">
        <w:t>3</w:t>
      </w:r>
      <w:r w:rsidR="00641533">
        <w:fldChar w:fldCharType="end"/>
      </w:r>
    </w:p>
    <w:p w14:paraId="252E0794" w14:textId="5A31B513" w:rsidR="00641533" w:rsidRDefault="00641533">
      <w:pPr>
        <w:pStyle w:val="TOC1"/>
        <w:rPr>
          <w:rFonts w:asciiTheme="minorHAnsi" w:eastAsiaTheme="minorEastAsia" w:hAnsiTheme="minorHAnsi" w:cstheme="minorBidi"/>
          <w:b w:val="0"/>
          <w:color w:val="auto"/>
          <w:kern w:val="2"/>
          <w:szCs w:val="24"/>
          <w:lang w:eastAsia="en-AU"/>
          <w14:ligatures w14:val="standardContextual"/>
        </w:rPr>
      </w:pPr>
      <w:r>
        <w:t>Table of Contents</w:t>
      </w:r>
      <w:r>
        <w:tab/>
      </w:r>
      <w:r>
        <w:fldChar w:fldCharType="begin"/>
      </w:r>
      <w:r>
        <w:instrText xml:space="preserve"> PAGEREF _Toc181271319 \h </w:instrText>
      </w:r>
      <w:r>
        <w:fldChar w:fldCharType="separate"/>
      </w:r>
      <w:r>
        <w:t>5</w:t>
      </w:r>
      <w:r>
        <w:fldChar w:fldCharType="end"/>
      </w:r>
    </w:p>
    <w:p w14:paraId="71E58723" w14:textId="1E38821A" w:rsidR="00641533" w:rsidRDefault="00641533">
      <w:pPr>
        <w:pStyle w:val="TOC1"/>
        <w:rPr>
          <w:rFonts w:asciiTheme="minorHAnsi" w:eastAsiaTheme="minorEastAsia" w:hAnsiTheme="minorHAnsi" w:cstheme="minorBidi"/>
          <w:b w:val="0"/>
          <w:color w:val="auto"/>
          <w:kern w:val="2"/>
          <w:szCs w:val="24"/>
          <w:lang w:eastAsia="en-AU"/>
          <w14:ligatures w14:val="standardContextual"/>
        </w:rPr>
      </w:pPr>
      <w:r>
        <w:t>Water compliance performance reporting</w:t>
      </w:r>
      <w:r>
        <w:tab/>
      </w:r>
      <w:r>
        <w:fldChar w:fldCharType="begin"/>
      </w:r>
      <w:r>
        <w:instrText xml:space="preserve"> PAGEREF _Toc181271320 \h </w:instrText>
      </w:r>
      <w:r>
        <w:fldChar w:fldCharType="separate"/>
      </w:r>
      <w:r>
        <w:t>6</w:t>
      </w:r>
      <w:r>
        <w:fldChar w:fldCharType="end"/>
      </w:r>
    </w:p>
    <w:p w14:paraId="0D7E49C5" w14:textId="7F3AFA5A" w:rsidR="00641533" w:rsidRDefault="00641533">
      <w:pPr>
        <w:pStyle w:val="TOC2"/>
        <w:rPr>
          <w:rFonts w:asciiTheme="minorHAnsi" w:eastAsiaTheme="minorEastAsia" w:hAnsiTheme="minorHAnsi" w:cstheme="minorBidi"/>
          <w:kern w:val="2"/>
          <w:sz w:val="24"/>
          <w:szCs w:val="24"/>
          <w:lang w:eastAsia="en-AU"/>
          <w14:ligatures w14:val="standardContextual"/>
        </w:rPr>
      </w:pPr>
      <w:r>
        <w:t>Basin-wide compliance performance reporting scheme</w:t>
      </w:r>
      <w:r>
        <w:tab/>
      </w:r>
      <w:r>
        <w:fldChar w:fldCharType="begin"/>
      </w:r>
      <w:r>
        <w:instrText xml:space="preserve"> PAGEREF _Toc181271321 \h </w:instrText>
      </w:r>
      <w:r>
        <w:fldChar w:fldCharType="separate"/>
      </w:r>
      <w:r>
        <w:t>7</w:t>
      </w:r>
      <w:r>
        <w:fldChar w:fldCharType="end"/>
      </w:r>
    </w:p>
    <w:p w14:paraId="40E0CE60" w14:textId="1A7996CA" w:rsidR="00641533" w:rsidRDefault="00641533">
      <w:pPr>
        <w:pStyle w:val="TOC1"/>
        <w:rPr>
          <w:rFonts w:asciiTheme="minorHAnsi" w:eastAsiaTheme="minorEastAsia" w:hAnsiTheme="minorHAnsi" w:cstheme="minorBidi"/>
          <w:b w:val="0"/>
          <w:color w:val="auto"/>
          <w:kern w:val="2"/>
          <w:szCs w:val="24"/>
          <w:lang w:eastAsia="en-AU"/>
          <w14:ligatures w14:val="standardContextual"/>
        </w:rPr>
      </w:pPr>
      <w:r>
        <w:t>Regulatory context 2022-23</w:t>
      </w:r>
      <w:r>
        <w:tab/>
      </w:r>
      <w:r>
        <w:fldChar w:fldCharType="begin"/>
      </w:r>
      <w:r>
        <w:instrText xml:space="preserve"> PAGEREF _Toc181271322 \h </w:instrText>
      </w:r>
      <w:r>
        <w:fldChar w:fldCharType="separate"/>
      </w:r>
      <w:r>
        <w:t>8</w:t>
      </w:r>
      <w:r>
        <w:fldChar w:fldCharType="end"/>
      </w:r>
    </w:p>
    <w:p w14:paraId="0B5A217A" w14:textId="7A0D6533" w:rsidR="00641533" w:rsidRDefault="00641533">
      <w:pPr>
        <w:pStyle w:val="TOC2"/>
        <w:rPr>
          <w:rFonts w:asciiTheme="minorHAnsi" w:eastAsiaTheme="minorEastAsia" w:hAnsiTheme="minorHAnsi" w:cstheme="minorBidi"/>
          <w:kern w:val="2"/>
          <w:sz w:val="24"/>
          <w:szCs w:val="24"/>
          <w:lang w:eastAsia="en-AU"/>
          <w14:ligatures w14:val="standardContextual"/>
        </w:rPr>
      </w:pPr>
      <w:r>
        <w:t>Water take compliance monitoring</w:t>
      </w:r>
      <w:r>
        <w:tab/>
      </w:r>
      <w:r>
        <w:fldChar w:fldCharType="begin"/>
      </w:r>
      <w:r>
        <w:instrText xml:space="preserve"> PAGEREF _Toc181271323 \h </w:instrText>
      </w:r>
      <w:r>
        <w:fldChar w:fldCharType="separate"/>
      </w:r>
      <w:r>
        <w:t>8</w:t>
      </w:r>
      <w:r>
        <w:fldChar w:fldCharType="end"/>
      </w:r>
    </w:p>
    <w:p w14:paraId="1BC30EAD" w14:textId="1AFD0E70" w:rsidR="00641533" w:rsidRDefault="00641533">
      <w:pPr>
        <w:pStyle w:val="TOC3"/>
        <w:rPr>
          <w:rFonts w:asciiTheme="minorHAnsi" w:eastAsiaTheme="minorEastAsia" w:hAnsiTheme="minorHAnsi" w:cstheme="minorBidi"/>
          <w:kern w:val="2"/>
          <w:sz w:val="24"/>
          <w:szCs w:val="24"/>
          <w:lang w:eastAsia="en-AU"/>
          <w14:ligatures w14:val="standardContextual"/>
        </w:rPr>
      </w:pPr>
      <w:r>
        <w:t>New South Wales</w:t>
      </w:r>
      <w:r>
        <w:tab/>
      </w:r>
      <w:r>
        <w:fldChar w:fldCharType="begin"/>
      </w:r>
      <w:r>
        <w:instrText xml:space="preserve"> PAGEREF _Toc181271324 \h </w:instrText>
      </w:r>
      <w:r>
        <w:fldChar w:fldCharType="separate"/>
      </w:r>
      <w:r>
        <w:t>9</w:t>
      </w:r>
      <w:r>
        <w:fldChar w:fldCharType="end"/>
      </w:r>
    </w:p>
    <w:p w14:paraId="2516D605" w14:textId="277EE35A" w:rsidR="00641533" w:rsidRDefault="00641533">
      <w:pPr>
        <w:pStyle w:val="TOC3"/>
        <w:rPr>
          <w:rFonts w:asciiTheme="minorHAnsi" w:eastAsiaTheme="minorEastAsia" w:hAnsiTheme="minorHAnsi" w:cstheme="minorBidi"/>
          <w:kern w:val="2"/>
          <w:sz w:val="24"/>
          <w:szCs w:val="24"/>
          <w:lang w:eastAsia="en-AU"/>
          <w14:ligatures w14:val="standardContextual"/>
        </w:rPr>
      </w:pPr>
      <w:r>
        <w:t>Queensland</w:t>
      </w:r>
      <w:r>
        <w:tab/>
      </w:r>
      <w:r>
        <w:fldChar w:fldCharType="begin"/>
      </w:r>
      <w:r>
        <w:instrText xml:space="preserve"> PAGEREF _Toc181271325 \h </w:instrText>
      </w:r>
      <w:r>
        <w:fldChar w:fldCharType="separate"/>
      </w:r>
      <w:r>
        <w:t>10</w:t>
      </w:r>
      <w:r>
        <w:fldChar w:fldCharType="end"/>
      </w:r>
    </w:p>
    <w:p w14:paraId="781D491E" w14:textId="3AB57C55" w:rsidR="00641533" w:rsidRDefault="00641533">
      <w:pPr>
        <w:pStyle w:val="TOC3"/>
        <w:rPr>
          <w:rFonts w:asciiTheme="minorHAnsi" w:eastAsiaTheme="minorEastAsia" w:hAnsiTheme="minorHAnsi" w:cstheme="minorBidi"/>
          <w:kern w:val="2"/>
          <w:sz w:val="24"/>
          <w:szCs w:val="24"/>
          <w:lang w:eastAsia="en-AU"/>
          <w14:ligatures w14:val="standardContextual"/>
        </w:rPr>
      </w:pPr>
      <w:r>
        <w:t>South Australia</w:t>
      </w:r>
      <w:r>
        <w:tab/>
      </w:r>
      <w:r>
        <w:fldChar w:fldCharType="begin"/>
      </w:r>
      <w:r>
        <w:instrText xml:space="preserve"> PAGEREF _Toc181271326 \h </w:instrText>
      </w:r>
      <w:r>
        <w:fldChar w:fldCharType="separate"/>
      </w:r>
      <w:r>
        <w:t>11</w:t>
      </w:r>
      <w:r>
        <w:fldChar w:fldCharType="end"/>
      </w:r>
    </w:p>
    <w:p w14:paraId="168AF2CC" w14:textId="11A31BBF" w:rsidR="00641533" w:rsidRDefault="00641533">
      <w:pPr>
        <w:pStyle w:val="TOC3"/>
        <w:rPr>
          <w:rFonts w:asciiTheme="minorHAnsi" w:eastAsiaTheme="minorEastAsia" w:hAnsiTheme="minorHAnsi" w:cstheme="minorBidi"/>
          <w:kern w:val="2"/>
          <w:sz w:val="24"/>
          <w:szCs w:val="24"/>
          <w:lang w:eastAsia="en-AU"/>
          <w14:ligatures w14:val="standardContextual"/>
        </w:rPr>
      </w:pPr>
      <w:r>
        <w:t>Victoria</w:t>
      </w:r>
      <w:r>
        <w:tab/>
      </w:r>
      <w:r>
        <w:fldChar w:fldCharType="begin"/>
      </w:r>
      <w:r>
        <w:instrText xml:space="preserve"> PAGEREF _Toc181271327 \h </w:instrText>
      </w:r>
      <w:r>
        <w:fldChar w:fldCharType="separate"/>
      </w:r>
      <w:r>
        <w:t>11</w:t>
      </w:r>
      <w:r>
        <w:fldChar w:fldCharType="end"/>
      </w:r>
    </w:p>
    <w:p w14:paraId="6B9128FD" w14:textId="18598563" w:rsidR="00641533" w:rsidRDefault="00641533">
      <w:pPr>
        <w:pStyle w:val="TOC3"/>
        <w:rPr>
          <w:rFonts w:asciiTheme="minorHAnsi" w:eastAsiaTheme="minorEastAsia" w:hAnsiTheme="minorHAnsi" w:cstheme="minorBidi"/>
          <w:kern w:val="2"/>
          <w:sz w:val="24"/>
          <w:szCs w:val="24"/>
          <w:lang w:eastAsia="en-AU"/>
          <w14:ligatures w14:val="standardContextual"/>
        </w:rPr>
      </w:pPr>
      <w:r>
        <w:t>Australian Capital Territory</w:t>
      </w:r>
      <w:r>
        <w:tab/>
      </w:r>
      <w:r>
        <w:fldChar w:fldCharType="begin"/>
      </w:r>
      <w:r>
        <w:instrText xml:space="preserve"> PAGEREF _Toc181271328 \h </w:instrText>
      </w:r>
      <w:r>
        <w:fldChar w:fldCharType="separate"/>
      </w:r>
      <w:r>
        <w:t>12</w:t>
      </w:r>
      <w:r>
        <w:fldChar w:fldCharType="end"/>
      </w:r>
    </w:p>
    <w:p w14:paraId="3ADE6A8C" w14:textId="3814B478" w:rsidR="00641533" w:rsidRDefault="00641533">
      <w:pPr>
        <w:pStyle w:val="TOC2"/>
        <w:rPr>
          <w:rFonts w:asciiTheme="minorHAnsi" w:eastAsiaTheme="minorEastAsia" w:hAnsiTheme="minorHAnsi" w:cstheme="minorBidi"/>
          <w:kern w:val="2"/>
          <w:sz w:val="24"/>
          <w:szCs w:val="24"/>
          <w:lang w:eastAsia="en-AU"/>
          <w14:ligatures w14:val="standardContextual"/>
        </w:rPr>
      </w:pPr>
      <w:r>
        <w:t>Number of licences</w:t>
      </w:r>
      <w:r>
        <w:tab/>
      </w:r>
      <w:r>
        <w:fldChar w:fldCharType="begin"/>
      </w:r>
      <w:r>
        <w:instrText xml:space="preserve"> PAGEREF _Toc181271329 \h </w:instrText>
      </w:r>
      <w:r>
        <w:fldChar w:fldCharType="separate"/>
      </w:r>
      <w:r>
        <w:t>13</w:t>
      </w:r>
      <w:r>
        <w:fldChar w:fldCharType="end"/>
      </w:r>
    </w:p>
    <w:p w14:paraId="01AA416C" w14:textId="11E8C43F" w:rsidR="00641533" w:rsidRDefault="00641533">
      <w:pPr>
        <w:pStyle w:val="TOC2"/>
        <w:rPr>
          <w:rFonts w:asciiTheme="minorHAnsi" w:eastAsiaTheme="minorEastAsia" w:hAnsiTheme="minorHAnsi" w:cstheme="minorBidi"/>
          <w:kern w:val="2"/>
          <w:sz w:val="24"/>
          <w:szCs w:val="24"/>
          <w:lang w:eastAsia="en-AU"/>
          <w14:ligatures w14:val="standardContextual"/>
        </w:rPr>
      </w:pPr>
      <w:r>
        <w:t>Number of statutory officers</w:t>
      </w:r>
      <w:r>
        <w:tab/>
      </w:r>
      <w:r>
        <w:fldChar w:fldCharType="begin"/>
      </w:r>
      <w:r>
        <w:instrText xml:space="preserve"> PAGEREF _Toc181271330 \h </w:instrText>
      </w:r>
      <w:r>
        <w:fldChar w:fldCharType="separate"/>
      </w:r>
      <w:r>
        <w:t>14</w:t>
      </w:r>
      <w:r>
        <w:fldChar w:fldCharType="end"/>
      </w:r>
    </w:p>
    <w:p w14:paraId="7B9C876D" w14:textId="1D901EF5" w:rsidR="00641533" w:rsidRDefault="00641533">
      <w:pPr>
        <w:pStyle w:val="TOC1"/>
        <w:rPr>
          <w:rFonts w:asciiTheme="minorHAnsi" w:eastAsiaTheme="minorEastAsia" w:hAnsiTheme="minorHAnsi" w:cstheme="minorBidi"/>
          <w:b w:val="0"/>
          <w:color w:val="auto"/>
          <w:kern w:val="2"/>
          <w:szCs w:val="24"/>
          <w:lang w:eastAsia="en-AU"/>
          <w14:ligatures w14:val="standardContextual"/>
        </w:rPr>
      </w:pPr>
      <w:r>
        <w:t>Activity Metrics 2022-23</w:t>
      </w:r>
      <w:r>
        <w:tab/>
      </w:r>
      <w:r>
        <w:fldChar w:fldCharType="begin"/>
      </w:r>
      <w:r>
        <w:instrText xml:space="preserve"> PAGEREF _Toc181271331 \h </w:instrText>
      </w:r>
      <w:r>
        <w:fldChar w:fldCharType="separate"/>
      </w:r>
      <w:r>
        <w:t>15</w:t>
      </w:r>
      <w:r>
        <w:fldChar w:fldCharType="end"/>
      </w:r>
    </w:p>
    <w:p w14:paraId="3F044D78" w14:textId="5D5DBFA3" w:rsidR="00641533" w:rsidRDefault="00641533">
      <w:pPr>
        <w:pStyle w:val="TOC2"/>
        <w:rPr>
          <w:rFonts w:asciiTheme="minorHAnsi" w:eastAsiaTheme="minorEastAsia" w:hAnsiTheme="minorHAnsi" w:cstheme="minorBidi"/>
          <w:kern w:val="2"/>
          <w:sz w:val="24"/>
          <w:szCs w:val="24"/>
          <w:lang w:eastAsia="en-AU"/>
          <w14:ligatures w14:val="standardContextual"/>
        </w:rPr>
      </w:pPr>
      <w:r>
        <w:t>Use of compliance powers</w:t>
      </w:r>
      <w:r>
        <w:tab/>
      </w:r>
      <w:r>
        <w:fldChar w:fldCharType="begin"/>
      </w:r>
      <w:r>
        <w:instrText xml:space="preserve"> PAGEREF _Toc181271332 \h </w:instrText>
      </w:r>
      <w:r>
        <w:fldChar w:fldCharType="separate"/>
      </w:r>
      <w:r>
        <w:t>15</w:t>
      </w:r>
      <w:r>
        <w:fldChar w:fldCharType="end"/>
      </w:r>
    </w:p>
    <w:p w14:paraId="231CD720" w14:textId="71EE4AD5" w:rsidR="00641533" w:rsidRDefault="00641533">
      <w:pPr>
        <w:pStyle w:val="TOC3"/>
        <w:rPr>
          <w:rFonts w:asciiTheme="minorHAnsi" w:eastAsiaTheme="minorEastAsia" w:hAnsiTheme="minorHAnsi" w:cstheme="minorBidi"/>
          <w:kern w:val="2"/>
          <w:sz w:val="24"/>
          <w:szCs w:val="24"/>
          <w:lang w:eastAsia="en-AU"/>
          <w14:ligatures w14:val="standardContextual"/>
        </w:rPr>
      </w:pPr>
      <w:r>
        <w:t>Investigations into suspected breaches</w:t>
      </w:r>
      <w:r>
        <w:tab/>
      </w:r>
      <w:r>
        <w:fldChar w:fldCharType="begin"/>
      </w:r>
      <w:r>
        <w:instrText xml:space="preserve"> PAGEREF _Toc181271333 \h </w:instrText>
      </w:r>
      <w:r>
        <w:fldChar w:fldCharType="separate"/>
      </w:r>
      <w:r>
        <w:t>15</w:t>
      </w:r>
      <w:r>
        <w:fldChar w:fldCharType="end"/>
      </w:r>
    </w:p>
    <w:p w14:paraId="2475BAFF" w14:textId="2231B8D5" w:rsidR="00641533" w:rsidRDefault="00641533">
      <w:pPr>
        <w:pStyle w:val="TOC3"/>
        <w:rPr>
          <w:rFonts w:asciiTheme="minorHAnsi" w:eastAsiaTheme="minorEastAsia" w:hAnsiTheme="minorHAnsi" w:cstheme="minorBidi"/>
          <w:kern w:val="2"/>
          <w:sz w:val="24"/>
          <w:szCs w:val="24"/>
          <w:lang w:eastAsia="en-AU"/>
          <w14:ligatures w14:val="standardContextual"/>
        </w:rPr>
      </w:pPr>
      <w:r>
        <w:t>Warnings</w:t>
      </w:r>
      <w:r>
        <w:tab/>
      </w:r>
      <w:r>
        <w:fldChar w:fldCharType="begin"/>
      </w:r>
      <w:r>
        <w:instrText xml:space="preserve"> PAGEREF _Toc181271334 \h </w:instrText>
      </w:r>
      <w:r>
        <w:fldChar w:fldCharType="separate"/>
      </w:r>
      <w:r>
        <w:t>16</w:t>
      </w:r>
      <w:r>
        <w:fldChar w:fldCharType="end"/>
      </w:r>
    </w:p>
    <w:p w14:paraId="53939058" w14:textId="47694EFB" w:rsidR="00641533" w:rsidRDefault="00641533">
      <w:pPr>
        <w:pStyle w:val="TOC3"/>
        <w:rPr>
          <w:rFonts w:asciiTheme="minorHAnsi" w:eastAsiaTheme="minorEastAsia" w:hAnsiTheme="minorHAnsi" w:cstheme="minorBidi"/>
          <w:kern w:val="2"/>
          <w:sz w:val="24"/>
          <w:szCs w:val="24"/>
          <w:lang w:eastAsia="en-AU"/>
          <w14:ligatures w14:val="standardContextual"/>
        </w:rPr>
      </w:pPr>
      <w:r>
        <w:t>Financial penalties (imposed by the regulator)</w:t>
      </w:r>
      <w:r>
        <w:tab/>
      </w:r>
      <w:r>
        <w:fldChar w:fldCharType="begin"/>
      </w:r>
      <w:r>
        <w:instrText xml:space="preserve"> PAGEREF _Toc181271335 \h </w:instrText>
      </w:r>
      <w:r>
        <w:fldChar w:fldCharType="separate"/>
      </w:r>
      <w:r>
        <w:t>17</w:t>
      </w:r>
      <w:r>
        <w:fldChar w:fldCharType="end"/>
      </w:r>
    </w:p>
    <w:p w14:paraId="5F15534A" w14:textId="7B320735" w:rsidR="00641533" w:rsidRDefault="00641533">
      <w:pPr>
        <w:pStyle w:val="TOC2"/>
        <w:rPr>
          <w:rFonts w:asciiTheme="minorHAnsi" w:eastAsiaTheme="minorEastAsia" w:hAnsiTheme="minorHAnsi" w:cstheme="minorBidi"/>
          <w:kern w:val="2"/>
          <w:sz w:val="24"/>
          <w:szCs w:val="24"/>
          <w:lang w:eastAsia="en-AU"/>
          <w14:ligatures w14:val="standardContextual"/>
        </w:rPr>
      </w:pPr>
      <w:r>
        <w:t>Financial penalties imposed by a court</w:t>
      </w:r>
      <w:r>
        <w:tab/>
      </w:r>
      <w:r>
        <w:fldChar w:fldCharType="begin"/>
      </w:r>
      <w:r>
        <w:instrText xml:space="preserve"> PAGEREF _Toc181271336 \h </w:instrText>
      </w:r>
      <w:r>
        <w:fldChar w:fldCharType="separate"/>
      </w:r>
      <w:r>
        <w:t>18</w:t>
      </w:r>
      <w:r>
        <w:fldChar w:fldCharType="end"/>
      </w:r>
    </w:p>
    <w:p w14:paraId="5029171F" w14:textId="39EC2F91" w:rsidR="00641533" w:rsidRDefault="00641533">
      <w:pPr>
        <w:pStyle w:val="TOC1"/>
        <w:rPr>
          <w:rFonts w:asciiTheme="minorHAnsi" w:eastAsiaTheme="minorEastAsia" w:hAnsiTheme="minorHAnsi" w:cstheme="minorBidi"/>
          <w:b w:val="0"/>
          <w:color w:val="auto"/>
          <w:kern w:val="2"/>
          <w:szCs w:val="24"/>
          <w:lang w:eastAsia="en-AU"/>
          <w14:ligatures w14:val="standardContextual"/>
        </w:rPr>
      </w:pPr>
      <w:r w:rsidRPr="00037DE3">
        <w:rPr>
          <w:bCs/>
        </w:rPr>
        <w:t>Appendix 1:</w:t>
      </w:r>
      <w:r>
        <w:t xml:space="preserve"> Vision for the Water Compliance Performance Reporting Framework</w:t>
      </w:r>
      <w:r>
        <w:tab/>
      </w:r>
      <w:r>
        <w:fldChar w:fldCharType="begin"/>
      </w:r>
      <w:r>
        <w:instrText xml:space="preserve"> PAGEREF _Toc181271337 \h </w:instrText>
      </w:r>
      <w:r>
        <w:fldChar w:fldCharType="separate"/>
      </w:r>
      <w:r>
        <w:t>20</w:t>
      </w:r>
      <w:r>
        <w:fldChar w:fldCharType="end"/>
      </w:r>
    </w:p>
    <w:p w14:paraId="378E4480" w14:textId="5368E6EA" w:rsidR="00F83EF4" w:rsidRDefault="00446F4D" w:rsidP="00D41951">
      <w:pPr>
        <w:pStyle w:val="BodyText"/>
        <w:spacing w:before="192"/>
        <w:rPr>
          <w:rFonts w:ascii="Calibri"/>
          <w:sz w:val="20"/>
        </w:rPr>
      </w:pPr>
      <w:r>
        <w:rPr>
          <w:rFonts w:ascii="Calibri"/>
          <w:sz w:val="20"/>
        </w:rPr>
        <w:fldChar w:fldCharType="end"/>
      </w:r>
    </w:p>
    <w:p w14:paraId="46321929" w14:textId="77777777" w:rsidR="005B6C9D" w:rsidRDefault="005B6C9D" w:rsidP="00D41951">
      <w:pPr>
        <w:pStyle w:val="BodyText"/>
        <w:spacing w:before="192"/>
        <w:rPr>
          <w:rFonts w:ascii="Calibri"/>
          <w:sz w:val="20"/>
        </w:rPr>
        <w:sectPr w:rsidR="005B6C9D" w:rsidSect="0040500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284" w:right="1134" w:bottom="816" w:left="1134" w:header="431" w:footer="999" w:gutter="0"/>
          <w:cols w:space="708"/>
          <w:titlePg/>
          <w:docGrid w:linePitch="360"/>
        </w:sectPr>
      </w:pPr>
    </w:p>
    <w:p w14:paraId="75E9D290" w14:textId="20C933C2" w:rsidR="00EA6AFC" w:rsidRDefault="00842235" w:rsidP="00A77B86">
      <w:pPr>
        <w:pStyle w:val="Heading1"/>
      </w:pPr>
      <w:bookmarkStart w:id="2" w:name="_Toc181271320"/>
      <w:r>
        <w:lastRenderedPageBreak/>
        <w:t>W</w:t>
      </w:r>
      <w:r w:rsidR="00CF15E2">
        <w:t xml:space="preserve">ater </w:t>
      </w:r>
      <w:r w:rsidR="00EA6AFC" w:rsidRPr="00565CBB">
        <w:t xml:space="preserve">compliance </w:t>
      </w:r>
      <w:r w:rsidR="00222DCF">
        <w:t xml:space="preserve">performance </w:t>
      </w:r>
      <w:r w:rsidR="00EA6AFC" w:rsidRPr="00565CBB">
        <w:t>reporting</w:t>
      </w:r>
      <w:bookmarkEnd w:id="2"/>
    </w:p>
    <w:p w14:paraId="356C22E0" w14:textId="046E7302" w:rsidR="00757A25" w:rsidRPr="00E25919" w:rsidRDefault="009B64E5" w:rsidP="009B64E5">
      <w:r w:rsidRPr="00E25919">
        <w:t xml:space="preserve">There has been strong community demand for clear and open reporting on </w:t>
      </w:r>
      <w:r w:rsidR="003A6454">
        <w:t xml:space="preserve">water take </w:t>
      </w:r>
      <w:r w:rsidRPr="00E25919">
        <w:t xml:space="preserve">compliance activities and outcomes </w:t>
      </w:r>
      <w:r w:rsidR="003A6454">
        <w:t xml:space="preserve">in </w:t>
      </w:r>
      <w:r w:rsidRPr="00E25919">
        <w:t>the Murray-Darling Basin</w:t>
      </w:r>
      <w:r w:rsidR="00D5621B">
        <w:t xml:space="preserve"> (the Basin)</w:t>
      </w:r>
      <w:r w:rsidRPr="00E25919">
        <w:t xml:space="preserve">. </w:t>
      </w:r>
    </w:p>
    <w:p w14:paraId="0B16A3D8" w14:textId="71E5B1A2" w:rsidR="00BF1BE1" w:rsidRDefault="009B64E5" w:rsidP="009B64E5">
      <w:r>
        <w:t xml:space="preserve">This became particularly evident </w:t>
      </w:r>
      <w:r w:rsidR="00CC712E">
        <w:t xml:space="preserve">through </w:t>
      </w:r>
      <w:r>
        <w:t xml:space="preserve">the Australian </w:t>
      </w:r>
      <w:r w:rsidRPr="00CF19E7">
        <w:t xml:space="preserve">Government’s </w:t>
      </w:r>
      <w:r w:rsidRPr="006515FE">
        <w:rPr>
          <w:i/>
        </w:rPr>
        <w:t>Murray-Darling Basin Water Compliance Review</w:t>
      </w:r>
      <w:r w:rsidRPr="00CF19E7">
        <w:t>,</w:t>
      </w:r>
      <w:r w:rsidR="009221AF">
        <w:rPr>
          <w:rStyle w:val="FootnoteReference"/>
        </w:rPr>
        <w:footnoteReference w:id="3"/>
      </w:r>
      <w:r w:rsidRPr="00CF19E7">
        <w:t xml:space="preserve"> prompted by the ‘Pumped’ episode of Four Corners</w:t>
      </w:r>
      <w:r>
        <w:t xml:space="preserve"> in </w:t>
      </w:r>
      <w:r w:rsidR="00CC712E">
        <w:t>2017</w:t>
      </w:r>
      <w:r>
        <w:t xml:space="preserve">. This review exposed the inadequacy of existing compliance reporting, describing it as “limited and difficult to </w:t>
      </w:r>
      <w:r w:rsidRPr="005F1E5D">
        <w:t>locate”</w:t>
      </w:r>
      <w:r w:rsidR="005F1E5D" w:rsidRPr="005F1E5D">
        <w:t>.</w:t>
      </w:r>
      <w:r w:rsidRPr="005F1E5D">
        <w:t xml:space="preserve"> The review also underscored the significance of accessible and comprehensive reporting, stating, “easy to locate and quality reporting is critical to the transparency of compliance frameworks and practices, and it underpins community confidence in the effectiveness of the compliance system”</w:t>
      </w:r>
      <w:r w:rsidR="005F1E5D" w:rsidRPr="005F1E5D">
        <w:t>.</w:t>
      </w:r>
      <w:r>
        <w:t xml:space="preserve"> </w:t>
      </w:r>
    </w:p>
    <w:p w14:paraId="0C11EB26" w14:textId="1BB59857" w:rsidR="006E315B" w:rsidRDefault="009B64E5" w:rsidP="009B64E5">
      <w:r>
        <w:t xml:space="preserve">Following this, all Basin governments signed the </w:t>
      </w:r>
      <w:r w:rsidR="00E24DFC" w:rsidRPr="006515FE">
        <w:rPr>
          <w:i/>
          <w:iCs/>
        </w:rPr>
        <w:t xml:space="preserve">Murray-Darling Basin </w:t>
      </w:r>
      <w:r w:rsidRPr="006515FE">
        <w:rPr>
          <w:i/>
        </w:rPr>
        <w:t>Compliance Compact</w:t>
      </w:r>
      <w:r w:rsidR="00E24DFC">
        <w:t xml:space="preserve"> (the Compliance Compact) in 2018. The Compliance Compact contains</w:t>
      </w:r>
      <w:r>
        <w:t xml:space="preserve"> a series of commitments designed to improve </w:t>
      </w:r>
      <w:r w:rsidR="00E24DFC">
        <w:t>Basin</w:t>
      </w:r>
      <w:r>
        <w:t>-wide compliance outcomes. One of these commitments was to enhance the level of public reporting on compliance and enforcement actions</w:t>
      </w:r>
      <w:r w:rsidR="00464CAB">
        <w:t xml:space="preserve">, a need that was </w:t>
      </w:r>
      <w:r w:rsidR="004144FB">
        <w:t xml:space="preserve">reiterated </w:t>
      </w:r>
      <w:r w:rsidR="00464CAB">
        <w:t xml:space="preserve">in the </w:t>
      </w:r>
      <w:r w:rsidR="005B49B0">
        <w:t xml:space="preserve">2021 </w:t>
      </w:r>
      <w:r w:rsidR="005B49B0">
        <w:rPr>
          <w:i/>
          <w:iCs/>
        </w:rPr>
        <w:t>Compliance Compact Review</w:t>
      </w:r>
      <w:r>
        <w:t>.</w:t>
      </w:r>
      <w:r w:rsidR="005B49B0">
        <w:rPr>
          <w:rStyle w:val="FootnoteReference"/>
        </w:rPr>
        <w:footnoteReference w:id="4"/>
      </w:r>
      <w:r>
        <w:t xml:space="preserve"> </w:t>
      </w:r>
    </w:p>
    <w:p w14:paraId="6C015ED0" w14:textId="0032B915" w:rsidR="006E315B" w:rsidRDefault="009B64E5" w:rsidP="009B64E5">
      <w:r>
        <w:t xml:space="preserve">The importance of transparency was further confirmed in a 2022 review </w:t>
      </w:r>
      <w:r w:rsidR="008644A8">
        <w:t xml:space="preserve">for </w:t>
      </w:r>
      <w:r>
        <w:t>the Inspector</w:t>
      </w:r>
      <w:r w:rsidR="006E315B">
        <w:t>-</w:t>
      </w:r>
      <w:r>
        <w:t xml:space="preserve">General of Water Compliance, </w:t>
      </w:r>
      <w:r w:rsidR="007930B0">
        <w:t xml:space="preserve">the </w:t>
      </w:r>
      <w:r w:rsidR="007930B0" w:rsidRPr="006515FE">
        <w:rPr>
          <w:i/>
          <w:iCs/>
        </w:rPr>
        <w:t>Compliance and enforcement across the Murray-Darling Basin Review</w:t>
      </w:r>
      <w:r w:rsidR="007930B0">
        <w:t>.</w:t>
      </w:r>
      <w:r w:rsidR="007930B0">
        <w:rPr>
          <w:rStyle w:val="FootnoteReference"/>
        </w:rPr>
        <w:footnoteReference w:id="5"/>
      </w:r>
      <w:r w:rsidR="007930B0">
        <w:t xml:space="preserve"> </w:t>
      </w:r>
      <w:r w:rsidR="009E5A99">
        <w:t xml:space="preserve">This review </w:t>
      </w:r>
      <w:r>
        <w:t xml:space="preserve">examined the various compliance and enforcement frameworks across the Basin. This review advocated for consistent public reporting throughout the Basin to transparently showcase the results of compliance efforts. </w:t>
      </w:r>
    </w:p>
    <w:p w14:paraId="03FEA861" w14:textId="1F3BDD8A" w:rsidR="00E71CD4" w:rsidRPr="003E1F26" w:rsidRDefault="00E71CD4" w:rsidP="00E71CD4">
      <w:r w:rsidRPr="008242AF">
        <w:t xml:space="preserve">Recent survey work conducted by the Inspector-General has </w:t>
      </w:r>
      <w:r w:rsidR="004D7B63">
        <w:t xml:space="preserve">also </w:t>
      </w:r>
      <w:r w:rsidRPr="008242AF">
        <w:t>revealed several noteworthy findings regarding water compliance within the Basin community.</w:t>
      </w:r>
      <w:r w:rsidRPr="008242AF">
        <w:rPr>
          <w:rStyle w:val="FootnoteReference"/>
        </w:rPr>
        <w:footnoteReference w:id="6"/>
      </w:r>
      <w:r w:rsidRPr="003E1F26">
        <w:t xml:space="preserve"> There was strong support among both community member and water licence holder participants for the enforcement of rules and regulations – with the view that this was important for the health of the Basin. Despite this, </w:t>
      </w:r>
      <w:r w:rsidR="004D7B63">
        <w:t xml:space="preserve">the surveys show </w:t>
      </w:r>
      <w:r w:rsidRPr="003E1F26">
        <w:t xml:space="preserve">a notable gap in detailed knowledge about specific compliance processes and the current effectiveness of enforcement, pointing towards a need for better communication and education about these critical issues. </w:t>
      </w:r>
    </w:p>
    <w:p w14:paraId="751CF70E" w14:textId="64B92584" w:rsidR="006E315B" w:rsidRDefault="0007210F" w:rsidP="009376D5">
      <w:r>
        <w:t>T</w:t>
      </w:r>
      <w:r w:rsidR="009B64E5">
        <w:t xml:space="preserve">he Inspector-General, in collaboration with all Basin State regulatory agencies through the Regulatory Leaders’ Forum, has progressed a project to develop and implement improved and consistent </w:t>
      </w:r>
      <w:r w:rsidR="008B78A9">
        <w:t>Basin</w:t>
      </w:r>
      <w:r w:rsidR="009B64E5">
        <w:t xml:space="preserve">-wide public reporting on water </w:t>
      </w:r>
      <w:r w:rsidR="00757108">
        <w:t xml:space="preserve">take </w:t>
      </w:r>
      <w:r w:rsidR="009B64E5">
        <w:t xml:space="preserve">compliance performance. </w:t>
      </w:r>
      <w:r w:rsidR="00F66E7C">
        <w:t xml:space="preserve">This report </w:t>
      </w:r>
      <w:r w:rsidR="00DB1E82">
        <w:t xml:space="preserve">consolidates </w:t>
      </w:r>
      <w:r w:rsidR="00F66E7C">
        <w:t xml:space="preserve">data </w:t>
      </w:r>
      <w:r w:rsidR="004D7B63">
        <w:t xml:space="preserve">voluntarily </w:t>
      </w:r>
      <w:r w:rsidR="00F66E7C">
        <w:t>provided by Basin State regulatory agencies</w:t>
      </w:r>
      <w:r w:rsidR="009376D5">
        <w:t xml:space="preserve"> and is intended </w:t>
      </w:r>
      <w:r w:rsidR="007512A6">
        <w:t xml:space="preserve">to improve the transparency and understanding of </w:t>
      </w:r>
      <w:r w:rsidR="00F8593B">
        <w:t>compliance activities for water take across the Basin and support continuous improvement.</w:t>
      </w:r>
    </w:p>
    <w:p w14:paraId="1ED14D57" w14:textId="1EB27AEE" w:rsidR="00EA3A1D" w:rsidRDefault="00EA3A1D" w:rsidP="00EA3A1D">
      <w:r>
        <w:t xml:space="preserve">By reporting on metrics across Basin </w:t>
      </w:r>
      <w:r w:rsidR="00F720CF">
        <w:t>S</w:t>
      </w:r>
      <w:r>
        <w:t xml:space="preserve">tates that link to compliance outcomes, this reporting </w:t>
      </w:r>
      <w:r w:rsidR="00F822C1">
        <w:t xml:space="preserve">allows </w:t>
      </w:r>
      <w:r>
        <w:t xml:space="preserve">stakeholders and the public </w:t>
      </w:r>
      <w:r w:rsidR="00F822C1">
        <w:t xml:space="preserve">gain </w:t>
      </w:r>
      <w:r>
        <w:t xml:space="preserve">a better understanding of the effectiveness of the Basin States’ regulatory efforts. This approach </w:t>
      </w:r>
      <w:r w:rsidR="002B3E77">
        <w:t>demonstrate</w:t>
      </w:r>
      <w:r w:rsidR="0083174F">
        <w:t>s</w:t>
      </w:r>
      <w:r w:rsidR="002B3E77">
        <w:t xml:space="preserve"> </w:t>
      </w:r>
      <w:r>
        <w:t>how regulators are using different tools specific to their jurisdictions, and</w:t>
      </w:r>
      <w:r w:rsidR="00504B6B">
        <w:t xml:space="preserve"> </w:t>
      </w:r>
      <w:r>
        <w:t xml:space="preserve">adapting their strategies to achieve better compliance outcomes, </w:t>
      </w:r>
      <w:r w:rsidR="00FA4EC7">
        <w:t xml:space="preserve">which contribute to </w:t>
      </w:r>
      <w:r>
        <w:t xml:space="preserve">improved water resource sustainability and greater public trust in the management of the Basin’s water resources. </w:t>
      </w:r>
    </w:p>
    <w:p w14:paraId="5E90C31E" w14:textId="7C7C8EF2" w:rsidR="00EA3A1D" w:rsidRDefault="00EA3A1D" w:rsidP="00EA3A1D">
      <w:r>
        <w:lastRenderedPageBreak/>
        <w:t xml:space="preserve">This compliance performance report provides a </w:t>
      </w:r>
      <w:r w:rsidR="00590953">
        <w:t xml:space="preserve">sample </w:t>
      </w:r>
      <w:r>
        <w:t xml:space="preserve">of common compliance activities metrics for each Basin State which will be incorporated into </w:t>
      </w:r>
      <w:r w:rsidR="00A24320">
        <w:t xml:space="preserve">progressively </w:t>
      </w:r>
      <w:r>
        <w:t xml:space="preserve">broader reporting </w:t>
      </w:r>
      <w:r w:rsidR="00A24320">
        <w:t xml:space="preserve">under a </w:t>
      </w:r>
      <w:r w:rsidR="00F762F8">
        <w:t>Basin-wide compliance performance reporting scheme</w:t>
      </w:r>
      <w:r>
        <w:t xml:space="preserve">. It is </w:t>
      </w:r>
      <w:r w:rsidR="004D7B63">
        <w:t xml:space="preserve">also </w:t>
      </w:r>
      <w:r>
        <w:t>anticipated that future reporting on compliance activities will be at the water resource plan level.</w:t>
      </w:r>
    </w:p>
    <w:p w14:paraId="12624968" w14:textId="5B997562" w:rsidR="00FF2780" w:rsidRDefault="00DF3441" w:rsidP="003B4F94">
      <w:pPr>
        <w:pStyle w:val="Heading2"/>
      </w:pPr>
      <w:bookmarkStart w:id="3" w:name="_Toc181271321"/>
      <w:r w:rsidRPr="00DF3441">
        <w:t>Basin-wide compliance performance reporting scheme</w:t>
      </w:r>
      <w:bookmarkEnd w:id="3"/>
    </w:p>
    <w:p w14:paraId="49CAC000" w14:textId="021CDE48" w:rsidR="00D12318" w:rsidRPr="00B757C7" w:rsidRDefault="00D12318" w:rsidP="00D12318">
      <w:pPr>
        <w:rPr>
          <w:szCs w:val="20"/>
        </w:rPr>
      </w:pPr>
      <w:r>
        <w:rPr>
          <w:szCs w:val="20"/>
          <w:lang w:val="en-US"/>
        </w:rPr>
        <w:t xml:space="preserve">A water compliance regulator performance and outcomes reporting scheme is being developed in collaboration between the Inspector-General and </w:t>
      </w:r>
      <w:r w:rsidRPr="00B757C7">
        <w:rPr>
          <w:szCs w:val="20"/>
        </w:rPr>
        <w:t>Basin State compliance regulators, through the Regulatory Leaders Forum</w:t>
      </w:r>
      <w:r w:rsidR="00D07156">
        <w:rPr>
          <w:szCs w:val="20"/>
        </w:rPr>
        <w:t xml:space="preserve"> (refer to Appendix </w:t>
      </w:r>
      <w:r w:rsidR="005740D2">
        <w:rPr>
          <w:szCs w:val="20"/>
        </w:rPr>
        <w:t>1)</w:t>
      </w:r>
      <w:r w:rsidRPr="00B757C7">
        <w:rPr>
          <w:szCs w:val="20"/>
        </w:rPr>
        <w:t>.</w:t>
      </w:r>
      <w:r>
        <w:rPr>
          <w:szCs w:val="20"/>
        </w:rPr>
        <w:t xml:space="preserve"> </w:t>
      </w:r>
      <w:r w:rsidRPr="00D230D5">
        <w:rPr>
          <w:szCs w:val="20"/>
        </w:rPr>
        <w:t>The scheme will support systematic and objective reporting on matters that demonstrate how water compliance regulators contribute to achieving legislative and policy objectives of relevant governments</w:t>
      </w:r>
      <w:r>
        <w:rPr>
          <w:szCs w:val="20"/>
        </w:rPr>
        <w:t xml:space="preserve"> (see Figure </w:t>
      </w:r>
      <w:r w:rsidR="007752FA">
        <w:rPr>
          <w:szCs w:val="20"/>
        </w:rPr>
        <w:t>1</w:t>
      </w:r>
      <w:r>
        <w:rPr>
          <w:szCs w:val="20"/>
        </w:rPr>
        <w:t>)</w:t>
      </w:r>
      <w:r w:rsidRPr="00B757C7">
        <w:rPr>
          <w:szCs w:val="20"/>
        </w:rPr>
        <w:t>.</w:t>
      </w:r>
      <w:r w:rsidRPr="00B757C7" w:rsidDel="005E4EC8">
        <w:rPr>
          <w:szCs w:val="20"/>
        </w:rPr>
        <w:t xml:space="preserve"> </w:t>
      </w:r>
    </w:p>
    <w:p w14:paraId="02349965" w14:textId="77777777" w:rsidR="00D12318" w:rsidRPr="00B757C7" w:rsidRDefault="00D12318" w:rsidP="00D12318">
      <w:pPr>
        <w:rPr>
          <w:szCs w:val="20"/>
        </w:rPr>
      </w:pPr>
      <w:r w:rsidRPr="00B757C7">
        <w:rPr>
          <w:szCs w:val="20"/>
        </w:rPr>
        <w:t>The scheme will also be informed by further work for the Inspector-General relating to public perceptions of water compliance in the Basin. This aim</w:t>
      </w:r>
      <w:r>
        <w:rPr>
          <w:szCs w:val="20"/>
        </w:rPr>
        <w:t>s</w:t>
      </w:r>
      <w:r w:rsidRPr="00B757C7">
        <w:rPr>
          <w:szCs w:val="20"/>
        </w:rPr>
        <w:t xml:space="preserve"> to </w:t>
      </w:r>
      <w:r>
        <w:rPr>
          <w:szCs w:val="20"/>
        </w:rPr>
        <w:t xml:space="preserve">provide an indication of </w:t>
      </w:r>
      <w:r w:rsidRPr="00B757C7">
        <w:rPr>
          <w:szCs w:val="20"/>
        </w:rPr>
        <w:t xml:space="preserve">water users’ understanding of their compliance obligations, their perception of their regulator’s role and approach, and their awareness of potential penalties. </w:t>
      </w:r>
    </w:p>
    <w:p w14:paraId="36ED5F8E" w14:textId="475EAF25" w:rsidR="00D12318" w:rsidRDefault="00D12318" w:rsidP="0046075C">
      <w:pPr>
        <w:pStyle w:val="FigureHeading"/>
      </w:pPr>
      <w:r>
        <w:t xml:space="preserve">Figure </w:t>
      </w:r>
      <w:r w:rsidR="003B7501">
        <w:t>1</w:t>
      </w:r>
      <w:r>
        <w:t>: Regulator performance indicators</w:t>
      </w:r>
    </w:p>
    <w:p w14:paraId="5E7900A5" w14:textId="77777777" w:rsidR="001E1991" w:rsidRDefault="00D12318" w:rsidP="00D12318">
      <w:pPr>
        <w:rPr>
          <w:szCs w:val="20"/>
          <w:lang w:val="en-US"/>
        </w:rPr>
      </w:pPr>
      <w:r w:rsidRPr="009A0E26">
        <w:rPr>
          <w:noProof/>
          <w:szCs w:val="20"/>
        </w:rPr>
        <w:drawing>
          <wp:inline distT="0" distB="0" distL="0" distR="0" wp14:anchorId="72AF6B90" wp14:editId="1C55DA42">
            <wp:extent cx="5731510" cy="4205605"/>
            <wp:effectExtent l="0" t="0" r="2540" b="4445"/>
            <wp:docPr id="1595175851" name="Picture 2" descr="A diagram of a workflow showing that foundational matters leads to activities and outputs which leads to short-term outcomes which leads to long-term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75851" name="Picture 2" descr="A diagram of a workflow showing that foundational matters leads to activities and outputs which leads to short-term outcomes which leads to long-term outcom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4205605"/>
                    </a:xfrm>
                    <a:prstGeom prst="rect">
                      <a:avLst/>
                    </a:prstGeom>
                    <a:noFill/>
                    <a:ln>
                      <a:noFill/>
                    </a:ln>
                  </pic:spPr>
                </pic:pic>
              </a:graphicData>
            </a:graphic>
          </wp:inline>
        </w:drawing>
      </w:r>
    </w:p>
    <w:p w14:paraId="4138D44F" w14:textId="77777777" w:rsidR="00D12318" w:rsidRPr="00B757C7" w:rsidRDefault="00D12318" w:rsidP="00D12318">
      <w:pPr>
        <w:rPr>
          <w:szCs w:val="20"/>
        </w:rPr>
      </w:pPr>
      <w:r>
        <w:rPr>
          <w:szCs w:val="20"/>
          <w:lang w:val="en-US"/>
        </w:rPr>
        <w:t>In practical terms, it is the regulator’s activities and outputs that result in the outcomes (short and long-term) expected through the performance of their functions. T</w:t>
      </w:r>
      <w:r w:rsidRPr="00B757C7">
        <w:rPr>
          <w:szCs w:val="20"/>
        </w:rPr>
        <w:t>his report focuses on</w:t>
      </w:r>
      <w:r>
        <w:rPr>
          <w:szCs w:val="20"/>
        </w:rPr>
        <w:t xml:space="preserve"> a sample of</w:t>
      </w:r>
      <w:r w:rsidRPr="00B757C7">
        <w:rPr>
          <w:szCs w:val="20"/>
        </w:rPr>
        <w:t xml:space="preserve"> activities and outputs of compliance regulators, which demonstrate the comparative efforts of those regulators in managing risks around non-compliance with water extraction laws.</w:t>
      </w:r>
    </w:p>
    <w:p w14:paraId="3C35B00B" w14:textId="77777777" w:rsidR="00D12318" w:rsidRPr="00B757C7" w:rsidRDefault="00D12318" w:rsidP="00D12318">
      <w:pPr>
        <w:rPr>
          <w:szCs w:val="20"/>
          <w:lang w:val="en-US"/>
        </w:rPr>
      </w:pPr>
      <w:r w:rsidRPr="00B757C7">
        <w:rPr>
          <w:szCs w:val="20"/>
        </w:rPr>
        <w:t xml:space="preserve">Future reports will cover information Basin State compliance regulators provide to demonstrate outcomes from water take compliance in their jurisdictions, which will be consolidated by the Inspector-General. The Inspector-General will publish this consolidated information, as part of continuing to build water take compliance performance reporting across the Basin. </w:t>
      </w:r>
    </w:p>
    <w:p w14:paraId="075F8277" w14:textId="43915E68" w:rsidR="00733CDD" w:rsidRPr="00156928" w:rsidRDefault="00733CDD" w:rsidP="00A77B86">
      <w:pPr>
        <w:pStyle w:val="Heading1"/>
      </w:pPr>
      <w:bookmarkStart w:id="4" w:name="_Toc181271322"/>
      <w:r w:rsidRPr="00733CDD">
        <w:lastRenderedPageBreak/>
        <w:t>Regulat</w:t>
      </w:r>
      <w:r w:rsidR="00BF5000" w:rsidRPr="00156928">
        <w:t xml:space="preserve">ory </w:t>
      </w:r>
      <w:r w:rsidR="00A57F98" w:rsidRPr="00156928">
        <w:t>c</w:t>
      </w:r>
      <w:r w:rsidR="00BF5000" w:rsidRPr="00156928">
        <w:t>o</w:t>
      </w:r>
      <w:r w:rsidR="000B613A" w:rsidRPr="00156928">
        <w:t>ntext</w:t>
      </w:r>
      <w:r w:rsidR="008409C7">
        <w:t xml:space="preserve"> 2022-23</w:t>
      </w:r>
      <w:bookmarkEnd w:id="4"/>
    </w:p>
    <w:p w14:paraId="69E50AD1" w14:textId="2B3126B3" w:rsidR="00BB27EF" w:rsidRDefault="00E919D7" w:rsidP="009B64E5">
      <w:r>
        <w:t xml:space="preserve">The </w:t>
      </w:r>
      <w:r w:rsidRPr="00B12830">
        <w:rPr>
          <w:i/>
          <w:iCs/>
        </w:rPr>
        <w:t>Water Act 2007</w:t>
      </w:r>
      <w:r>
        <w:t xml:space="preserve"> (Cth) and the </w:t>
      </w:r>
      <w:r w:rsidRPr="00546E3C">
        <w:rPr>
          <w:i/>
          <w:iCs/>
        </w:rPr>
        <w:t>Basin Plan 2012</w:t>
      </w:r>
      <w:r>
        <w:t xml:space="preserve"> </w:t>
      </w:r>
      <w:r w:rsidR="0014717D">
        <w:t xml:space="preserve">(Cth) </w:t>
      </w:r>
      <w:r w:rsidR="000C1C79">
        <w:t xml:space="preserve">(the Basin Plan) </w:t>
      </w:r>
      <w:r w:rsidR="00AA1649">
        <w:t xml:space="preserve">is </w:t>
      </w:r>
      <w:r>
        <w:t xml:space="preserve">a national regulatory framework that enables </w:t>
      </w:r>
      <w:r w:rsidR="003247C1">
        <w:t xml:space="preserve">integrated management of Basin water resources in the national interest by </w:t>
      </w:r>
      <w:r>
        <w:t>the Australian and Basin State governments.</w:t>
      </w:r>
      <w:r w:rsidR="002B37EA">
        <w:t xml:space="preserve"> </w:t>
      </w:r>
      <w:r w:rsidR="003B549C">
        <w:t xml:space="preserve">The </w:t>
      </w:r>
      <w:r w:rsidR="005D4425">
        <w:t xml:space="preserve">implementation of the </w:t>
      </w:r>
      <w:r w:rsidR="003B549C">
        <w:t xml:space="preserve">Basin Plan </w:t>
      </w:r>
      <w:r w:rsidR="005D4425">
        <w:t xml:space="preserve">is </w:t>
      </w:r>
      <w:r w:rsidR="008C2731">
        <w:t xml:space="preserve">through </w:t>
      </w:r>
      <w:r w:rsidR="00F67A4E">
        <w:t xml:space="preserve">water resource plans, prepared by Basin States. Water resource plans are implemented through </w:t>
      </w:r>
      <w:r w:rsidR="008C2731">
        <w:t xml:space="preserve">Basin State water laws, which are the </w:t>
      </w:r>
      <w:r w:rsidR="006B5335">
        <w:t>princip</w:t>
      </w:r>
      <w:r w:rsidR="001B782E">
        <w:t>a</w:t>
      </w:r>
      <w:r w:rsidR="006B5335">
        <w:t>l laws applying in the regulation of water take by individuals.</w:t>
      </w:r>
      <w:r w:rsidR="00BD7566">
        <w:rPr>
          <w:rStyle w:val="FootnoteReference"/>
        </w:rPr>
        <w:footnoteReference w:id="7"/>
      </w:r>
      <w:r w:rsidR="006B5335">
        <w:t xml:space="preserve"> </w:t>
      </w:r>
      <w:r w:rsidR="00590360">
        <w:t>As such, the effectiveness of Commonwealth water laws</w:t>
      </w:r>
      <w:r w:rsidR="00A5516F">
        <w:t xml:space="preserve"> in the collective </w:t>
      </w:r>
      <w:r w:rsidR="006139F6">
        <w:t>management of Basin water resources depends on compliance with Basin State water extraction laws.</w:t>
      </w:r>
    </w:p>
    <w:p w14:paraId="66F32EF0" w14:textId="44552045" w:rsidR="00A613C6" w:rsidRPr="00A952A9" w:rsidRDefault="00BD33D6" w:rsidP="0062167C">
      <w:r>
        <w:t>Table 1</w:t>
      </w:r>
      <w:r w:rsidR="005F25C6" w:rsidRPr="00A952A9">
        <w:t xml:space="preserve"> </w:t>
      </w:r>
      <w:r w:rsidR="00724350" w:rsidRPr="00A952A9">
        <w:t>shows the proportion of water take</w:t>
      </w:r>
      <w:r w:rsidR="00BB08BA" w:rsidRPr="00A952A9">
        <w:t>n</w:t>
      </w:r>
      <w:r w:rsidR="00724350" w:rsidRPr="00A952A9">
        <w:t xml:space="preserve"> </w:t>
      </w:r>
      <w:r w:rsidR="00F67A4E" w:rsidRPr="00A952A9">
        <w:t xml:space="preserve">in </w:t>
      </w:r>
      <w:r w:rsidR="00724350" w:rsidRPr="00A952A9">
        <w:t>each Basin State</w:t>
      </w:r>
      <w:r w:rsidR="00F302A6" w:rsidRPr="00A952A9">
        <w:t xml:space="preserve"> for </w:t>
      </w:r>
      <w:r w:rsidR="00B52F68" w:rsidRPr="00A952A9">
        <w:t xml:space="preserve">the 2022-23 </w:t>
      </w:r>
      <w:r w:rsidR="009A3677" w:rsidRPr="00A952A9">
        <w:t>water accounting period</w:t>
      </w:r>
      <w:r w:rsidR="00F67A4E" w:rsidRPr="00A952A9">
        <w:t xml:space="preserve">. These proportions show the relative contribution of each Basin State to the management of Basin water resources as a </w:t>
      </w:r>
      <w:proofErr w:type="gramStart"/>
      <w:r w:rsidR="00F67A4E" w:rsidRPr="00A952A9">
        <w:t>whole,</w:t>
      </w:r>
      <w:r w:rsidR="00DE4D8A" w:rsidRPr="00A952A9">
        <w:t xml:space="preserve"> and</w:t>
      </w:r>
      <w:proofErr w:type="gramEnd"/>
      <w:r w:rsidR="00DE4D8A" w:rsidRPr="00A952A9">
        <w:t xml:space="preserve"> provides context </w:t>
      </w:r>
      <w:r w:rsidR="00F67A4E" w:rsidRPr="00A952A9">
        <w:t xml:space="preserve">around </w:t>
      </w:r>
      <w:r w:rsidR="00032673">
        <w:t xml:space="preserve">the </w:t>
      </w:r>
      <w:r w:rsidR="00F67A4E" w:rsidRPr="00A952A9">
        <w:t xml:space="preserve">relative scale of risks being managed through ensuring </w:t>
      </w:r>
      <w:r w:rsidR="0013587C" w:rsidRPr="00A952A9">
        <w:t xml:space="preserve">compliance </w:t>
      </w:r>
      <w:r w:rsidR="00F67A4E" w:rsidRPr="00A952A9">
        <w:t xml:space="preserve">with </w:t>
      </w:r>
      <w:r w:rsidR="0013587C" w:rsidRPr="00A952A9">
        <w:t>water take laws</w:t>
      </w:r>
      <w:r w:rsidR="00C65001" w:rsidRPr="00A952A9">
        <w:t xml:space="preserve"> in each jurisdiction.</w:t>
      </w:r>
    </w:p>
    <w:p w14:paraId="6B779455" w14:textId="188D6C07" w:rsidR="00403A49" w:rsidRPr="00800D56" w:rsidRDefault="00403A49" w:rsidP="00403A49">
      <w:pPr>
        <w:pStyle w:val="TableHeading"/>
        <w:keepNext/>
      </w:pPr>
      <w:r>
        <w:t>Table 1</w:t>
      </w:r>
      <w:r w:rsidRPr="00800D56">
        <w:t xml:space="preserve">: </w:t>
      </w:r>
      <w:r w:rsidR="00835477">
        <w:t>Proportion of w</w:t>
      </w:r>
      <w:r w:rsidR="00835477" w:rsidRPr="00DE61C2">
        <w:t xml:space="preserve">ater </w:t>
      </w:r>
      <w:r w:rsidR="00835477">
        <w:t>t</w:t>
      </w:r>
      <w:r w:rsidR="00835477" w:rsidRPr="00DE61C2">
        <w:t>ak</w:t>
      </w:r>
      <w:r w:rsidR="00835477">
        <w:t xml:space="preserve">e </w:t>
      </w:r>
      <w:r w:rsidR="00835477" w:rsidRPr="43184C62">
        <w:t>by Basin State</w:t>
      </w:r>
    </w:p>
    <w:tbl>
      <w:tblPr>
        <w:tblStyle w:val="TableGridLight"/>
        <w:tblW w:w="0" w:type="auto"/>
        <w:tblLook w:val="04A0" w:firstRow="1" w:lastRow="0" w:firstColumn="1" w:lastColumn="0" w:noHBand="0" w:noVBand="1"/>
      </w:tblPr>
      <w:tblGrid>
        <w:gridCol w:w="1701"/>
        <w:gridCol w:w="4111"/>
      </w:tblGrid>
      <w:tr w:rsidR="00835477" w:rsidRPr="00800D56" w14:paraId="0E8EF280" w14:textId="77777777" w:rsidTr="00A85FE9">
        <w:trPr>
          <w:cnfStyle w:val="100000000000" w:firstRow="1" w:lastRow="0" w:firstColumn="0" w:lastColumn="0" w:oddVBand="0" w:evenVBand="0" w:oddHBand="0" w:evenHBand="0" w:firstRowFirstColumn="0" w:firstRowLastColumn="0" w:lastRowFirstColumn="0" w:lastRowLastColumn="0"/>
          <w:tblHeader/>
        </w:trPr>
        <w:tc>
          <w:tcPr>
            <w:tcW w:w="1701" w:type="dxa"/>
          </w:tcPr>
          <w:p w14:paraId="658280EE" w14:textId="77777777" w:rsidR="00835477" w:rsidRPr="00800D56" w:rsidRDefault="00835477" w:rsidP="00FA203C">
            <w:pPr>
              <w:pStyle w:val="TableHeader"/>
            </w:pPr>
            <w:r w:rsidRPr="00800D56">
              <w:t xml:space="preserve">State </w:t>
            </w:r>
          </w:p>
        </w:tc>
        <w:tc>
          <w:tcPr>
            <w:tcW w:w="4111" w:type="dxa"/>
          </w:tcPr>
          <w:p w14:paraId="5A9914A2" w14:textId="2B49F4C0" w:rsidR="00835477" w:rsidRPr="00800D56" w:rsidRDefault="00785F01" w:rsidP="00A85FE9">
            <w:pPr>
              <w:pStyle w:val="TableHeader"/>
              <w:jc w:val="center"/>
            </w:pPr>
            <w:r>
              <w:t>Percentage</w:t>
            </w:r>
          </w:p>
        </w:tc>
      </w:tr>
      <w:tr w:rsidR="00835477" w:rsidRPr="00800D56" w14:paraId="3FEFA570" w14:textId="77777777" w:rsidTr="00A85FE9">
        <w:tc>
          <w:tcPr>
            <w:tcW w:w="1701" w:type="dxa"/>
          </w:tcPr>
          <w:p w14:paraId="1CF9C54F" w14:textId="77777777" w:rsidR="00835477" w:rsidRPr="00800D56" w:rsidRDefault="00835477" w:rsidP="00FA203C">
            <w:pPr>
              <w:pStyle w:val="TableText"/>
            </w:pPr>
            <w:r w:rsidRPr="00800D56">
              <w:t>NSW</w:t>
            </w:r>
          </w:p>
        </w:tc>
        <w:tc>
          <w:tcPr>
            <w:tcW w:w="4111" w:type="dxa"/>
          </w:tcPr>
          <w:p w14:paraId="35133301" w14:textId="1026B0C1" w:rsidR="00835477" w:rsidRPr="00800D56" w:rsidRDefault="00785F01" w:rsidP="00A85FE9">
            <w:pPr>
              <w:pStyle w:val="TableText"/>
              <w:jc w:val="center"/>
            </w:pPr>
            <w:r>
              <w:t>60</w:t>
            </w:r>
            <w:r w:rsidR="004019E1">
              <w:t>%</w:t>
            </w:r>
          </w:p>
        </w:tc>
      </w:tr>
      <w:tr w:rsidR="00835477" w:rsidRPr="00800D56" w14:paraId="3EECF0C2" w14:textId="77777777" w:rsidTr="00A85FE9">
        <w:tc>
          <w:tcPr>
            <w:tcW w:w="1701" w:type="dxa"/>
          </w:tcPr>
          <w:p w14:paraId="67AA8BF5" w14:textId="77777777" w:rsidR="00835477" w:rsidRPr="00800D56" w:rsidRDefault="00835477" w:rsidP="00FA203C">
            <w:pPr>
              <w:pStyle w:val="TableText"/>
            </w:pPr>
            <w:r w:rsidRPr="00800D56">
              <w:t>QLD</w:t>
            </w:r>
          </w:p>
        </w:tc>
        <w:tc>
          <w:tcPr>
            <w:tcW w:w="4111" w:type="dxa"/>
          </w:tcPr>
          <w:p w14:paraId="14C820C8" w14:textId="17BB5631" w:rsidR="00835477" w:rsidRPr="00800D56" w:rsidRDefault="004019E1" w:rsidP="00A85FE9">
            <w:pPr>
              <w:pStyle w:val="TableText"/>
              <w:jc w:val="center"/>
            </w:pPr>
            <w:r>
              <w:t>10.5%</w:t>
            </w:r>
          </w:p>
        </w:tc>
      </w:tr>
      <w:tr w:rsidR="00835477" w:rsidRPr="00800D56" w14:paraId="43C5B73F" w14:textId="77777777" w:rsidTr="00A85FE9">
        <w:tc>
          <w:tcPr>
            <w:tcW w:w="1701" w:type="dxa"/>
          </w:tcPr>
          <w:p w14:paraId="22DD18A5" w14:textId="77777777" w:rsidR="00835477" w:rsidRPr="00800D56" w:rsidRDefault="00835477" w:rsidP="00FA203C">
            <w:pPr>
              <w:pStyle w:val="TableText"/>
            </w:pPr>
            <w:r w:rsidRPr="00800D56">
              <w:t>SA</w:t>
            </w:r>
          </w:p>
        </w:tc>
        <w:tc>
          <w:tcPr>
            <w:tcW w:w="4111" w:type="dxa"/>
          </w:tcPr>
          <w:p w14:paraId="17074770" w14:textId="63EFDD2D" w:rsidR="00835477" w:rsidRPr="00800D56" w:rsidRDefault="004019E1" w:rsidP="00A85FE9">
            <w:pPr>
              <w:pStyle w:val="TableText"/>
              <w:jc w:val="center"/>
            </w:pPr>
            <w:r>
              <w:t>6.4%</w:t>
            </w:r>
          </w:p>
        </w:tc>
      </w:tr>
      <w:tr w:rsidR="00835477" w:rsidRPr="00800D56" w14:paraId="355065D2" w14:textId="77777777" w:rsidTr="00A85FE9">
        <w:tc>
          <w:tcPr>
            <w:tcW w:w="1701" w:type="dxa"/>
          </w:tcPr>
          <w:p w14:paraId="1313CAC0" w14:textId="77777777" w:rsidR="00835477" w:rsidRPr="0051533F" w:rsidRDefault="00835477" w:rsidP="00FA203C">
            <w:pPr>
              <w:pStyle w:val="TableText"/>
            </w:pPr>
            <w:r w:rsidRPr="0051533F">
              <w:t>VIC</w:t>
            </w:r>
          </w:p>
        </w:tc>
        <w:tc>
          <w:tcPr>
            <w:tcW w:w="4111" w:type="dxa"/>
          </w:tcPr>
          <w:p w14:paraId="7955D993" w14:textId="6F920DE8" w:rsidR="00835477" w:rsidRPr="0051533F" w:rsidRDefault="003040CC" w:rsidP="00A85FE9">
            <w:pPr>
              <w:pStyle w:val="TableText"/>
              <w:jc w:val="center"/>
            </w:pPr>
            <w:r>
              <w:t>23%</w:t>
            </w:r>
          </w:p>
        </w:tc>
      </w:tr>
      <w:tr w:rsidR="003040CC" w:rsidRPr="00800D56" w14:paraId="4EAAAC5F" w14:textId="77777777" w:rsidTr="00A85FE9">
        <w:tc>
          <w:tcPr>
            <w:tcW w:w="1701" w:type="dxa"/>
          </w:tcPr>
          <w:p w14:paraId="4614C3FB" w14:textId="4DC1EAA4" w:rsidR="003040CC" w:rsidRPr="0051533F" w:rsidRDefault="003040CC" w:rsidP="00FA203C">
            <w:pPr>
              <w:pStyle w:val="TableText"/>
            </w:pPr>
            <w:r>
              <w:t xml:space="preserve">ACT </w:t>
            </w:r>
          </w:p>
        </w:tc>
        <w:tc>
          <w:tcPr>
            <w:tcW w:w="4111" w:type="dxa"/>
          </w:tcPr>
          <w:p w14:paraId="25AF3C57" w14:textId="07AAF516" w:rsidR="003040CC" w:rsidRPr="0051533F" w:rsidRDefault="003040CC" w:rsidP="00A85FE9">
            <w:pPr>
              <w:pStyle w:val="TableText"/>
              <w:jc w:val="center"/>
            </w:pPr>
            <w:r>
              <w:t>.1%</w:t>
            </w:r>
          </w:p>
        </w:tc>
      </w:tr>
    </w:tbl>
    <w:p w14:paraId="4BE73BBB" w14:textId="77777777" w:rsidR="00403A49" w:rsidRDefault="00403A49" w:rsidP="769C6637">
      <w:pPr>
        <w:spacing w:after="0"/>
        <w:rPr>
          <w:color w:val="4C6968" w:themeColor="text1"/>
        </w:rPr>
      </w:pPr>
    </w:p>
    <w:p w14:paraId="4E21A835" w14:textId="00EB4EC7" w:rsidR="09C47077" w:rsidRPr="00756FD8" w:rsidRDefault="09C47077" w:rsidP="769C6637">
      <w:pPr>
        <w:spacing w:after="0"/>
        <w:rPr>
          <w:color w:val="4C6968" w:themeColor="text1"/>
        </w:rPr>
      </w:pPr>
      <w:r w:rsidRPr="00756FD8">
        <w:rPr>
          <w:color w:val="4C6968" w:themeColor="text1"/>
        </w:rPr>
        <w:t>Source:</w:t>
      </w:r>
      <w:r>
        <w:t xml:space="preserve"> </w:t>
      </w:r>
      <w:r w:rsidRPr="00756FD8">
        <w:rPr>
          <w:rFonts w:ascii="Verdana Pro" w:eastAsia="Verdana Pro" w:hAnsi="Verdana Pro" w:cs="Verdana Pro"/>
          <w:color w:val="4C6968" w:themeColor="text1"/>
          <w:szCs w:val="20"/>
        </w:rPr>
        <w:t xml:space="preserve">Inspector-General of Water Compliance, </w:t>
      </w:r>
      <w:r w:rsidRPr="00756FD8">
        <w:rPr>
          <w:rFonts w:ascii="Verdana Pro" w:eastAsia="Verdana Pro" w:hAnsi="Verdana Pro" w:cs="Verdana Pro"/>
          <w:i/>
          <w:iCs/>
          <w:color w:val="4C6968" w:themeColor="text1"/>
          <w:szCs w:val="20"/>
        </w:rPr>
        <w:t>Sustainable Diversion Limit Compliance Statement for 2022-2023</w:t>
      </w:r>
      <w:r w:rsidRPr="00756FD8">
        <w:rPr>
          <w:rFonts w:ascii="Verdana Pro" w:eastAsia="Verdana Pro" w:hAnsi="Verdana Pro" w:cs="Verdana Pro"/>
          <w:color w:val="4C6968" w:themeColor="text1"/>
          <w:szCs w:val="20"/>
        </w:rPr>
        <w:t>, July 2024.</w:t>
      </w:r>
    </w:p>
    <w:p w14:paraId="0796E8B8" w14:textId="77777777" w:rsidR="008B6A46" w:rsidRDefault="008B6A46" w:rsidP="009B64E5"/>
    <w:p w14:paraId="33F24A03" w14:textId="0AB2C75D" w:rsidR="00E919D7" w:rsidRDefault="007A79D6" w:rsidP="009B64E5">
      <w:r>
        <w:t>In managing the Basin water resources in its jurisdiction, e</w:t>
      </w:r>
      <w:r w:rsidR="00FF7875">
        <w:t>ach</w:t>
      </w:r>
      <w:r w:rsidR="00E919D7">
        <w:t xml:space="preserve"> Basin State</w:t>
      </w:r>
      <w:r w:rsidR="006139F6">
        <w:t xml:space="preserve"> </w:t>
      </w:r>
      <w:r>
        <w:t xml:space="preserve">applies </w:t>
      </w:r>
      <w:r w:rsidR="00FF7875">
        <w:t xml:space="preserve">its own, </w:t>
      </w:r>
      <w:r w:rsidR="00E919D7">
        <w:t xml:space="preserve">unique regulatory framework. These frameworks include specific legislation, </w:t>
      </w:r>
      <w:r w:rsidR="00FF7875">
        <w:t>institutional arrangements</w:t>
      </w:r>
      <w:r w:rsidR="00E919D7">
        <w:t xml:space="preserve">, water rights, water resource characteristics, and measurement practices. As a result, compliance and enforcement methods vary across states to fulfill their legal and strategic obligations. </w:t>
      </w:r>
    </w:p>
    <w:p w14:paraId="495500B1" w14:textId="20E82F09" w:rsidR="00733CDD" w:rsidRDefault="00E919D7" w:rsidP="009B64E5">
      <w:r>
        <w:t xml:space="preserve">The differences in compliance and regulatory approaches present a challenge for the establishment of common compliance performance metrics for reporting, potentially leading to inconsistent data and misleading conclusions. To mitigate this risk, the Inspector-General and Basin States have created a set of foundational metrics </w:t>
      </w:r>
      <w:r w:rsidR="0018607D">
        <w:t xml:space="preserve">for </w:t>
      </w:r>
      <w:r w:rsidR="00D378E4">
        <w:t xml:space="preserve">consistent </w:t>
      </w:r>
      <w:r w:rsidR="0018607D">
        <w:t>reporting</w:t>
      </w:r>
      <w:r>
        <w:t xml:space="preserve"> </w:t>
      </w:r>
      <w:r w:rsidR="005E09BC">
        <w:t xml:space="preserve">on compliance activities for </w:t>
      </w:r>
      <w:r>
        <w:t>the first year.</w:t>
      </w:r>
    </w:p>
    <w:p w14:paraId="64C28401" w14:textId="51E328B9" w:rsidR="00A70F5F" w:rsidRDefault="00A70F5F" w:rsidP="00A70F5F">
      <w:pPr>
        <w:pStyle w:val="Heading2"/>
      </w:pPr>
      <w:bookmarkStart w:id="5" w:name="_Toc181271323"/>
      <w:r w:rsidRPr="00436F36">
        <w:t xml:space="preserve">Water </w:t>
      </w:r>
      <w:proofErr w:type="gramStart"/>
      <w:r w:rsidRPr="00436F36">
        <w:t>take</w:t>
      </w:r>
      <w:proofErr w:type="gramEnd"/>
      <w:r w:rsidRPr="00436F36">
        <w:t xml:space="preserve"> compliance monitorin</w:t>
      </w:r>
      <w:r w:rsidR="00991F1C">
        <w:t>g</w:t>
      </w:r>
      <w:bookmarkEnd w:id="5"/>
    </w:p>
    <w:p w14:paraId="405E590F" w14:textId="77777777" w:rsidR="00D64218" w:rsidRPr="00254DD4" w:rsidRDefault="00D64218" w:rsidP="00D64218">
      <w:pPr>
        <w:pStyle w:val="TableText"/>
        <w:rPr>
          <w:rStyle w:val="Strong"/>
        </w:rPr>
      </w:pPr>
      <w:r w:rsidRPr="00254DD4">
        <w:rPr>
          <w:rStyle w:val="Strong"/>
        </w:rPr>
        <w:t>Relevance of water take compliance monitoring</w:t>
      </w:r>
      <w:r>
        <w:rPr>
          <w:rStyle w:val="Strong"/>
        </w:rPr>
        <w:t xml:space="preserve"> to compliance performance</w:t>
      </w:r>
    </w:p>
    <w:p w14:paraId="27248C72" w14:textId="7E8B5C9A" w:rsidR="00D64218" w:rsidRDefault="00D64218" w:rsidP="00D64218">
      <w:pPr>
        <w:rPr>
          <w:rStyle w:val="IntenseReference"/>
        </w:rPr>
      </w:pPr>
      <w:r>
        <w:t xml:space="preserve">This section provides an outline of the way that water is monitored in each Basin State. This information provides necessary context for other matters reported in this document as it </w:t>
      </w:r>
      <w:r>
        <w:lastRenderedPageBreak/>
        <w:t>demonstrates how water compliance regulators initially identify potential water theft before undertaking the compliance and enforcement activities reported in this document.</w:t>
      </w:r>
    </w:p>
    <w:p w14:paraId="154F0D3B" w14:textId="593F8657" w:rsidR="00A70F5F" w:rsidRPr="00881259" w:rsidRDefault="00A70F5F" w:rsidP="00C4299A">
      <w:pPr>
        <w:rPr>
          <w:rStyle w:val="IntenseReference"/>
        </w:rPr>
      </w:pPr>
      <w:r w:rsidRPr="00881259">
        <w:rPr>
          <w:rStyle w:val="IntenseReference"/>
        </w:rPr>
        <w:t>All Basin States monitor water licence holders to maximise compliance with extraction regulations, using either direct measurements or models of water take.</w:t>
      </w:r>
    </w:p>
    <w:p w14:paraId="14BB555F" w14:textId="2459C2F8" w:rsidR="00A70F5F" w:rsidRPr="00611353" w:rsidRDefault="00A70F5F" w:rsidP="003B4F94">
      <w:r>
        <w:t>The volume of w</w:t>
      </w:r>
      <w:r w:rsidRPr="00611353">
        <w:t xml:space="preserve">ater </w:t>
      </w:r>
      <w:r>
        <w:t xml:space="preserve">extracted from Basin resources </w:t>
      </w:r>
      <w:r w:rsidRPr="00611353">
        <w:t xml:space="preserve">is tracked through manual meter readings by </w:t>
      </w:r>
      <w:r>
        <w:t>statutory</w:t>
      </w:r>
      <w:r w:rsidRPr="00611353">
        <w:t xml:space="preserve"> </w:t>
      </w:r>
      <w:r>
        <w:t>o</w:t>
      </w:r>
      <w:r w:rsidRPr="00611353">
        <w:t xml:space="preserve">fficers or licence holders, or automatically using </w:t>
      </w:r>
      <w:r w:rsidR="003E16DA">
        <w:t>i</w:t>
      </w:r>
      <w:r w:rsidR="00647F4D">
        <w:t>nformation an</w:t>
      </w:r>
      <w:r w:rsidR="00E7016E">
        <w:t>d</w:t>
      </w:r>
      <w:r w:rsidR="00647F4D">
        <w:t xml:space="preserve"> </w:t>
      </w:r>
      <w:r w:rsidR="00E7016E">
        <w:t>c</w:t>
      </w:r>
      <w:r w:rsidR="00647F4D">
        <w:t xml:space="preserve">ommunications </w:t>
      </w:r>
      <w:r w:rsidR="00E7016E">
        <w:t>t</w:t>
      </w:r>
      <w:r w:rsidR="00647F4D">
        <w:t>echnology</w:t>
      </w:r>
      <w:r w:rsidR="00E7016E">
        <w:t xml:space="preserve"> (</w:t>
      </w:r>
      <w:r w:rsidRPr="00611353">
        <w:t>ICT</w:t>
      </w:r>
      <w:r w:rsidR="00E7016E">
        <w:t>)</w:t>
      </w:r>
      <w:r w:rsidRPr="00611353">
        <w:t xml:space="preserve"> systems like telemetry or satellite imagery. This data is then compared to the licensee’s permitted allocation to identify any discrepancies. This process, known as water accounting, helps detect breaches of water extraction limits.</w:t>
      </w:r>
    </w:p>
    <w:p w14:paraId="71C6D52E" w14:textId="77777777" w:rsidR="00A70F5F" w:rsidRPr="00611353" w:rsidRDefault="00A70F5F" w:rsidP="003B4F94">
      <w:r>
        <w:t>Data on non-urban water meters is published separately on the Inspector-General’s website.</w:t>
      </w:r>
      <w:r>
        <w:rPr>
          <w:rStyle w:val="FootnoteReference"/>
          <w:szCs w:val="20"/>
        </w:rPr>
        <w:footnoteReference w:id="8"/>
      </w:r>
    </w:p>
    <w:p w14:paraId="0715D1B4" w14:textId="78BC7EC6" w:rsidR="00991F1C" w:rsidRDefault="00991F1C" w:rsidP="003B4F94">
      <w:r>
        <w:t>Metering plays a crucial role in ensuring the accuracy and reliability of water accounting processes, which are essential for effective water management and distribution. Accurate metering enables water authorities to monitor and track water take, allocate resources fairly, and make informed decisions based on reliable data. In 2017, all Basin States, as part of the Compliance Compact, committed to improving metering coverage and accuracy within their jurisdictions.</w:t>
      </w:r>
    </w:p>
    <w:p w14:paraId="56E228A2" w14:textId="6B1A98F7" w:rsidR="00991F1C" w:rsidRDefault="00991F1C" w:rsidP="003B4F94">
      <w:r>
        <w:t>Basin States report annually to the Inspector-General on their progress towards meeting these commitments. These reports serve as a means of accountability and transparency, allowing the Inspector-General to assess the effectiveness of each state’s metering initiatives and identify areas that may require further attention or improvement.</w:t>
      </w:r>
    </w:p>
    <w:p w14:paraId="279988A4" w14:textId="5926D20A" w:rsidR="00A70F5F" w:rsidRPr="00611353" w:rsidRDefault="00A70F5F" w:rsidP="003B4F94">
      <w:r w:rsidRPr="00611353">
        <w:t>The following provides a description of each Basin State’s approach to monitoring water take</w:t>
      </w:r>
      <w:r>
        <w:t>.</w:t>
      </w:r>
    </w:p>
    <w:p w14:paraId="481BC828" w14:textId="77777777" w:rsidR="00A70F5F" w:rsidRDefault="00A70F5F" w:rsidP="00A70F5F">
      <w:pPr>
        <w:pStyle w:val="Heading3"/>
      </w:pPr>
      <w:bookmarkStart w:id="6" w:name="_Toc181271324"/>
      <w:r>
        <w:t>New South Wales</w:t>
      </w:r>
      <w:bookmarkEnd w:id="6"/>
      <w:r>
        <w:t xml:space="preserve"> </w:t>
      </w:r>
    </w:p>
    <w:p w14:paraId="6CDA726E" w14:textId="77777777" w:rsidR="00A70F5F" w:rsidRPr="00BB2B4B" w:rsidRDefault="00A70F5F" w:rsidP="00A70F5F">
      <w:pPr>
        <w:rPr>
          <w:rStyle w:val="Strong"/>
        </w:rPr>
      </w:pPr>
      <w:r w:rsidRPr="00BB2B4B">
        <w:rPr>
          <w:rStyle w:val="Strong"/>
        </w:rPr>
        <w:t>In the year 2022-23 there were approximately 22,616 water access licences in the New South Wales portion of the Basin, with approximately 11,882 unique licence holders in the Basin.</w:t>
      </w:r>
    </w:p>
    <w:p w14:paraId="1364E63E" w14:textId="77777777" w:rsidR="00A70F5F" w:rsidRPr="002E208F" w:rsidRDefault="00A70F5F" w:rsidP="00A70F5F">
      <w:r w:rsidRPr="002E208F">
        <w:t>The N</w:t>
      </w:r>
      <w:r>
        <w:t xml:space="preserve">ew </w:t>
      </w:r>
      <w:r w:rsidRPr="002E208F">
        <w:t>S</w:t>
      </w:r>
      <w:r>
        <w:t xml:space="preserve">outh </w:t>
      </w:r>
      <w:r w:rsidRPr="002E208F">
        <w:t>W</w:t>
      </w:r>
      <w:r>
        <w:t>ales</w:t>
      </w:r>
      <w:r w:rsidRPr="002E208F">
        <w:t xml:space="preserve"> Natural Resources Access Regulator (NRAR) responds to and investigates alleged breaches, as well as having teams across N</w:t>
      </w:r>
      <w:r>
        <w:t xml:space="preserve">ew </w:t>
      </w:r>
      <w:r w:rsidRPr="002E208F">
        <w:t>S</w:t>
      </w:r>
      <w:r>
        <w:t xml:space="preserve">outh </w:t>
      </w:r>
      <w:r w:rsidRPr="002E208F">
        <w:t>W</w:t>
      </w:r>
      <w:r>
        <w:t>ales</w:t>
      </w:r>
      <w:r w:rsidRPr="002E208F">
        <w:t xml:space="preserve"> that actively monitor and audit the use of surface and groundwater. NRAR is responsible for monitoring and enforcing compliance with the non-urban metering rules.</w:t>
      </w:r>
    </w:p>
    <w:p w14:paraId="20E18ACD" w14:textId="77777777" w:rsidR="00A70F5F" w:rsidRPr="002E208F" w:rsidRDefault="00A70F5F" w:rsidP="00A70F5F">
      <w:r w:rsidRPr="002E208F">
        <w:t>NRAR use a variety of methods to monitor water take and detect unlawful water take, including:</w:t>
      </w:r>
    </w:p>
    <w:p w14:paraId="0796AFBF" w14:textId="77777777" w:rsidR="00A70F5F" w:rsidRPr="002E208F" w:rsidRDefault="00A70F5F" w:rsidP="00A70F5F">
      <w:pPr>
        <w:pStyle w:val="ListBullet"/>
        <w:rPr>
          <w:szCs w:val="20"/>
        </w:rPr>
      </w:pPr>
      <w:r w:rsidRPr="002E208F">
        <w:rPr>
          <w:szCs w:val="20"/>
        </w:rPr>
        <w:t>reports from the public and other government agencies</w:t>
      </w:r>
    </w:p>
    <w:p w14:paraId="3AE0DAA0" w14:textId="77777777" w:rsidR="00A70F5F" w:rsidRPr="002E208F" w:rsidRDefault="00A70F5F" w:rsidP="00A70F5F">
      <w:pPr>
        <w:pStyle w:val="ListBullet"/>
        <w:rPr>
          <w:szCs w:val="20"/>
        </w:rPr>
      </w:pPr>
      <w:r w:rsidRPr="002E208F">
        <w:rPr>
          <w:szCs w:val="20"/>
        </w:rPr>
        <w:t>on-ground inspections, and auditing of properties and works</w:t>
      </w:r>
    </w:p>
    <w:p w14:paraId="5F2FF45B" w14:textId="6B1ECAA8" w:rsidR="00A70F5F" w:rsidRPr="002E208F" w:rsidRDefault="00A70F5F" w:rsidP="00A70F5F">
      <w:pPr>
        <w:pStyle w:val="ListBullet"/>
        <w:rPr>
          <w:szCs w:val="20"/>
        </w:rPr>
      </w:pPr>
      <w:r w:rsidRPr="002E208F">
        <w:rPr>
          <w:szCs w:val="20"/>
        </w:rPr>
        <w:t xml:space="preserve">remote monitoring and detection </w:t>
      </w:r>
      <w:r w:rsidR="002D71B3" w:rsidRPr="002E208F">
        <w:rPr>
          <w:szCs w:val="20"/>
        </w:rPr>
        <w:t>using</w:t>
      </w:r>
      <w:r w:rsidRPr="002E208F">
        <w:rPr>
          <w:szCs w:val="20"/>
        </w:rPr>
        <w:t xml:space="preserve"> satellite imagery, drones and state-of-the-art survey equipment</w:t>
      </w:r>
    </w:p>
    <w:p w14:paraId="4DBE24CB" w14:textId="77777777" w:rsidR="00A70F5F" w:rsidRPr="002E208F" w:rsidRDefault="00A70F5F" w:rsidP="00A70F5F">
      <w:pPr>
        <w:pStyle w:val="ListBullet"/>
        <w:rPr>
          <w:szCs w:val="20"/>
        </w:rPr>
      </w:pPr>
      <w:r w:rsidRPr="002E208F">
        <w:rPr>
          <w:szCs w:val="20"/>
        </w:rPr>
        <w:t>reconciling water use data from water licensing systems, water accounting systems and other sources</w:t>
      </w:r>
      <w:r>
        <w:rPr>
          <w:szCs w:val="20"/>
        </w:rPr>
        <w:t>.</w:t>
      </w:r>
    </w:p>
    <w:p w14:paraId="12966281" w14:textId="77777777" w:rsidR="00A70F5F" w:rsidRPr="002E208F" w:rsidRDefault="00A70F5F" w:rsidP="00A70F5F">
      <w:r w:rsidRPr="002E208F">
        <w:t>For the NSW portion of the Basin in 2022</w:t>
      </w:r>
      <w:r>
        <w:t>-</w:t>
      </w:r>
      <w:r w:rsidRPr="002E208F">
        <w:t>23</w:t>
      </w:r>
      <w:r>
        <w:t>, NRAR</w:t>
      </w:r>
      <w:r w:rsidRPr="002E208F">
        <w:t>:</w:t>
      </w:r>
    </w:p>
    <w:p w14:paraId="2E4DB1C7" w14:textId="77777777" w:rsidR="00A70F5F" w:rsidRPr="002E208F" w:rsidRDefault="00A70F5F" w:rsidP="00A70F5F">
      <w:pPr>
        <w:pStyle w:val="ListBullet"/>
      </w:pPr>
      <w:r>
        <w:t>inspected and provided advice and education directly to 1,282 properties, which included over 1,650 works.</w:t>
      </w:r>
    </w:p>
    <w:p w14:paraId="75A9DAA2" w14:textId="77777777" w:rsidR="00A70F5F" w:rsidRPr="002E208F" w:rsidRDefault="00A70F5F" w:rsidP="00A70F5F">
      <w:pPr>
        <w:pStyle w:val="ListBullet"/>
      </w:pPr>
      <w:r w:rsidRPr="002E208F">
        <w:t>received 852 suspicious activity reports, of which 313 were referred for more investigation</w:t>
      </w:r>
    </w:p>
    <w:p w14:paraId="103573AA" w14:textId="77777777" w:rsidR="00A70F5F" w:rsidRPr="00E059A7" w:rsidRDefault="00A70F5F" w:rsidP="00A70F5F">
      <w:pPr>
        <w:pStyle w:val="ListBullet"/>
      </w:pPr>
      <w:r w:rsidRPr="00E059A7">
        <w:t xml:space="preserve">finalised 517 investigations, </w:t>
      </w:r>
      <w:r>
        <w:t xml:space="preserve">including </w:t>
      </w:r>
      <w:r w:rsidRPr="00E059A7">
        <w:t>250 investigations for water take or metering offenses</w:t>
      </w:r>
    </w:p>
    <w:p w14:paraId="6DA2E924" w14:textId="77777777" w:rsidR="00A70F5F" w:rsidRPr="00134A75" w:rsidRDefault="00A70F5F" w:rsidP="00A70F5F">
      <w:pPr>
        <w:pStyle w:val="ListBullet"/>
      </w:pPr>
      <w:r w:rsidRPr="002E208F">
        <w:lastRenderedPageBreak/>
        <w:t>took over 150 enforcement actions</w:t>
      </w:r>
      <w:r>
        <w:t>.</w:t>
      </w:r>
    </w:p>
    <w:p w14:paraId="5E7F3E5A" w14:textId="77777777" w:rsidR="00A70F5F" w:rsidRDefault="00A70F5F" w:rsidP="00A70F5F">
      <w:pPr>
        <w:pStyle w:val="Heading3"/>
      </w:pPr>
      <w:bookmarkStart w:id="7" w:name="_Toc181271325"/>
      <w:r>
        <w:t>Queensland</w:t>
      </w:r>
      <w:bookmarkEnd w:id="7"/>
      <w:r>
        <w:t xml:space="preserve"> </w:t>
      </w:r>
    </w:p>
    <w:p w14:paraId="5287EAEB" w14:textId="1632783F" w:rsidR="00A70F5F" w:rsidRPr="00D9268F" w:rsidRDefault="00A70F5F" w:rsidP="00A70F5F">
      <w:pPr>
        <w:rPr>
          <w:rStyle w:val="Strong"/>
        </w:rPr>
      </w:pPr>
      <w:r w:rsidRPr="00D9268F">
        <w:rPr>
          <w:rStyle w:val="Strong"/>
        </w:rPr>
        <w:t xml:space="preserve">In the Queensland </w:t>
      </w:r>
      <w:r>
        <w:rPr>
          <w:rStyle w:val="Strong"/>
        </w:rPr>
        <w:t xml:space="preserve">part of the </w:t>
      </w:r>
      <w:r w:rsidRPr="00D9268F">
        <w:rPr>
          <w:rStyle w:val="Strong"/>
        </w:rPr>
        <w:t>Basin there were approximately 5,597 water entitlements in the 2022-23 water accounting period. Of these entitlements, 1</w:t>
      </w:r>
      <w:r>
        <w:rPr>
          <w:rStyle w:val="Strong"/>
        </w:rPr>
        <w:t>,</w:t>
      </w:r>
      <w:r w:rsidRPr="00D9268F">
        <w:rPr>
          <w:rStyle w:val="Strong"/>
        </w:rPr>
        <w:t xml:space="preserve">493 </w:t>
      </w:r>
      <w:r>
        <w:rPr>
          <w:rStyle w:val="Strong"/>
        </w:rPr>
        <w:t xml:space="preserve">were </w:t>
      </w:r>
      <w:r w:rsidRPr="00D9268F">
        <w:rPr>
          <w:rStyle w:val="Strong"/>
        </w:rPr>
        <w:t xml:space="preserve">metered, </w:t>
      </w:r>
      <w:r>
        <w:rPr>
          <w:rStyle w:val="Strong"/>
        </w:rPr>
        <w:t xml:space="preserve">accounting </w:t>
      </w:r>
      <w:r w:rsidRPr="00D9268F">
        <w:rPr>
          <w:rStyle w:val="Strong"/>
        </w:rPr>
        <w:t>for 74</w:t>
      </w:r>
      <w:r>
        <w:rPr>
          <w:rStyle w:val="Strong"/>
        </w:rPr>
        <w:t xml:space="preserve"> per</w:t>
      </w:r>
      <w:r w:rsidR="002C58AC">
        <w:rPr>
          <w:rStyle w:val="Strong"/>
        </w:rPr>
        <w:t xml:space="preserve"> </w:t>
      </w:r>
      <w:r>
        <w:rPr>
          <w:rStyle w:val="Strong"/>
        </w:rPr>
        <w:t xml:space="preserve">cent </w:t>
      </w:r>
      <w:r w:rsidRPr="00D9268F">
        <w:rPr>
          <w:rStyle w:val="Strong"/>
        </w:rPr>
        <w:t>of total entitlement volume. Metering requirements are determined through a state-wide risk assessment of water resource pressure, with new areas added as needed.</w:t>
      </w:r>
    </w:p>
    <w:p w14:paraId="434C2C9C" w14:textId="43DA1F69" w:rsidR="00A70F5F" w:rsidRPr="000000B5" w:rsidRDefault="00A70F5F" w:rsidP="00A70F5F">
      <w:r w:rsidRPr="000000B5">
        <w:t xml:space="preserve">Water </w:t>
      </w:r>
      <w:r>
        <w:t xml:space="preserve">take </w:t>
      </w:r>
      <w:r w:rsidRPr="000000B5">
        <w:t xml:space="preserve">for metered entitlements is rigorously monitored for compliance </w:t>
      </w:r>
      <w:r>
        <w:t xml:space="preserve">in Queensland </w:t>
      </w:r>
      <w:r w:rsidRPr="000000B5">
        <w:t>through several processes</w:t>
      </w:r>
      <w:r w:rsidR="00152379">
        <w:t>:</w:t>
      </w:r>
    </w:p>
    <w:p w14:paraId="5C584472" w14:textId="77777777" w:rsidR="00A70F5F" w:rsidRPr="000000B5" w:rsidRDefault="00A70F5F" w:rsidP="00A70F5F">
      <w:pPr>
        <w:pStyle w:val="ListBullet"/>
      </w:pPr>
      <w:r w:rsidRPr="000000B5">
        <w:t xml:space="preserve">Meter reads are submitted by licence holders either online or manually in response to a statutory </w:t>
      </w:r>
      <w:r w:rsidRPr="0064652A">
        <w:t>notice and includes follow up reminders before the due date</w:t>
      </w:r>
      <w:r>
        <w:t xml:space="preserve"> and, f</w:t>
      </w:r>
      <w:r w:rsidRPr="000000B5">
        <w:t>or event-based licen</w:t>
      </w:r>
      <w:r>
        <w:t>c</w:t>
      </w:r>
      <w:r w:rsidRPr="000000B5">
        <w:t xml:space="preserve">es, additional reads are required post-event. </w:t>
      </w:r>
    </w:p>
    <w:p w14:paraId="4146B935" w14:textId="77777777" w:rsidR="00A70F5F" w:rsidRPr="000000B5" w:rsidRDefault="00A70F5F" w:rsidP="00A70F5F">
      <w:pPr>
        <w:pStyle w:val="ListBullet"/>
      </w:pPr>
      <w:r w:rsidRPr="000000B5">
        <w:t>Anomalies in meter reads are flagged for follow-up, which includes verifying water take and checking meter accuracy</w:t>
      </w:r>
      <w:r>
        <w:t xml:space="preserve">, and </w:t>
      </w:r>
      <w:r w:rsidRPr="000000B5">
        <w:t>to support future audits.</w:t>
      </w:r>
    </w:p>
    <w:p w14:paraId="513C0064" w14:textId="77777777" w:rsidR="00A70F5F" w:rsidRDefault="00A70F5F" w:rsidP="00A70F5F">
      <w:pPr>
        <w:pStyle w:val="ListBullet"/>
      </w:pPr>
      <w:r w:rsidRPr="000000B5">
        <w:t>Meter owners are also required to notify the</w:t>
      </w:r>
      <w:r>
        <w:t xml:space="preserve"> Queensland </w:t>
      </w:r>
      <w:r w:rsidRPr="000000B5">
        <w:t xml:space="preserve">Department of Regional Development, Manufacturing, and Water </w:t>
      </w:r>
      <w:r>
        <w:t xml:space="preserve">(RDMW) </w:t>
      </w:r>
      <w:r w:rsidRPr="000000B5">
        <w:t xml:space="preserve">as soon as they identify a fault with their meter. </w:t>
      </w:r>
    </w:p>
    <w:p w14:paraId="05E7E9E1" w14:textId="77777777" w:rsidR="00A70F5F" w:rsidRPr="000000B5" w:rsidRDefault="00A70F5F" w:rsidP="00A70F5F">
      <w:pPr>
        <w:pStyle w:val="ListBullet"/>
      </w:pPr>
      <w:r w:rsidRPr="000000B5">
        <w:t xml:space="preserve">Officers monitor the replacement and validation of faulty meters, and records of water take are </w:t>
      </w:r>
      <w:r>
        <w:t xml:space="preserve">required to be </w:t>
      </w:r>
      <w:r w:rsidRPr="000000B5">
        <w:t>kept by metered entitlement holders.</w:t>
      </w:r>
    </w:p>
    <w:p w14:paraId="2D03FF48" w14:textId="5CDEF9EC" w:rsidR="00A70F5F" w:rsidRDefault="00A70F5F" w:rsidP="00A70F5F">
      <w:pPr>
        <w:pStyle w:val="ListBullet"/>
      </w:pPr>
      <w:r>
        <w:t>RDMW</w:t>
      </w:r>
      <w:r w:rsidRPr="000000B5">
        <w:t xml:space="preserve"> strives for 100</w:t>
      </w:r>
      <w:r>
        <w:t xml:space="preserve"> per</w:t>
      </w:r>
      <w:r w:rsidR="00BA4EBD">
        <w:t xml:space="preserve"> </w:t>
      </w:r>
      <w:r>
        <w:t>cent</w:t>
      </w:r>
      <w:r w:rsidRPr="000000B5">
        <w:t xml:space="preserve"> submission of meter reads to ensure accurate water </w:t>
      </w:r>
      <w:r>
        <w:t xml:space="preserve">take </w:t>
      </w:r>
      <w:r w:rsidRPr="000000B5">
        <w:t xml:space="preserve">assessment. </w:t>
      </w:r>
    </w:p>
    <w:p w14:paraId="0D653CE2" w14:textId="77777777" w:rsidR="00A70F5F" w:rsidRPr="000000B5" w:rsidRDefault="00A70F5F" w:rsidP="00A70F5F">
      <w:pPr>
        <w:pStyle w:val="ListBullet"/>
      </w:pPr>
      <w:r w:rsidRPr="000000B5">
        <w:t xml:space="preserve">Any detected excess </w:t>
      </w:r>
      <w:r>
        <w:t>take</w:t>
      </w:r>
      <w:r w:rsidRPr="000000B5">
        <w:t xml:space="preserve"> prompts compliance and enforcement actions according to the </w:t>
      </w:r>
      <w:r w:rsidRPr="00D9268F">
        <w:rPr>
          <w:i/>
          <w:iCs/>
        </w:rPr>
        <w:t>Regulatory Strategy; Water Resource Management 2022-2024</w:t>
      </w:r>
      <w:r w:rsidRPr="000000B5">
        <w:t>.</w:t>
      </w:r>
      <w:r>
        <w:rPr>
          <w:rStyle w:val="FootnoteReference"/>
        </w:rPr>
        <w:footnoteReference w:id="9"/>
      </w:r>
      <w:r>
        <w:t xml:space="preserve"> </w:t>
      </w:r>
    </w:p>
    <w:p w14:paraId="7FDD67C4" w14:textId="2F9CE899" w:rsidR="00A70F5F" w:rsidRPr="000000B5" w:rsidRDefault="00A70F5F" w:rsidP="00A70F5F">
      <w:pPr>
        <w:rPr>
          <w:lang w:val="en-US"/>
        </w:rPr>
      </w:pPr>
      <w:r w:rsidRPr="000000B5">
        <w:rPr>
          <w:lang w:val="en-US"/>
        </w:rPr>
        <w:t xml:space="preserve">Under the </w:t>
      </w:r>
      <w:r w:rsidRPr="00D9268F">
        <w:rPr>
          <w:i/>
          <w:lang w:val="en-US"/>
        </w:rPr>
        <w:t>Annual Compliance Plan</w:t>
      </w:r>
      <w:r w:rsidRPr="00D9268F">
        <w:rPr>
          <w:i/>
          <w:iCs/>
          <w:lang w:val="en-US"/>
        </w:rPr>
        <w:t xml:space="preserve"> 2022-23</w:t>
      </w:r>
      <w:r>
        <w:rPr>
          <w:iCs/>
          <w:lang w:val="en-US"/>
        </w:rPr>
        <w:t>,</w:t>
      </w:r>
      <w:r w:rsidRPr="00CB69A9">
        <w:rPr>
          <w:rStyle w:val="FootnoteReference"/>
          <w:lang w:val="en-US"/>
        </w:rPr>
        <w:footnoteReference w:id="10"/>
      </w:r>
      <w:r w:rsidRPr="000000B5">
        <w:rPr>
          <w:lang w:val="en-US"/>
        </w:rPr>
        <w:t xml:space="preserve"> </w:t>
      </w:r>
      <w:r>
        <w:rPr>
          <w:lang w:val="en-US"/>
        </w:rPr>
        <w:t xml:space="preserve">RDMW </w:t>
      </w:r>
      <w:r w:rsidRPr="000000B5">
        <w:rPr>
          <w:lang w:val="en-US"/>
        </w:rPr>
        <w:t>conduct</w:t>
      </w:r>
      <w:r>
        <w:rPr>
          <w:lang w:val="en-US"/>
        </w:rPr>
        <w:t>ed</w:t>
      </w:r>
      <w:r w:rsidRPr="000000B5">
        <w:rPr>
          <w:lang w:val="en-US"/>
        </w:rPr>
        <w:t xml:space="preserve"> targeted compliance monitoring informed by risk assessments, including both field and desktop audits. </w:t>
      </w:r>
      <w:r>
        <w:rPr>
          <w:lang w:val="en-US"/>
        </w:rPr>
        <w:t>This included i</w:t>
      </w:r>
      <w:r w:rsidRPr="000000B5">
        <w:rPr>
          <w:lang w:val="en-US"/>
        </w:rPr>
        <w:t xml:space="preserve">nspections </w:t>
      </w:r>
      <w:r>
        <w:rPr>
          <w:lang w:val="en-US"/>
        </w:rPr>
        <w:t xml:space="preserve">of </w:t>
      </w:r>
      <w:r w:rsidRPr="000000B5">
        <w:rPr>
          <w:lang w:val="en-US"/>
        </w:rPr>
        <w:t xml:space="preserve">water take, infrastructure, and related activities. </w:t>
      </w:r>
      <w:r>
        <w:rPr>
          <w:lang w:val="en-US"/>
        </w:rPr>
        <w:t xml:space="preserve">RDMW </w:t>
      </w:r>
      <w:r w:rsidRPr="000000B5">
        <w:rPr>
          <w:lang w:val="en-US"/>
        </w:rPr>
        <w:t>also respond</w:t>
      </w:r>
      <w:r>
        <w:rPr>
          <w:lang w:val="en-US"/>
        </w:rPr>
        <w:t>ed</w:t>
      </w:r>
      <w:r w:rsidRPr="000000B5">
        <w:rPr>
          <w:lang w:val="en-US"/>
        </w:rPr>
        <w:t xml:space="preserve"> to third-party notifications with desktop or field assessments</w:t>
      </w:r>
      <w:r>
        <w:rPr>
          <w:lang w:val="en-US"/>
        </w:rPr>
        <w:t xml:space="preserve"> and through </w:t>
      </w:r>
      <w:r w:rsidRPr="000000B5">
        <w:rPr>
          <w:lang w:val="en-US"/>
        </w:rPr>
        <w:t>annual reports on compliance activities and outcomes, sharing details across communication platforms to enhance regulatory understanding.</w:t>
      </w:r>
    </w:p>
    <w:p w14:paraId="6BE2B6D9" w14:textId="77777777" w:rsidR="00A70F5F" w:rsidRDefault="00A70F5F" w:rsidP="00A70F5F">
      <w:r w:rsidRPr="000000B5">
        <w:t xml:space="preserve">In 2022-23, </w:t>
      </w:r>
      <w:r>
        <w:t xml:space="preserve">RDMW </w:t>
      </w:r>
      <w:r w:rsidRPr="000000B5">
        <w:t>undertook compliance monitoring that included oversight of water take activities:</w:t>
      </w:r>
    </w:p>
    <w:p w14:paraId="738D8B5B" w14:textId="77777777" w:rsidR="00A70F5F" w:rsidRPr="000000B5" w:rsidRDefault="00A70F5F" w:rsidP="00A70F5F">
      <w:pPr>
        <w:pStyle w:val="ListBullet"/>
      </w:pPr>
      <w:r w:rsidRPr="000000B5">
        <w:t xml:space="preserve">Where meter reads were required to be provided to </w:t>
      </w:r>
      <w:r>
        <w:t xml:space="preserve">RDMW </w:t>
      </w:r>
      <w:r w:rsidRPr="000000B5">
        <w:t xml:space="preserve">over the course of the water </w:t>
      </w:r>
      <w:r>
        <w:t xml:space="preserve">accounting period, failure to provide </w:t>
      </w:r>
      <w:r w:rsidRPr="000000B5">
        <w:t>reads</w:t>
      </w:r>
      <w:r>
        <w:t>,</w:t>
      </w:r>
      <w:r w:rsidRPr="000000B5">
        <w:t xml:space="preserve"> late reads </w:t>
      </w:r>
      <w:r>
        <w:t xml:space="preserve">and reporting on faulty meters were </w:t>
      </w:r>
      <w:r w:rsidRPr="000000B5">
        <w:t>followed up and addressed.</w:t>
      </w:r>
    </w:p>
    <w:p w14:paraId="18280AE3" w14:textId="2D82D803" w:rsidR="00A70F5F" w:rsidRPr="006B31FF" w:rsidRDefault="00A70F5F" w:rsidP="00A70F5F">
      <w:pPr>
        <w:pStyle w:val="ListBullet"/>
      </w:pPr>
      <w:r w:rsidRPr="006B31FF">
        <w:t xml:space="preserve">Measured water use </w:t>
      </w:r>
      <w:r>
        <w:t xml:space="preserve">was </w:t>
      </w:r>
      <w:r w:rsidRPr="006B31FF">
        <w:t>accounted for to determine compliance</w:t>
      </w:r>
      <w:r>
        <w:t xml:space="preserve">, with one </w:t>
      </w:r>
      <w:r w:rsidRPr="006B31FF">
        <w:t xml:space="preserve">case of minor excess water take identified and addressed with a warning and corrective measures. </w:t>
      </w:r>
    </w:p>
    <w:p w14:paraId="53365E6F" w14:textId="77777777" w:rsidR="00A70F5F" w:rsidRDefault="00A70F5F" w:rsidP="00A70F5F">
      <w:pPr>
        <w:pStyle w:val="ListBullet"/>
      </w:pPr>
      <w:r w:rsidRPr="006B31FF">
        <w:t xml:space="preserve">132 field audits </w:t>
      </w:r>
      <w:r>
        <w:t xml:space="preserve">were </w:t>
      </w:r>
      <w:r w:rsidRPr="006B31FF">
        <w:t xml:space="preserve">conducted, </w:t>
      </w:r>
      <w:r>
        <w:t xml:space="preserve">with </w:t>
      </w:r>
      <w:r w:rsidRPr="006B31FF">
        <w:t xml:space="preserve">105 </w:t>
      </w:r>
      <w:r>
        <w:t xml:space="preserve">determined to be </w:t>
      </w:r>
      <w:r w:rsidRPr="006B31FF">
        <w:t xml:space="preserve">compliant, and 27 found </w:t>
      </w:r>
      <w:r>
        <w:t xml:space="preserve">to be </w:t>
      </w:r>
      <w:r w:rsidRPr="006B31FF">
        <w:t>non-compliant, leading to further investigation and action.</w:t>
      </w:r>
    </w:p>
    <w:p w14:paraId="67D1BC76" w14:textId="77777777" w:rsidR="00A70F5F" w:rsidRDefault="00A70F5F" w:rsidP="00A70F5F">
      <w:pPr>
        <w:pStyle w:val="Heading3"/>
      </w:pPr>
      <w:bookmarkStart w:id="8" w:name="_Toc181271326"/>
      <w:r w:rsidRPr="00724BBE">
        <w:lastRenderedPageBreak/>
        <w:t>South Australia</w:t>
      </w:r>
      <w:bookmarkEnd w:id="8"/>
      <w:r w:rsidRPr="00F2170E">
        <w:t xml:space="preserve"> </w:t>
      </w:r>
      <w:r>
        <w:t xml:space="preserve"> </w:t>
      </w:r>
    </w:p>
    <w:p w14:paraId="7437E989" w14:textId="74AE1173" w:rsidR="00A70F5F" w:rsidRPr="00745D1E" w:rsidRDefault="00A70F5F" w:rsidP="00A70F5F">
      <w:pPr>
        <w:rPr>
          <w:rFonts w:eastAsia="Trebuchet MS" w:cs="Trebuchet MS"/>
          <w:b/>
          <w:bCs/>
          <w:szCs w:val="20"/>
        </w:rPr>
      </w:pPr>
      <w:r w:rsidRPr="00724BBE">
        <w:rPr>
          <w:rStyle w:val="Strong"/>
        </w:rPr>
        <w:t>In 2022-23, South Australia managed 5,318 water take authorisations in the Basin. In these areas, 98.2</w:t>
      </w:r>
      <w:r>
        <w:rPr>
          <w:rStyle w:val="Strong"/>
        </w:rPr>
        <w:t xml:space="preserve"> per</w:t>
      </w:r>
      <w:r w:rsidR="002C58AC">
        <w:rPr>
          <w:rStyle w:val="Strong"/>
        </w:rPr>
        <w:t xml:space="preserve"> </w:t>
      </w:r>
      <w:r>
        <w:rPr>
          <w:rStyle w:val="Strong"/>
        </w:rPr>
        <w:t xml:space="preserve">cent </w:t>
      </w:r>
      <w:r w:rsidRPr="00724BBE">
        <w:rPr>
          <w:rStyle w:val="Strong"/>
        </w:rPr>
        <w:t>of water take is metered. All water use is accounted for</w:t>
      </w:r>
      <w:r>
        <w:rPr>
          <w:rFonts w:eastAsia="Trebuchet MS" w:cs="Trebuchet MS"/>
          <w:b/>
          <w:bCs/>
          <w:szCs w:val="20"/>
        </w:rPr>
        <w:t>,</w:t>
      </w:r>
      <w:r w:rsidRPr="00745D1E">
        <w:rPr>
          <w:rFonts w:eastAsia="Trebuchet MS" w:cs="Trebuchet MS"/>
          <w:b/>
          <w:bCs/>
          <w:szCs w:val="20"/>
        </w:rPr>
        <w:t xml:space="preserve"> and compliance action taken for unauthorised taking </w:t>
      </w:r>
      <w:r>
        <w:rPr>
          <w:rFonts w:eastAsia="Trebuchet MS" w:cs="Trebuchet MS"/>
          <w:b/>
          <w:bCs/>
          <w:szCs w:val="20"/>
        </w:rPr>
        <w:t xml:space="preserve">of </w:t>
      </w:r>
      <w:r w:rsidRPr="00745D1E">
        <w:rPr>
          <w:rFonts w:eastAsia="Trebuchet MS" w:cs="Trebuchet MS"/>
          <w:b/>
          <w:bCs/>
          <w:szCs w:val="20"/>
        </w:rPr>
        <w:t>water</w:t>
      </w:r>
      <w:r>
        <w:rPr>
          <w:rFonts w:eastAsia="Trebuchet MS" w:cs="Trebuchet MS"/>
          <w:b/>
          <w:bCs/>
          <w:szCs w:val="20"/>
        </w:rPr>
        <w:t>.</w:t>
      </w:r>
    </w:p>
    <w:p w14:paraId="2007117A" w14:textId="77777777" w:rsidR="00A70F5F" w:rsidRPr="00361C36" w:rsidRDefault="00A70F5F" w:rsidP="00A70F5F">
      <w:r w:rsidRPr="00361C36">
        <w:t xml:space="preserve">In </w:t>
      </w:r>
      <w:r>
        <w:t>South Australia</w:t>
      </w:r>
      <w:r w:rsidRPr="00361C36">
        <w:t xml:space="preserve">, the take of water from </w:t>
      </w:r>
      <w:r>
        <w:t xml:space="preserve">the </w:t>
      </w:r>
      <w:r w:rsidRPr="00361C36">
        <w:t xml:space="preserve">Basin </w:t>
      </w:r>
      <w:r>
        <w:t>resources was</w:t>
      </w:r>
      <w:r w:rsidRPr="00361C36">
        <w:t xml:space="preserve"> rigorously monitored, accounted for and regulated.</w:t>
      </w:r>
    </w:p>
    <w:p w14:paraId="4A362D97" w14:textId="1135633E" w:rsidR="00A70F5F" w:rsidRDefault="00A70F5F" w:rsidP="00A70F5F">
      <w:r w:rsidRPr="00361C36">
        <w:t>There are 5,318 water licen</w:t>
      </w:r>
      <w:r w:rsidR="008D03BE">
        <w:t>c</w:t>
      </w:r>
      <w:r w:rsidRPr="00361C36">
        <w:t>es, which includes the regulation of licen</w:t>
      </w:r>
      <w:r>
        <w:t>c</w:t>
      </w:r>
      <w:r w:rsidRPr="00361C36">
        <w:t>es for stock or domestic use in the River Murray. Licensed water use is monitored closely, with 98.2</w:t>
      </w:r>
      <w:r>
        <w:t xml:space="preserve"> per</w:t>
      </w:r>
      <w:r w:rsidR="002C58AC">
        <w:t xml:space="preserve"> </w:t>
      </w:r>
      <w:r>
        <w:t xml:space="preserve">cent </w:t>
      </w:r>
      <w:r w:rsidRPr="00361C36">
        <w:t xml:space="preserve">of take being metered. All water take is accounted for, either through meter readings or for unmetered sites, through modelling/estimates in accordance with published methods. </w:t>
      </w:r>
    </w:p>
    <w:p w14:paraId="1B7FE382" w14:textId="74B7D0FD" w:rsidR="00A70F5F" w:rsidRPr="00361C36" w:rsidRDefault="00A70F5F" w:rsidP="00A70F5F">
      <w:r w:rsidRPr="00361C36">
        <w:t>Meter readings are required to be provided quarterly in the River Murray (which comprise 56</w:t>
      </w:r>
      <w:r>
        <w:t> per</w:t>
      </w:r>
      <w:r w:rsidR="002C58AC">
        <w:t xml:space="preserve"> </w:t>
      </w:r>
      <w:r>
        <w:t xml:space="preserve">cent </w:t>
      </w:r>
      <w:r w:rsidRPr="00361C36">
        <w:t>of M</w:t>
      </w:r>
      <w:r>
        <w:t>urray-</w:t>
      </w:r>
      <w:r w:rsidRPr="00361C36">
        <w:t>D</w:t>
      </w:r>
      <w:r>
        <w:t xml:space="preserve">arling </w:t>
      </w:r>
      <w:r w:rsidRPr="00361C36">
        <w:t>B</w:t>
      </w:r>
      <w:r>
        <w:t>asin</w:t>
      </w:r>
      <w:r w:rsidRPr="00361C36">
        <w:t xml:space="preserve"> licen</w:t>
      </w:r>
      <w:r>
        <w:t>c</w:t>
      </w:r>
      <w:r w:rsidRPr="00361C36">
        <w:t>es</w:t>
      </w:r>
      <w:r>
        <w:t xml:space="preserve"> in South Australia</w:t>
      </w:r>
      <w:r w:rsidRPr="00361C36">
        <w:t>) and annually elsewhere. Licence holders are also required to report meter faults, repair or replace faulty meters and comply with obligations in relation to meter maintenance and inspections</w:t>
      </w:r>
      <w:r>
        <w:t>.</w:t>
      </w:r>
    </w:p>
    <w:p w14:paraId="1447AA0D" w14:textId="128AC725" w:rsidR="00A70F5F" w:rsidRPr="00361C36" w:rsidRDefault="00A70F5F" w:rsidP="00A70F5F">
      <w:r w:rsidRPr="00361C36">
        <w:t xml:space="preserve">Meter reads are submitted by licence holders following automated notices and reminders. South Australia’s new water licensing system tracks submission progress, identifies missing or anomalous readings, overuse and faulty meters and routes these for manual investigation by compliance officers, resulting in desktop review and/or site visits. Furthermore, </w:t>
      </w:r>
      <w:r>
        <w:t>South Australia</w:t>
      </w:r>
      <w:r w:rsidRPr="00361C36">
        <w:t xml:space="preserve"> targets at least 10</w:t>
      </w:r>
      <w:r>
        <w:t xml:space="preserve"> per</w:t>
      </w:r>
      <w:r w:rsidR="002C58AC">
        <w:t xml:space="preserve"> </w:t>
      </w:r>
      <w:r>
        <w:t xml:space="preserve">cent </w:t>
      </w:r>
      <w:r w:rsidRPr="00361C36">
        <w:t xml:space="preserve">of licenses for on-site compliance monitoring annually, including unmetered sites. </w:t>
      </w:r>
    </w:p>
    <w:p w14:paraId="1C537490" w14:textId="77777777" w:rsidR="00A70F5F" w:rsidRPr="008560C4" w:rsidRDefault="00A70F5F" w:rsidP="00A70F5F">
      <w:r w:rsidRPr="008560C4">
        <w:t xml:space="preserve">In summary, </w:t>
      </w:r>
      <w:r>
        <w:t xml:space="preserve">activities for </w:t>
      </w:r>
      <w:r w:rsidRPr="008560C4">
        <w:t xml:space="preserve">2022-23 included: </w:t>
      </w:r>
    </w:p>
    <w:p w14:paraId="48AB88DC" w14:textId="77777777" w:rsidR="00A70F5F" w:rsidRPr="008560C4" w:rsidRDefault="00A70F5F" w:rsidP="00A70F5F">
      <w:pPr>
        <w:pStyle w:val="ListBullet"/>
      </w:pPr>
      <w:r w:rsidRPr="008560C4">
        <w:t xml:space="preserve">2,300 authorisations audited via desktop automatically </w:t>
      </w:r>
    </w:p>
    <w:p w14:paraId="77AE43E0" w14:textId="77777777" w:rsidR="00A70F5F" w:rsidRPr="008560C4" w:rsidRDefault="00A70F5F" w:rsidP="00A70F5F">
      <w:pPr>
        <w:pStyle w:val="ListBullet"/>
      </w:pPr>
      <w:r w:rsidRPr="008560C4">
        <w:t>1,231 authorisations manually audited via desktop</w:t>
      </w:r>
    </w:p>
    <w:p w14:paraId="736ECE0D" w14:textId="77777777" w:rsidR="00A70F5F" w:rsidRPr="008560C4" w:rsidRDefault="00A70F5F" w:rsidP="00A70F5F">
      <w:pPr>
        <w:pStyle w:val="ListBullet"/>
      </w:pPr>
      <w:r w:rsidRPr="008560C4">
        <w:t xml:space="preserve">462 on-site inspections conducted. </w:t>
      </w:r>
    </w:p>
    <w:p w14:paraId="7CE3B54A" w14:textId="13EEE488" w:rsidR="00A70F5F" w:rsidRPr="00361C36" w:rsidRDefault="00A70F5F" w:rsidP="00A70F5F">
      <w:r w:rsidRPr="00361C36">
        <w:t xml:space="preserve">Water taken </w:t>
      </w:r>
      <w:proofErr w:type="gramStart"/>
      <w:r w:rsidRPr="00361C36">
        <w:t>in excess of</w:t>
      </w:r>
      <w:proofErr w:type="gramEnd"/>
      <w:r w:rsidRPr="00361C36">
        <w:t>, or without, an authorisation, incurs a financial penalty that is significantly higher than the contemporaneous trade price of water. This acts as an effective deterrent with very high and consistent compliance rates (99</w:t>
      </w:r>
      <w:r>
        <w:t xml:space="preserve"> per</w:t>
      </w:r>
      <w:r w:rsidR="00AC1E44">
        <w:t xml:space="preserve"> </w:t>
      </w:r>
      <w:r>
        <w:t>cent</w:t>
      </w:r>
      <w:r w:rsidRPr="00361C36">
        <w:t>). Other compliance tools are available and implemented for other offences or for repeated/</w:t>
      </w:r>
      <w:r>
        <w:t xml:space="preserve"> </w:t>
      </w:r>
      <w:r w:rsidRPr="00361C36">
        <w:t>significant non-compliance, including expiations, directions, licence variations</w:t>
      </w:r>
      <w:r>
        <w:t xml:space="preserve">, </w:t>
      </w:r>
      <w:r w:rsidRPr="00361C36">
        <w:t>suspensions</w:t>
      </w:r>
      <w:r>
        <w:t xml:space="preserve"> or </w:t>
      </w:r>
      <w:r w:rsidRPr="00361C36">
        <w:t>cancellations</w:t>
      </w:r>
      <w:r>
        <w:t>,</w:t>
      </w:r>
      <w:r w:rsidRPr="00361C36">
        <w:t xml:space="preserve"> and court action.</w:t>
      </w:r>
    </w:p>
    <w:p w14:paraId="43FA180D" w14:textId="77777777" w:rsidR="0095193D" w:rsidRDefault="0095193D" w:rsidP="0095193D">
      <w:pPr>
        <w:pStyle w:val="Heading3"/>
      </w:pPr>
      <w:bookmarkStart w:id="9" w:name="_Toc181271327"/>
      <w:r>
        <w:t>Victoria</w:t>
      </w:r>
      <w:bookmarkEnd w:id="9"/>
      <w:r>
        <w:t xml:space="preserve"> </w:t>
      </w:r>
    </w:p>
    <w:p w14:paraId="6C798DC7" w14:textId="6C41AAB4" w:rsidR="0095193D" w:rsidRDefault="0095193D" w:rsidP="0095193D">
      <w:r w:rsidRPr="00E6356B">
        <w:rPr>
          <w:rStyle w:val="Strong"/>
        </w:rPr>
        <w:t>In 2022-23, Victoria had 60,974</w:t>
      </w:r>
      <w:r w:rsidR="007A7641">
        <w:rPr>
          <w:rStyle w:val="Strong"/>
        </w:rPr>
        <w:t xml:space="preserve"> authorisation</w:t>
      </w:r>
      <w:r w:rsidR="008D4CD1">
        <w:rPr>
          <w:rStyle w:val="Strong"/>
        </w:rPr>
        <w:t>s</w:t>
      </w:r>
      <w:r w:rsidR="007A7641">
        <w:rPr>
          <w:rStyle w:val="Strong"/>
        </w:rPr>
        <w:t xml:space="preserve"> to take water </w:t>
      </w:r>
      <w:r w:rsidRPr="00E6356B">
        <w:rPr>
          <w:rStyle w:val="Strong"/>
        </w:rPr>
        <w:t xml:space="preserve">across </w:t>
      </w:r>
      <w:r>
        <w:rPr>
          <w:rStyle w:val="Strong"/>
        </w:rPr>
        <w:t>n</w:t>
      </w:r>
      <w:r w:rsidRPr="00E6356B">
        <w:rPr>
          <w:rStyle w:val="Strong"/>
        </w:rPr>
        <w:t>orthern Vic</w:t>
      </w:r>
      <w:r>
        <w:rPr>
          <w:rStyle w:val="Strong"/>
        </w:rPr>
        <w:t>toria</w:t>
      </w:r>
      <w:r w:rsidRPr="00E6356B">
        <w:rPr>
          <w:rStyle w:val="Strong"/>
        </w:rPr>
        <w:t xml:space="preserve"> </w:t>
      </w:r>
      <w:r w:rsidRPr="096ADD68">
        <w:rPr>
          <w:rStyle w:val="Strong"/>
        </w:rPr>
        <w:t>(the Victorian part of the Basin)</w:t>
      </w:r>
      <w:r>
        <w:rPr>
          <w:rStyle w:val="Strong"/>
        </w:rPr>
        <w:t xml:space="preserve"> </w:t>
      </w:r>
      <w:r w:rsidRPr="00E6356B">
        <w:rPr>
          <w:rStyle w:val="Strong"/>
        </w:rPr>
        <w:t xml:space="preserve">issued under the </w:t>
      </w:r>
      <w:r w:rsidRPr="00A77B86">
        <w:rPr>
          <w:rStyle w:val="Strong"/>
          <w:i/>
        </w:rPr>
        <w:t>Water Act 1989</w:t>
      </w:r>
      <w:r w:rsidRPr="00E6356B">
        <w:rPr>
          <w:rStyle w:val="Strong"/>
        </w:rPr>
        <w:t xml:space="preserve"> (Vic). In </w:t>
      </w:r>
      <w:r>
        <w:rPr>
          <w:rStyle w:val="Strong"/>
        </w:rPr>
        <w:t>n</w:t>
      </w:r>
      <w:r w:rsidRPr="00E6356B">
        <w:rPr>
          <w:rStyle w:val="Strong"/>
        </w:rPr>
        <w:t>orthern Vic</w:t>
      </w:r>
      <w:r>
        <w:rPr>
          <w:rStyle w:val="Strong"/>
        </w:rPr>
        <w:t>toria</w:t>
      </w:r>
      <w:r w:rsidRPr="00E6356B">
        <w:rPr>
          <w:rStyle w:val="Strong"/>
        </w:rPr>
        <w:t xml:space="preserve"> there are 47,035 meters installed, of which approximately 29,013 have telemetry. In 2022-23, 98 per cent of water taken was metered; 89 per cent of total take was through meters that conform with</w:t>
      </w:r>
      <w:r>
        <w:rPr>
          <w:rStyle w:val="Strong"/>
        </w:rPr>
        <w:t xml:space="preserve"> </w:t>
      </w:r>
      <w:r w:rsidR="009F674C" w:rsidRPr="009F674C">
        <w:rPr>
          <w:b/>
          <w:bCs/>
        </w:rPr>
        <w:t>Australian Standard for non-urban water meter</w:t>
      </w:r>
      <w:r w:rsidR="00C23941">
        <w:rPr>
          <w:b/>
          <w:bCs/>
        </w:rPr>
        <w:t>s (</w:t>
      </w:r>
      <w:r w:rsidRPr="00E6356B">
        <w:rPr>
          <w:rStyle w:val="Strong"/>
        </w:rPr>
        <w:t>AS</w:t>
      </w:r>
      <w:r>
        <w:rPr>
          <w:rStyle w:val="Strong"/>
        </w:rPr>
        <w:t> </w:t>
      </w:r>
      <w:r w:rsidRPr="00E6356B">
        <w:rPr>
          <w:rStyle w:val="Strong"/>
        </w:rPr>
        <w:t>4747</w:t>
      </w:r>
      <w:r w:rsidR="00C23941">
        <w:rPr>
          <w:rStyle w:val="Strong"/>
        </w:rPr>
        <w:t>)</w:t>
      </w:r>
      <w:r w:rsidRPr="00E6356B">
        <w:rPr>
          <w:rStyle w:val="Strong"/>
        </w:rPr>
        <w:t xml:space="preserve"> and are of contemporary standard accurate to </w:t>
      </w:r>
      <w:r>
        <w:rPr>
          <w:rStyle w:val="Strong"/>
        </w:rPr>
        <w:t>±</w:t>
      </w:r>
      <w:r w:rsidRPr="00E6356B">
        <w:rPr>
          <w:rStyle w:val="Strong"/>
        </w:rPr>
        <w:t>5% accuracy; and 76</w:t>
      </w:r>
      <w:r>
        <w:rPr>
          <w:rStyle w:val="Strong"/>
        </w:rPr>
        <w:t> </w:t>
      </w:r>
      <w:r w:rsidRPr="00E6356B">
        <w:rPr>
          <w:rStyle w:val="Strong"/>
        </w:rPr>
        <w:t>per</w:t>
      </w:r>
      <w:r w:rsidR="002C58AC">
        <w:rPr>
          <w:rStyle w:val="Strong"/>
        </w:rPr>
        <w:t xml:space="preserve"> </w:t>
      </w:r>
      <w:r w:rsidRPr="096ADD68">
        <w:rPr>
          <w:b/>
        </w:rPr>
        <w:t>cent of total take was telemetered</w:t>
      </w:r>
      <w:r>
        <w:t>.</w:t>
      </w:r>
    </w:p>
    <w:p w14:paraId="0E40EA15" w14:textId="77777777" w:rsidR="0095193D" w:rsidRDefault="0095193D" w:rsidP="0095193D">
      <w:r w:rsidRPr="005C6113">
        <w:t xml:space="preserve">Breaches of the </w:t>
      </w:r>
      <w:r w:rsidRPr="00D06B65">
        <w:rPr>
          <w:i/>
        </w:rPr>
        <w:t>Water Act 1989</w:t>
      </w:r>
      <w:r w:rsidRPr="005C6113">
        <w:t xml:space="preserve"> </w:t>
      </w:r>
      <w:r>
        <w:t>(Vic)</w:t>
      </w:r>
      <w:r w:rsidRPr="005C6113">
        <w:t xml:space="preserve"> and the potential unauthorised take of water is monitored primarily through metering and telemetry. </w:t>
      </w:r>
      <w:r>
        <w:t xml:space="preserve">Victoria’s </w:t>
      </w:r>
      <w:r w:rsidRPr="005C6113">
        <w:t xml:space="preserve">Rural Water Corporations (RWCs) own meter assets and are responsible for manually reading meters where telemetry is not available. The </w:t>
      </w:r>
      <w:r w:rsidRPr="00E6356B">
        <w:rPr>
          <w:i/>
        </w:rPr>
        <w:t xml:space="preserve">Victorian Non-Urban Water Metering Policy </w:t>
      </w:r>
      <w:r w:rsidRPr="00E6356B">
        <w:rPr>
          <w:i/>
          <w:iCs/>
        </w:rPr>
        <w:t>2020</w:t>
      </w:r>
      <w:r>
        <w:t xml:space="preserve"> </w:t>
      </w:r>
      <w:r w:rsidRPr="005C6113">
        <w:t xml:space="preserve">requires RWCs to read meters at least once a year for low volume low-risk meters, more frequently for higher-risk volumes, and at least twice a year for surface water winter-fill </w:t>
      </w:r>
      <w:r>
        <w:t>licences</w:t>
      </w:r>
      <w:r w:rsidRPr="005C6113">
        <w:t xml:space="preserve"> or where there is a history of breaches.</w:t>
      </w:r>
      <w:r>
        <w:rPr>
          <w:rStyle w:val="FootnoteReference"/>
        </w:rPr>
        <w:footnoteReference w:id="11"/>
      </w:r>
    </w:p>
    <w:p w14:paraId="6B60D28F" w14:textId="77777777" w:rsidR="0095193D" w:rsidRPr="005C6113" w:rsidRDefault="0095193D" w:rsidP="0095193D">
      <w:r w:rsidRPr="005C6113">
        <w:lastRenderedPageBreak/>
        <w:t>In 2022</w:t>
      </w:r>
      <w:r>
        <w:t>-</w:t>
      </w:r>
      <w:r w:rsidRPr="005C6113">
        <w:t xml:space="preserve">23, </w:t>
      </w:r>
      <w:proofErr w:type="gramStart"/>
      <w:r w:rsidRPr="005C6113">
        <w:t>38,001</w:t>
      </w:r>
      <w:r>
        <w:t xml:space="preserve"> </w:t>
      </w:r>
      <w:r w:rsidRPr="005C6113">
        <w:t>meter</w:t>
      </w:r>
      <w:proofErr w:type="gramEnd"/>
      <w:r w:rsidRPr="005C6113">
        <w:t xml:space="preserve"> reads were conducted in </w:t>
      </w:r>
      <w:r>
        <w:t>n</w:t>
      </w:r>
      <w:r w:rsidRPr="005C6113">
        <w:t>orthern Vic</w:t>
      </w:r>
      <w:r>
        <w:t>toria</w:t>
      </w:r>
      <w:r w:rsidRPr="005C6113">
        <w:t>, including 19,190 additional</w:t>
      </w:r>
      <w:r>
        <w:t xml:space="preserve"> </w:t>
      </w:r>
      <w:r w:rsidRPr="005C6113">
        <w:t xml:space="preserve">inspections, to ensure meters were maintained and functioning efficiently. In addition, potential non-compliance </w:t>
      </w:r>
      <w:r>
        <w:t xml:space="preserve">was </w:t>
      </w:r>
      <w:r w:rsidRPr="005C6113">
        <w:t>also identified by RWC field officers and community reports for investigation.</w:t>
      </w:r>
    </w:p>
    <w:p w14:paraId="7C7ABB38" w14:textId="1192FCBD" w:rsidR="0095193D" w:rsidRDefault="0095193D" w:rsidP="0095193D">
      <w:r w:rsidRPr="005C6113">
        <w:t xml:space="preserve">Telemetry devices provide real-time water </w:t>
      </w:r>
      <w:r>
        <w:t>take</w:t>
      </w:r>
      <w:r w:rsidRPr="005C6113">
        <w:t xml:space="preserve"> data to RWCs and the </w:t>
      </w:r>
      <w:r>
        <w:t xml:space="preserve">Victorian </w:t>
      </w:r>
      <w:r w:rsidRPr="005C6113">
        <w:t>Department of Energy, Environment, and Climate Action (DEECA). RWCs use telemetry data to undertake daily desktop reviews of their customers’ water use and to check for meter errors/</w:t>
      </w:r>
      <w:r w:rsidR="00FE2A43">
        <w:t xml:space="preserve"> </w:t>
      </w:r>
      <w:r w:rsidRPr="005C6113">
        <w:t>volume anomalies to be corrected, where water users are at risk of unauthorised take</w:t>
      </w:r>
      <w:r>
        <w:t>,</w:t>
      </w:r>
      <w:r w:rsidRPr="005C6113">
        <w:t xml:space="preserve"> they are notified by SMS.</w:t>
      </w:r>
    </w:p>
    <w:p w14:paraId="0B6D5C8A" w14:textId="77777777" w:rsidR="0095193D" w:rsidRDefault="0095193D" w:rsidP="0095193D">
      <w:r w:rsidRPr="005C6113">
        <w:t xml:space="preserve">The </w:t>
      </w:r>
      <w:r w:rsidRPr="00A63D1B">
        <w:rPr>
          <w:i/>
        </w:rPr>
        <w:t>Water Act 1989</w:t>
      </w:r>
      <w:r w:rsidRPr="005C6113">
        <w:t xml:space="preserve"> </w:t>
      </w:r>
      <w:r>
        <w:t>(Vic)</w:t>
      </w:r>
      <w:r w:rsidRPr="005C6113">
        <w:t xml:space="preserve"> empowers RWCs to undertake compliance activities and utilise their enforcement powers to ensure compliance. Vic</w:t>
      </w:r>
      <w:r>
        <w:t>toria</w:t>
      </w:r>
      <w:r w:rsidRPr="005C6113">
        <w:t xml:space="preserve"> </w:t>
      </w:r>
      <w:r>
        <w:t xml:space="preserve">has </w:t>
      </w:r>
      <w:r w:rsidRPr="005C6113">
        <w:t xml:space="preserve">zero-tolerance </w:t>
      </w:r>
      <w:r>
        <w:t xml:space="preserve">for </w:t>
      </w:r>
      <w:r w:rsidRPr="005C6113">
        <w:t>unauthorised take, meaning all non-compliance will be investigated.</w:t>
      </w:r>
      <w:r>
        <w:t xml:space="preserve"> </w:t>
      </w:r>
      <w:r w:rsidRPr="005C6113">
        <w:t>If potential non-compliance is identified, RWCs proactively engag</w:t>
      </w:r>
      <w:r>
        <w:t>e</w:t>
      </w:r>
      <w:r w:rsidRPr="005C6113">
        <w:t xml:space="preserve"> with the water user to inform them of the potential breach and support compliance.</w:t>
      </w:r>
    </w:p>
    <w:p w14:paraId="7D83E415" w14:textId="77777777" w:rsidR="0095193D" w:rsidRPr="00660247" w:rsidRDefault="0095193D" w:rsidP="0095193D">
      <w:r w:rsidRPr="00660247">
        <w:t>If a breach is identified and not rectified, the RWC will send a warning or advisory letter, followed by issuing a notice of contravention or penalty infringement notice. In serious cases, this may be followed by restricting supply and possible prosecution. In 2022-23, RWCs reported 1,315 enforcement actions for unauthorised take of water.</w:t>
      </w:r>
    </w:p>
    <w:p w14:paraId="46AEDFBA" w14:textId="77777777" w:rsidR="00A70F5F" w:rsidRDefault="00A70F5F" w:rsidP="00A70F5F">
      <w:pPr>
        <w:pStyle w:val="Heading3"/>
      </w:pPr>
      <w:bookmarkStart w:id="10" w:name="_Toc181271328"/>
      <w:r>
        <w:t>Australian Capital Territory</w:t>
      </w:r>
      <w:bookmarkEnd w:id="10"/>
      <w:r>
        <w:t xml:space="preserve"> </w:t>
      </w:r>
      <w:r w:rsidRPr="00F2170E">
        <w:t xml:space="preserve"> </w:t>
      </w:r>
    </w:p>
    <w:p w14:paraId="3DC9C88C" w14:textId="77777777" w:rsidR="00A70F5F" w:rsidRPr="00664E4B" w:rsidRDefault="00A70F5F" w:rsidP="00A70F5F">
      <w:pPr>
        <w:rPr>
          <w:szCs w:val="20"/>
        </w:rPr>
      </w:pPr>
      <w:r w:rsidRPr="004672F3">
        <w:rPr>
          <w:rStyle w:val="Strong"/>
        </w:rPr>
        <w:t>In 2022-23, the Australian Capital Territory</w:t>
      </w:r>
      <w:r>
        <w:rPr>
          <w:rStyle w:val="Strong"/>
        </w:rPr>
        <w:t>’s</w:t>
      </w:r>
      <w:r w:rsidRPr="004672F3">
        <w:rPr>
          <w:rStyle w:val="Strong"/>
        </w:rPr>
        <w:t xml:space="preserve"> Environment Protection Authority (EPA) managed 182 active </w:t>
      </w:r>
      <w:r>
        <w:rPr>
          <w:rStyle w:val="Strong"/>
        </w:rPr>
        <w:t>w</w:t>
      </w:r>
      <w:r w:rsidRPr="004672F3">
        <w:rPr>
          <w:rStyle w:val="Strong"/>
        </w:rPr>
        <w:t xml:space="preserve">ater licences under the </w:t>
      </w:r>
      <w:r w:rsidRPr="00D0390E">
        <w:rPr>
          <w:rStyle w:val="Strong"/>
          <w:i/>
        </w:rPr>
        <w:t xml:space="preserve">Water Resources Act 2007 </w:t>
      </w:r>
      <w:r>
        <w:rPr>
          <w:rStyle w:val="Strong"/>
        </w:rPr>
        <w:t>(ACT</w:t>
      </w:r>
      <w:r w:rsidRPr="004672F3">
        <w:rPr>
          <w:rStyle w:val="Strong"/>
        </w:rPr>
        <w:t>),</w:t>
      </w:r>
      <w:r w:rsidRPr="00664E4B">
        <w:rPr>
          <w:szCs w:val="20"/>
        </w:rPr>
        <w:t xml:space="preserve"> with no new </w:t>
      </w:r>
      <w:r>
        <w:rPr>
          <w:szCs w:val="20"/>
        </w:rPr>
        <w:t>licences</w:t>
      </w:r>
      <w:r w:rsidRPr="00664E4B">
        <w:rPr>
          <w:szCs w:val="20"/>
        </w:rPr>
        <w:t xml:space="preserve"> issued. During this period, one licence expired, and another was cancelled.</w:t>
      </w:r>
    </w:p>
    <w:p w14:paraId="011F84DF" w14:textId="77777777" w:rsidR="00A70F5F" w:rsidRDefault="00A70F5F" w:rsidP="00A70F5F">
      <w:r w:rsidRPr="004659CA">
        <w:t>The EPA ensures compliance through comprehensive metering, with all licen</w:t>
      </w:r>
      <w:r>
        <w:t>c</w:t>
      </w:r>
      <w:r w:rsidRPr="004659CA">
        <w:t>ed water take fully metered. Each meter is uniquely identified by</w:t>
      </w:r>
      <w:r w:rsidRPr="00774CC1">
        <w:t xml:space="preserve"> </w:t>
      </w:r>
      <w:r w:rsidRPr="004659CA">
        <w:t xml:space="preserve">a serial number linked to the </w:t>
      </w:r>
      <w:r>
        <w:t>w</w:t>
      </w:r>
      <w:r w:rsidRPr="004659CA">
        <w:t xml:space="preserve">ater </w:t>
      </w:r>
      <w:r>
        <w:t>u</w:t>
      </w:r>
      <w:r w:rsidRPr="004659CA">
        <w:t>ser</w:t>
      </w:r>
      <w:r>
        <w:t>’</w:t>
      </w:r>
      <w:r w:rsidRPr="004659CA">
        <w:t xml:space="preserve">s licence file. Licence conditions require the installation and maintenance of meters, as well as regular data reporting. </w:t>
      </w:r>
    </w:p>
    <w:p w14:paraId="3139029B" w14:textId="77777777" w:rsidR="00A70F5F" w:rsidRDefault="00A70F5F" w:rsidP="00A70F5F">
      <w:r w:rsidRPr="004659CA">
        <w:t>In total, 307 water meters were monitored, and licence holders are mandated to</w:t>
      </w:r>
      <w:r w:rsidRPr="00774CC1">
        <w:t xml:space="preserve"> submit water meter readings as frequently as their licence specifies, based on factors like licen</w:t>
      </w:r>
      <w:r>
        <w:t>c</w:t>
      </w:r>
      <w:r w:rsidRPr="00774CC1">
        <w:t>ed volume and past compliance.</w:t>
      </w:r>
    </w:p>
    <w:p w14:paraId="7325B27F" w14:textId="77777777" w:rsidR="00A70F5F" w:rsidRPr="00EF2362" w:rsidRDefault="00A70F5F" w:rsidP="00A70F5F">
      <w:r w:rsidRPr="00EF2362">
        <w:t xml:space="preserve">Due to the small size and accessibility of the regulated area in the </w:t>
      </w:r>
      <w:r>
        <w:t>Australian Capital Territory</w:t>
      </w:r>
      <w:r w:rsidRPr="00EF2362">
        <w:t xml:space="preserve">, telemetry systems are not required. The </w:t>
      </w:r>
      <w:r>
        <w:t xml:space="preserve">Australian Capital Territory’s </w:t>
      </w:r>
      <w:r w:rsidRPr="00EF2362">
        <w:t>Water Regulation Team,</w:t>
      </w:r>
      <w:r>
        <w:t xml:space="preserve"> </w:t>
      </w:r>
      <w:r w:rsidRPr="00EF2362">
        <w:t>consisting of four members, oversees a rigorous inspection schedule aiming to check each meter at least once every three years, or more often if</w:t>
      </w:r>
      <w:r>
        <w:t xml:space="preserve"> </w:t>
      </w:r>
      <w:r w:rsidRPr="00EF2362">
        <w:t>needed. In the reporting period, 47 inspections were conducted - 16 for groundwater and 31 for surface water.</w:t>
      </w:r>
    </w:p>
    <w:p w14:paraId="083DB4B4" w14:textId="77777777" w:rsidR="00A70F5F" w:rsidRPr="00774CC1" w:rsidRDefault="00A70F5F" w:rsidP="00A70F5F">
      <w:r w:rsidRPr="00774CC1">
        <w:t>The EPA also employs satellite imagery to monitor water take and detect any anomalies or unauthorised activities; however, no issues were detected in 2022-23.</w:t>
      </w:r>
    </w:p>
    <w:p w14:paraId="424A1151" w14:textId="77777777" w:rsidR="00A70F5F" w:rsidRPr="00774CC1" w:rsidRDefault="00A70F5F" w:rsidP="00A70F5F">
      <w:r w:rsidRPr="00774CC1">
        <w:t>Non-compliance is handled through a risk-based and proportional strategy, escalating based on the</w:t>
      </w:r>
      <w:r>
        <w:t xml:space="preserve"> </w:t>
      </w:r>
      <w:r w:rsidRPr="00774CC1">
        <w:t>environmental record of the user, volume taken, and impact. Initial investigations into suspected breaches are typically desktop-based.</w:t>
      </w:r>
    </w:p>
    <w:p w14:paraId="2E87258C" w14:textId="77777777" w:rsidR="00A70F5F" w:rsidRDefault="00A70F5F" w:rsidP="00A70F5F">
      <w:r w:rsidRPr="00774CC1">
        <w:t>In response to non-compliance, the EPA issued four warning letters in 2022-23:</w:t>
      </w:r>
    </w:p>
    <w:p w14:paraId="11B82C87" w14:textId="77777777" w:rsidR="00A70F5F" w:rsidRDefault="00A70F5F" w:rsidP="00A70F5F">
      <w:pPr>
        <w:pStyle w:val="ListBullet"/>
      </w:pPr>
      <w:r w:rsidRPr="00774CC1">
        <w:t>one for water overuse</w:t>
      </w:r>
      <w:r>
        <w:t xml:space="preserve"> (exceeding a licenced volume of water)</w:t>
      </w:r>
    </w:p>
    <w:p w14:paraId="6190E127" w14:textId="77777777" w:rsidR="00A70F5F" w:rsidRDefault="00A70F5F" w:rsidP="00A70F5F">
      <w:pPr>
        <w:pStyle w:val="ListBullet"/>
      </w:pPr>
      <w:r w:rsidRPr="00774CC1">
        <w:t>one for unauthorised water take</w:t>
      </w:r>
      <w:r>
        <w:t xml:space="preserve"> (taking water without a licence)</w:t>
      </w:r>
    </w:p>
    <w:p w14:paraId="0E1A7228" w14:textId="77777777" w:rsidR="00A70F5F" w:rsidRDefault="00A70F5F" w:rsidP="00A70F5F">
      <w:pPr>
        <w:pStyle w:val="ListBullet"/>
      </w:pPr>
      <w:r w:rsidRPr="00774CC1">
        <w:t xml:space="preserve">two for failing to submit meter readings. </w:t>
      </w:r>
    </w:p>
    <w:p w14:paraId="7774CFAD" w14:textId="75A06771" w:rsidR="005D1A5D" w:rsidRDefault="00A70F5F" w:rsidP="009B64E5">
      <w:r w:rsidRPr="00774CC1">
        <w:lastRenderedPageBreak/>
        <w:t xml:space="preserve">This approach is part of the EPA’s broader </w:t>
      </w:r>
      <w:r w:rsidRPr="004672F3">
        <w:rPr>
          <w:i/>
          <w:iCs/>
        </w:rPr>
        <w:t xml:space="preserve">Environmental Protection; </w:t>
      </w:r>
      <w:r w:rsidRPr="004672F3">
        <w:rPr>
          <w:i/>
        </w:rPr>
        <w:t>Compliance Framework</w:t>
      </w:r>
      <w:r w:rsidRPr="00774CC1">
        <w:t>, designed to</w:t>
      </w:r>
      <w:r>
        <w:t>, among other things,</w:t>
      </w:r>
      <w:r w:rsidRPr="00774CC1">
        <w:t xml:space="preserve"> ensure </w:t>
      </w:r>
      <w:r>
        <w:t xml:space="preserve">effective </w:t>
      </w:r>
      <w:r w:rsidRPr="00774CC1">
        <w:t>adherence to water management laws.</w:t>
      </w:r>
      <w:r>
        <w:rPr>
          <w:rStyle w:val="FootnoteReference"/>
        </w:rPr>
        <w:footnoteReference w:id="12"/>
      </w:r>
    </w:p>
    <w:p w14:paraId="0492338A" w14:textId="6291B4A9" w:rsidR="008A1F90" w:rsidRDefault="00B6556B" w:rsidP="008A1F90">
      <w:pPr>
        <w:pStyle w:val="Heading2"/>
      </w:pPr>
      <w:bookmarkStart w:id="11" w:name="_Toc181271329"/>
      <w:r w:rsidRPr="00A77B86">
        <w:t xml:space="preserve">Number of </w:t>
      </w:r>
      <w:r w:rsidR="00CE7DAC" w:rsidRPr="00A77B86">
        <w:t>l</w:t>
      </w:r>
      <w:r w:rsidRPr="00A77B86">
        <w:t>icences</w:t>
      </w:r>
      <w:bookmarkEnd w:id="11"/>
    </w:p>
    <w:p w14:paraId="7C4F4BDD" w14:textId="185C802D" w:rsidR="0066016F" w:rsidRPr="00254DD4" w:rsidRDefault="0066016F" w:rsidP="0066016F">
      <w:pPr>
        <w:pStyle w:val="TableText"/>
        <w:rPr>
          <w:rStyle w:val="Strong"/>
        </w:rPr>
      </w:pPr>
      <w:r w:rsidRPr="00254DD4">
        <w:rPr>
          <w:rStyle w:val="Strong"/>
        </w:rPr>
        <w:t xml:space="preserve">Relevance of </w:t>
      </w:r>
      <w:r>
        <w:rPr>
          <w:rStyle w:val="Strong"/>
        </w:rPr>
        <w:t>number of licences to compliance performance outcomes</w:t>
      </w:r>
    </w:p>
    <w:p w14:paraId="2F870C72" w14:textId="091E5360" w:rsidR="0066016F" w:rsidRDefault="0066016F" w:rsidP="0066016F">
      <w:r>
        <w:t>This metric provides information on the number of licences to take water under state legislation that need to be regulated in each jurisdiction. This information provides necessary context for other matters reported in this document as it demonstrates the extent of effort required by Basin States to regulate water take in their respective jurisdictions.</w:t>
      </w:r>
    </w:p>
    <w:p w14:paraId="0CE161F7" w14:textId="6AF52D21" w:rsidR="00772B11" w:rsidRPr="00816352" w:rsidRDefault="00772B11" w:rsidP="008F7FC1">
      <w:r w:rsidRPr="00816352">
        <w:t xml:space="preserve">A water licence </w:t>
      </w:r>
      <w:r w:rsidR="00141523">
        <w:t>(</w:t>
      </w:r>
      <w:r w:rsidR="00DB3A79">
        <w:t>‘</w:t>
      </w:r>
      <w:r w:rsidR="001F303A">
        <w:t>water entitlement</w:t>
      </w:r>
      <w:r w:rsidR="00DB3A79">
        <w:t>’ or ‘approval’</w:t>
      </w:r>
      <w:r w:rsidR="001F303A">
        <w:t xml:space="preserve"> in some jurisdictions) </w:t>
      </w:r>
      <w:r w:rsidRPr="00816352">
        <w:t xml:space="preserve">permits an entity to legally extract water from the groundwater or </w:t>
      </w:r>
      <w:r w:rsidR="00EC0A23">
        <w:t>surface water</w:t>
      </w:r>
      <w:r w:rsidRPr="00816352">
        <w:t xml:space="preserve"> systems of the Basin. However, the structure of water licensing</w:t>
      </w:r>
      <w:r w:rsidR="001F303A">
        <w:t xml:space="preserve"> and approvals</w:t>
      </w:r>
      <w:r w:rsidRPr="00816352">
        <w:t xml:space="preserve"> varies across the Basin States, complicating direct comparisons. Every identified licence</w:t>
      </w:r>
      <w:r w:rsidR="001F303A">
        <w:t xml:space="preserve"> or entitlement</w:t>
      </w:r>
      <w:r w:rsidRPr="00816352">
        <w:t xml:space="preserve"> </w:t>
      </w:r>
      <w:r w:rsidR="00EC0A23">
        <w:t>requires</w:t>
      </w:r>
      <w:r w:rsidRPr="00816352">
        <w:t xml:space="preserve"> regulatory efforts from the respective Basin State.</w:t>
      </w:r>
    </w:p>
    <w:p w14:paraId="198094F5" w14:textId="04AFD22F" w:rsidR="00F87C81" w:rsidRPr="00800D56" w:rsidRDefault="00F46AED" w:rsidP="00A77B86">
      <w:pPr>
        <w:pStyle w:val="TableHeading"/>
        <w:keepNext/>
      </w:pPr>
      <w:r>
        <w:t xml:space="preserve">Table </w:t>
      </w:r>
      <w:r w:rsidR="00410A72">
        <w:t>2</w:t>
      </w:r>
      <w:r w:rsidR="00F87C81" w:rsidRPr="00800D56">
        <w:t xml:space="preserve">: Number of </w:t>
      </w:r>
      <w:r w:rsidR="005D3CB7">
        <w:t>l</w:t>
      </w:r>
      <w:r w:rsidR="005D3CB7" w:rsidRPr="00800D56">
        <w:t xml:space="preserve">icences </w:t>
      </w:r>
      <w:r w:rsidR="00CC1CC6">
        <w:t>authorisations to take water</w:t>
      </w:r>
      <w:r w:rsidR="00CC1CC6" w:rsidRPr="00800D56">
        <w:t xml:space="preserve"> </w:t>
      </w:r>
      <w:r w:rsidR="005D3CB7">
        <w:t xml:space="preserve">in </w:t>
      </w:r>
      <w:r w:rsidR="00743107">
        <w:t xml:space="preserve">the </w:t>
      </w:r>
      <w:r w:rsidR="00743107" w:rsidRPr="00D874D1">
        <w:t>Basin</w:t>
      </w:r>
      <w:r w:rsidR="00372DF4" w:rsidRPr="00D874D1">
        <w:t xml:space="preserve"> </w:t>
      </w:r>
      <w:r w:rsidR="004077B9">
        <w:t xml:space="preserve">portion of each </w:t>
      </w:r>
      <w:r w:rsidR="005D3CB7" w:rsidRPr="00D874D1">
        <w:t>Basin</w:t>
      </w:r>
      <w:r w:rsidR="005D3CB7">
        <w:t xml:space="preserve"> State </w:t>
      </w:r>
    </w:p>
    <w:tbl>
      <w:tblPr>
        <w:tblStyle w:val="TableGridLight"/>
        <w:tblW w:w="0" w:type="auto"/>
        <w:tblLook w:val="04A0" w:firstRow="1" w:lastRow="0" w:firstColumn="1" w:lastColumn="0" w:noHBand="0" w:noVBand="1"/>
      </w:tblPr>
      <w:tblGrid>
        <w:gridCol w:w="1701"/>
        <w:gridCol w:w="2268"/>
        <w:gridCol w:w="5669"/>
      </w:tblGrid>
      <w:tr w:rsidR="001C3807" w:rsidRPr="00800D56" w14:paraId="4762810E" w14:textId="77777777" w:rsidTr="00904853">
        <w:trPr>
          <w:cnfStyle w:val="100000000000" w:firstRow="1" w:lastRow="0" w:firstColumn="0" w:lastColumn="0" w:oddVBand="0" w:evenVBand="0" w:oddHBand="0" w:evenHBand="0" w:firstRowFirstColumn="0" w:firstRowLastColumn="0" w:lastRowFirstColumn="0" w:lastRowLastColumn="0"/>
          <w:tblHeader/>
        </w:trPr>
        <w:tc>
          <w:tcPr>
            <w:tcW w:w="1701" w:type="dxa"/>
          </w:tcPr>
          <w:p w14:paraId="09A90FD3" w14:textId="539C0E08" w:rsidR="001C3807" w:rsidRPr="00800D56" w:rsidRDefault="00C50F0A" w:rsidP="00AC33B4">
            <w:pPr>
              <w:pStyle w:val="TableHeader"/>
            </w:pPr>
            <w:r w:rsidRPr="00800D56">
              <w:t xml:space="preserve">State </w:t>
            </w:r>
          </w:p>
        </w:tc>
        <w:tc>
          <w:tcPr>
            <w:tcW w:w="2268" w:type="dxa"/>
          </w:tcPr>
          <w:p w14:paraId="35D0CBCC" w14:textId="20A9BDD3" w:rsidR="001C3807" w:rsidRPr="00800D56" w:rsidRDefault="00BF5723" w:rsidP="00AC33B4">
            <w:pPr>
              <w:pStyle w:val="TableHeader"/>
            </w:pPr>
            <w:r w:rsidRPr="00800D56">
              <w:t xml:space="preserve">No. </w:t>
            </w:r>
            <w:r w:rsidR="006F0CCF">
              <w:t>l</w:t>
            </w:r>
            <w:r w:rsidRPr="00800D56">
              <w:t>icences</w:t>
            </w:r>
          </w:p>
        </w:tc>
        <w:tc>
          <w:tcPr>
            <w:tcW w:w="5669" w:type="dxa"/>
          </w:tcPr>
          <w:p w14:paraId="26272927" w14:textId="07652FD2" w:rsidR="001C3807" w:rsidRPr="00800D56" w:rsidRDefault="00533447" w:rsidP="00AC33B4">
            <w:pPr>
              <w:pStyle w:val="TableHeader"/>
            </w:pPr>
            <w:r>
              <w:t xml:space="preserve">Notes </w:t>
            </w:r>
          </w:p>
        </w:tc>
      </w:tr>
      <w:tr w:rsidR="001C3807" w:rsidRPr="00800D56" w14:paraId="5DD469FE" w14:textId="77777777" w:rsidTr="00B721A6">
        <w:tc>
          <w:tcPr>
            <w:tcW w:w="1701" w:type="dxa"/>
          </w:tcPr>
          <w:p w14:paraId="22D8A645" w14:textId="36639944" w:rsidR="001C3807" w:rsidRPr="00800D56" w:rsidRDefault="00592B42" w:rsidP="00AC33B4">
            <w:pPr>
              <w:pStyle w:val="TableText"/>
            </w:pPr>
            <w:r w:rsidRPr="00800D56">
              <w:t>NSW</w:t>
            </w:r>
          </w:p>
        </w:tc>
        <w:tc>
          <w:tcPr>
            <w:tcW w:w="2268" w:type="dxa"/>
          </w:tcPr>
          <w:p w14:paraId="6C6F7A2F" w14:textId="22CEE843" w:rsidR="001C3807" w:rsidRPr="00800D56" w:rsidRDefault="00592B42" w:rsidP="00AC33B4">
            <w:pPr>
              <w:pStyle w:val="TableText"/>
            </w:pPr>
            <w:r w:rsidRPr="00800D56">
              <w:t>22,616</w:t>
            </w:r>
          </w:p>
        </w:tc>
        <w:tc>
          <w:tcPr>
            <w:tcW w:w="5669" w:type="dxa"/>
          </w:tcPr>
          <w:p w14:paraId="0BAF441B" w14:textId="24F190CE" w:rsidR="001C3807" w:rsidRPr="00881E12" w:rsidRDefault="0005201C" w:rsidP="00AC33B4">
            <w:pPr>
              <w:pStyle w:val="TableText"/>
            </w:pPr>
            <w:r>
              <w:t xml:space="preserve">Known as </w:t>
            </w:r>
            <w:r w:rsidR="00881E12">
              <w:t>water access licence</w:t>
            </w:r>
            <w:r>
              <w:t>s</w:t>
            </w:r>
            <w:r w:rsidR="00881E12">
              <w:t xml:space="preserve"> (WAL) </w:t>
            </w:r>
            <w:r w:rsidR="0073423E">
              <w:t>for irrigation, industrial</w:t>
            </w:r>
            <w:r w:rsidR="001E552C">
              <w:t xml:space="preserve"> or commercial purposes. </w:t>
            </w:r>
          </w:p>
        </w:tc>
      </w:tr>
      <w:tr w:rsidR="001C3807" w:rsidRPr="00800D56" w14:paraId="64E07A8A" w14:textId="77777777" w:rsidTr="00B721A6">
        <w:tc>
          <w:tcPr>
            <w:tcW w:w="1701" w:type="dxa"/>
          </w:tcPr>
          <w:p w14:paraId="38F3193B" w14:textId="372092F9" w:rsidR="001C3807" w:rsidRPr="00800D56" w:rsidRDefault="00592B42" w:rsidP="00AC33B4">
            <w:pPr>
              <w:pStyle w:val="TableText"/>
            </w:pPr>
            <w:r w:rsidRPr="00800D56">
              <w:t>QLD</w:t>
            </w:r>
          </w:p>
        </w:tc>
        <w:tc>
          <w:tcPr>
            <w:tcW w:w="2268" w:type="dxa"/>
          </w:tcPr>
          <w:p w14:paraId="611BABBF" w14:textId="5ADED5F5" w:rsidR="001C3807" w:rsidRPr="00800D56" w:rsidRDefault="00592B42" w:rsidP="00AC33B4">
            <w:pPr>
              <w:pStyle w:val="TableText"/>
            </w:pPr>
            <w:r w:rsidRPr="00800D56">
              <w:t>5,</w:t>
            </w:r>
            <w:r w:rsidR="004166F0">
              <w:t>597</w:t>
            </w:r>
          </w:p>
        </w:tc>
        <w:tc>
          <w:tcPr>
            <w:tcW w:w="5669" w:type="dxa"/>
          </w:tcPr>
          <w:p w14:paraId="7D98AAE1" w14:textId="29CA08E4" w:rsidR="001C3807" w:rsidRPr="004166F0" w:rsidRDefault="007633E9" w:rsidP="00AC33B4">
            <w:pPr>
              <w:pStyle w:val="TableText"/>
            </w:pPr>
            <w:r>
              <w:t xml:space="preserve">Covers </w:t>
            </w:r>
            <w:r w:rsidR="00E26A11" w:rsidRPr="43184C62">
              <w:t xml:space="preserve">supplemented and </w:t>
            </w:r>
            <w:proofErr w:type="spellStart"/>
            <w:r w:rsidR="00E26A11" w:rsidRPr="43184C62">
              <w:t>unsupplemented</w:t>
            </w:r>
            <w:proofErr w:type="spellEnd"/>
            <w:r w:rsidR="00E26A11" w:rsidRPr="43184C62">
              <w:t xml:space="preserve"> </w:t>
            </w:r>
            <w:r w:rsidR="002534B8" w:rsidRPr="43184C62">
              <w:t xml:space="preserve">groundwater and surface </w:t>
            </w:r>
            <w:r w:rsidR="00E26A11" w:rsidRPr="43184C62">
              <w:t>water use</w:t>
            </w:r>
            <w:r w:rsidR="00077D07" w:rsidRPr="43184C62">
              <w:t xml:space="preserve">. </w:t>
            </w:r>
          </w:p>
        </w:tc>
      </w:tr>
      <w:tr w:rsidR="00021330" w:rsidRPr="00800D56" w14:paraId="4ACA722D" w14:textId="77777777" w:rsidTr="00B721A6">
        <w:tc>
          <w:tcPr>
            <w:tcW w:w="1701" w:type="dxa"/>
          </w:tcPr>
          <w:p w14:paraId="407AF7AA" w14:textId="2EE1D0B1" w:rsidR="00021330" w:rsidRPr="00800D56" w:rsidRDefault="00592B42" w:rsidP="00AC33B4">
            <w:pPr>
              <w:pStyle w:val="TableText"/>
            </w:pPr>
            <w:r w:rsidRPr="00800D56">
              <w:t>SA</w:t>
            </w:r>
          </w:p>
        </w:tc>
        <w:tc>
          <w:tcPr>
            <w:tcW w:w="2268" w:type="dxa"/>
          </w:tcPr>
          <w:p w14:paraId="487C1138" w14:textId="45051876" w:rsidR="00021330" w:rsidRPr="00800D56" w:rsidRDefault="00D55B38" w:rsidP="00AC33B4">
            <w:pPr>
              <w:pStyle w:val="TableText"/>
            </w:pPr>
            <w:r w:rsidRPr="00800D56">
              <w:t>5,318</w:t>
            </w:r>
          </w:p>
        </w:tc>
        <w:tc>
          <w:tcPr>
            <w:tcW w:w="5669" w:type="dxa"/>
          </w:tcPr>
          <w:p w14:paraId="5AAD70BA" w14:textId="20C46045" w:rsidR="00021330" w:rsidRPr="00D938ED" w:rsidRDefault="008A1523" w:rsidP="00AC33B4">
            <w:pPr>
              <w:pStyle w:val="TableText"/>
            </w:pPr>
            <w:r>
              <w:t>I</w:t>
            </w:r>
            <w:r w:rsidR="001D24F4" w:rsidRPr="00D938ED">
              <w:t>nclude</w:t>
            </w:r>
            <w:r>
              <w:t>s</w:t>
            </w:r>
            <w:r w:rsidR="001D24F4" w:rsidRPr="00D938ED">
              <w:t xml:space="preserve"> </w:t>
            </w:r>
            <w:r w:rsidR="00577C46">
              <w:t>the</w:t>
            </w:r>
            <w:r w:rsidR="001D24F4">
              <w:t xml:space="preserve"> </w:t>
            </w:r>
            <w:r>
              <w:t xml:space="preserve">number </w:t>
            </w:r>
            <w:r w:rsidR="006517D7" w:rsidRPr="00D938ED">
              <w:t xml:space="preserve">of water accounts and </w:t>
            </w:r>
            <w:r w:rsidR="00FA4D46" w:rsidRPr="00D938ED">
              <w:t>1</w:t>
            </w:r>
            <w:r>
              <w:t>,</w:t>
            </w:r>
            <w:r w:rsidR="00FA4D46" w:rsidRPr="00D938ED">
              <w:t>912 licen</w:t>
            </w:r>
            <w:r>
              <w:t>ce</w:t>
            </w:r>
            <w:r w:rsidR="00FA4D46" w:rsidRPr="00D938ED">
              <w:t>s</w:t>
            </w:r>
            <w:r>
              <w:t xml:space="preserve"> for</w:t>
            </w:r>
            <w:r w:rsidR="00FA4D46" w:rsidRPr="00D938ED">
              <w:t xml:space="preserve"> stock and domestic </w:t>
            </w:r>
            <w:r w:rsidR="00D938ED" w:rsidRPr="00D938ED">
              <w:t>use.</w:t>
            </w:r>
          </w:p>
        </w:tc>
      </w:tr>
      <w:tr w:rsidR="005A0AFB" w:rsidRPr="00800D56" w14:paraId="50EC989C" w14:textId="77777777">
        <w:tc>
          <w:tcPr>
            <w:tcW w:w="1701" w:type="dxa"/>
          </w:tcPr>
          <w:p w14:paraId="511BA126" w14:textId="77777777" w:rsidR="005A0AFB" w:rsidRPr="0051533F" w:rsidRDefault="005A0AFB">
            <w:pPr>
              <w:pStyle w:val="TableText"/>
            </w:pPr>
            <w:r w:rsidRPr="0051533F">
              <w:t>VIC</w:t>
            </w:r>
          </w:p>
        </w:tc>
        <w:tc>
          <w:tcPr>
            <w:tcW w:w="2268" w:type="dxa"/>
          </w:tcPr>
          <w:p w14:paraId="2C021E00" w14:textId="5B5B873E" w:rsidR="005A0AFB" w:rsidRPr="0051533F" w:rsidRDefault="005A0AFB">
            <w:pPr>
              <w:pStyle w:val="TableText"/>
            </w:pPr>
            <w:r>
              <w:t>60,</w:t>
            </w:r>
            <w:r w:rsidR="00E510DF">
              <w:t>97</w:t>
            </w:r>
            <w:r>
              <w:t>4</w:t>
            </w:r>
          </w:p>
        </w:tc>
        <w:tc>
          <w:tcPr>
            <w:tcW w:w="5669" w:type="dxa"/>
          </w:tcPr>
          <w:p w14:paraId="544E0A43" w14:textId="6FC5DBFC" w:rsidR="005A0AFB" w:rsidRPr="0051533F" w:rsidRDefault="005A0AFB" w:rsidP="00A269AE">
            <w:pPr>
              <w:spacing w:before="240" w:after="240"/>
              <w:rPr>
                <w:szCs w:val="20"/>
              </w:rPr>
            </w:pPr>
            <w:r>
              <w:rPr>
                <w:rFonts w:eastAsia="Segoe UI" w:cs="Segoe UI"/>
              </w:rPr>
              <w:t>Includes take and use licences to take water from unregulated rivers, groundwater and private farm dams</w:t>
            </w:r>
            <w:r w:rsidR="00A269AE">
              <w:rPr>
                <w:rFonts w:eastAsia="Segoe UI" w:cs="Segoe UI"/>
              </w:rPr>
              <w:t xml:space="preserve"> and captures </w:t>
            </w:r>
            <w:r>
              <w:rPr>
                <w:szCs w:val="20"/>
              </w:rPr>
              <w:t>general place of take approvals</w:t>
            </w:r>
            <w:r w:rsidR="009C1746">
              <w:rPr>
                <w:szCs w:val="20"/>
              </w:rPr>
              <w:t xml:space="preserve">, </w:t>
            </w:r>
            <w:r w:rsidR="00C40309">
              <w:rPr>
                <w:szCs w:val="20"/>
              </w:rPr>
              <w:t>where individual</w:t>
            </w:r>
            <w:r w:rsidR="009C1746">
              <w:rPr>
                <w:szCs w:val="20"/>
              </w:rPr>
              <w:t xml:space="preserve"> </w:t>
            </w:r>
            <w:r>
              <w:rPr>
                <w:szCs w:val="20"/>
              </w:rPr>
              <w:t>water user</w:t>
            </w:r>
            <w:r w:rsidR="00C40309">
              <w:rPr>
                <w:szCs w:val="20"/>
              </w:rPr>
              <w:t>s</w:t>
            </w:r>
            <w:r>
              <w:rPr>
                <w:szCs w:val="20"/>
              </w:rPr>
              <w:t xml:space="preserve"> may have multiple general </w:t>
            </w:r>
            <w:proofErr w:type="gramStart"/>
            <w:r>
              <w:rPr>
                <w:szCs w:val="20"/>
              </w:rPr>
              <w:t>place</w:t>
            </w:r>
            <w:proofErr w:type="gramEnd"/>
            <w:r>
              <w:rPr>
                <w:szCs w:val="20"/>
              </w:rPr>
              <w:t xml:space="preserve"> of take approvals.</w:t>
            </w:r>
          </w:p>
        </w:tc>
      </w:tr>
      <w:tr w:rsidR="00021330" w:rsidRPr="00800D56" w14:paraId="46BC4206" w14:textId="77777777" w:rsidTr="00B721A6">
        <w:tc>
          <w:tcPr>
            <w:tcW w:w="1701" w:type="dxa"/>
          </w:tcPr>
          <w:p w14:paraId="61200A97" w14:textId="01BAB8DA" w:rsidR="00021330" w:rsidRPr="00800D56" w:rsidRDefault="00592B42" w:rsidP="00AC33B4">
            <w:pPr>
              <w:pStyle w:val="TableText"/>
            </w:pPr>
            <w:r w:rsidRPr="00800D56">
              <w:t>ACT</w:t>
            </w:r>
          </w:p>
        </w:tc>
        <w:tc>
          <w:tcPr>
            <w:tcW w:w="2268" w:type="dxa"/>
          </w:tcPr>
          <w:p w14:paraId="25433B44" w14:textId="370334DB" w:rsidR="00021330" w:rsidRPr="00800D56" w:rsidRDefault="001D03FB" w:rsidP="00AC33B4">
            <w:pPr>
              <w:pStyle w:val="TableText"/>
            </w:pPr>
            <w:r>
              <w:t>180</w:t>
            </w:r>
          </w:p>
        </w:tc>
        <w:tc>
          <w:tcPr>
            <w:tcW w:w="5669" w:type="dxa"/>
          </w:tcPr>
          <w:p w14:paraId="1F457593" w14:textId="684CE3AD" w:rsidR="00021330" w:rsidRPr="00800D56" w:rsidRDefault="000940EA" w:rsidP="00AC33B4">
            <w:pPr>
              <w:pStyle w:val="TableText"/>
            </w:pPr>
            <w:r>
              <w:t>L</w:t>
            </w:r>
            <w:r w:rsidR="00BC497C" w:rsidRPr="00BC497C">
              <w:t>icence</w:t>
            </w:r>
            <w:r>
              <w:t xml:space="preserve">-holder must also </w:t>
            </w:r>
            <w:r w:rsidR="00BC497C" w:rsidRPr="00BC497C">
              <w:t>hold</w:t>
            </w:r>
            <w:r w:rsidR="000F28A2">
              <w:t>,</w:t>
            </w:r>
            <w:r>
              <w:t xml:space="preserve"> or </w:t>
            </w:r>
            <w:r w:rsidR="00061B1A">
              <w:t>be</w:t>
            </w:r>
            <w:r>
              <w:t xml:space="preserve"> exempt from holding</w:t>
            </w:r>
            <w:r w:rsidR="000F28A2">
              <w:t>,</w:t>
            </w:r>
            <w:r w:rsidR="00BC497C" w:rsidRPr="00BC497C">
              <w:t xml:space="preserve"> a Water Access Entitlement</w:t>
            </w:r>
            <w:r w:rsidR="00A75103">
              <w:t>, which</w:t>
            </w:r>
            <w:r w:rsidR="00BC497C" w:rsidRPr="00BC497C">
              <w:t xml:space="preserve"> provides a right to </w:t>
            </w:r>
            <w:r w:rsidR="00022359">
              <w:t xml:space="preserve">a quantity </w:t>
            </w:r>
            <w:r w:rsidR="00BC497C" w:rsidRPr="00BC497C">
              <w:t>of surface water or groundwater.</w:t>
            </w:r>
          </w:p>
        </w:tc>
      </w:tr>
    </w:tbl>
    <w:p w14:paraId="16031860" w14:textId="1A2FF866" w:rsidR="00150D97" w:rsidRDefault="003344B0" w:rsidP="00072A02">
      <w:pPr>
        <w:spacing w:line="300" w:lineRule="auto"/>
        <w:ind w:left="444"/>
        <w:rPr>
          <w:spacing w:val="-6"/>
          <w:w w:val="120"/>
        </w:rPr>
      </w:pPr>
      <w:r>
        <w:rPr>
          <w:color w:val="FFFFFF"/>
          <w:w w:val="110"/>
          <w:sz w:val="16"/>
        </w:rPr>
        <w:t>Licences</w:t>
      </w:r>
      <w:r w:rsidR="00CE77EF">
        <w:rPr>
          <w:color w:val="FFFFFF"/>
          <w:w w:val="110"/>
          <w:sz w:val="16"/>
        </w:rPr>
        <w:t xml:space="preserve"> comprise of 3,895 </w:t>
      </w:r>
      <w:r w:rsidR="00CE77EF">
        <w:rPr>
          <w:color w:val="FFFFFF"/>
          <w:spacing w:val="-2"/>
          <w:w w:val="110"/>
          <w:sz w:val="16"/>
        </w:rPr>
        <w:t>registration</w:t>
      </w:r>
      <w:r w:rsidR="00CE77EF">
        <w:rPr>
          <w:color w:val="FFFFFF"/>
          <w:spacing w:val="-14"/>
          <w:w w:val="110"/>
          <w:sz w:val="16"/>
        </w:rPr>
        <w:t xml:space="preserve"> </w:t>
      </w:r>
      <w:r>
        <w:rPr>
          <w:color w:val="FFFFFF"/>
          <w:spacing w:val="-2"/>
          <w:w w:val="110"/>
          <w:sz w:val="16"/>
        </w:rPr>
        <w:t>licences</w:t>
      </w:r>
      <w:r w:rsidR="00CE77EF">
        <w:rPr>
          <w:color w:val="FFFFFF"/>
          <w:spacing w:val="-2"/>
          <w:w w:val="110"/>
          <w:sz w:val="16"/>
        </w:rPr>
        <w:t>,</w:t>
      </w:r>
      <w:r w:rsidR="00CE77EF">
        <w:rPr>
          <w:color w:val="FFFFFF"/>
          <w:spacing w:val="-14"/>
          <w:w w:val="110"/>
          <w:sz w:val="16"/>
        </w:rPr>
        <w:t xml:space="preserve"> </w:t>
      </w:r>
      <w:r w:rsidR="00CE77EF">
        <w:rPr>
          <w:color w:val="FFFFFF"/>
          <w:spacing w:val="-2"/>
          <w:w w:val="110"/>
          <w:sz w:val="16"/>
        </w:rPr>
        <w:t>684</w:t>
      </w:r>
      <w:r w:rsidR="00CE77EF">
        <w:rPr>
          <w:color w:val="FFFFFF"/>
          <w:spacing w:val="-14"/>
          <w:w w:val="110"/>
          <w:sz w:val="16"/>
        </w:rPr>
        <w:t xml:space="preserve"> </w:t>
      </w:r>
      <w:r w:rsidR="00CE77EF">
        <w:rPr>
          <w:color w:val="FFFFFF"/>
          <w:spacing w:val="-2"/>
          <w:w w:val="110"/>
          <w:sz w:val="16"/>
        </w:rPr>
        <w:t xml:space="preserve">supply </w:t>
      </w:r>
      <w:r w:rsidR="00CE77EF">
        <w:rPr>
          <w:color w:val="FFFFFF"/>
          <w:w w:val="110"/>
          <w:sz w:val="16"/>
        </w:rPr>
        <w:t xml:space="preserve">by agreement, 5,507 take and use 017 </w:t>
      </w:r>
    </w:p>
    <w:p w14:paraId="06802956" w14:textId="080EAA9A" w:rsidR="00D6485B" w:rsidRDefault="004A686C" w:rsidP="0046075C">
      <w:pPr>
        <w:pStyle w:val="Heading2"/>
        <w:pageBreakBefore/>
      </w:pPr>
      <w:bookmarkStart w:id="12" w:name="_Toc181271330"/>
      <w:r w:rsidRPr="00A77B86">
        <w:lastRenderedPageBreak/>
        <w:t>Number of statuto</w:t>
      </w:r>
      <w:r w:rsidR="008B3D68">
        <w:t>r</w:t>
      </w:r>
      <w:r w:rsidRPr="00A77B86">
        <w:t>y officers</w:t>
      </w:r>
      <w:bookmarkEnd w:id="12"/>
    </w:p>
    <w:p w14:paraId="3624D00C" w14:textId="4DFFAAE0" w:rsidR="00301221" w:rsidRPr="00254DD4" w:rsidRDefault="00301221" w:rsidP="00301221">
      <w:pPr>
        <w:pStyle w:val="TableText"/>
        <w:rPr>
          <w:rStyle w:val="Strong"/>
        </w:rPr>
      </w:pPr>
      <w:r w:rsidRPr="00254DD4">
        <w:rPr>
          <w:rStyle w:val="Strong"/>
        </w:rPr>
        <w:t>Relevance of</w:t>
      </w:r>
      <w:r>
        <w:rPr>
          <w:rStyle w:val="Strong"/>
        </w:rPr>
        <w:t xml:space="preserve"> number of statutory officers to compliance performance outcomes</w:t>
      </w:r>
    </w:p>
    <w:p w14:paraId="12A5F7C8" w14:textId="2A0BCEB9" w:rsidR="00D962A6" w:rsidRDefault="00301221" w:rsidP="00301221">
      <w:r>
        <w:t xml:space="preserve">This metric provides information on the number of full-time equivalent statutory officers who are active in the Basin portion of the </w:t>
      </w:r>
      <w:r w:rsidR="00F06765">
        <w:t>jurisdiction</w:t>
      </w:r>
      <w:r>
        <w:t xml:space="preserve"> (except for Queensland which includes statutory officers for </w:t>
      </w:r>
      <w:proofErr w:type="gramStart"/>
      <w:r>
        <w:t>all</w:t>
      </w:r>
      <w:r w:rsidR="00EA4913">
        <w:t xml:space="preserve"> </w:t>
      </w:r>
      <w:r>
        <w:t>of</w:t>
      </w:r>
      <w:proofErr w:type="gramEnd"/>
      <w:r>
        <w:t xml:space="preserve"> southern Queensland). </w:t>
      </w:r>
      <w:r w:rsidRPr="009E66D2">
        <w:t xml:space="preserve">This information provides necessary context for other matters reported in this document as it </w:t>
      </w:r>
      <w:r>
        <w:t>is indicative of</w:t>
      </w:r>
      <w:r w:rsidRPr="009E66D2">
        <w:t xml:space="preserve"> </w:t>
      </w:r>
      <w:r>
        <w:t>the amount of resources Basin States allocate for the regulation of water take.</w:t>
      </w:r>
    </w:p>
    <w:p w14:paraId="6928037B" w14:textId="041F822F" w:rsidR="004F0DB1" w:rsidRPr="004F0DB1" w:rsidRDefault="004F0DB1" w:rsidP="009C3F3B">
      <w:r w:rsidRPr="004F0DB1">
        <w:t xml:space="preserve">Statutory </w:t>
      </w:r>
      <w:r w:rsidR="00CC1215">
        <w:t>o</w:t>
      </w:r>
      <w:r w:rsidRPr="004F0DB1">
        <w:t xml:space="preserve">fficers are </w:t>
      </w:r>
      <w:r w:rsidR="00BA2715">
        <w:t xml:space="preserve">those officers </w:t>
      </w:r>
      <w:r w:rsidR="00776498">
        <w:t xml:space="preserve">who are </w:t>
      </w:r>
      <w:r w:rsidRPr="004F0DB1">
        <w:t>authorised under legislation to conduct compliance activities such as on-site inspections</w:t>
      </w:r>
      <w:r w:rsidRPr="004F0DB1">
        <w:rPr>
          <w:spacing w:val="40"/>
        </w:rPr>
        <w:t xml:space="preserve"> </w:t>
      </w:r>
      <w:r w:rsidRPr="004F0DB1">
        <w:t xml:space="preserve">and formal investigations. All Basin States also have </w:t>
      </w:r>
      <w:r w:rsidR="004D00DD" w:rsidRPr="004F0DB1">
        <w:t>non</w:t>
      </w:r>
      <w:r w:rsidR="004D00DD">
        <w:t>-</w:t>
      </w:r>
      <w:r w:rsidRPr="004F0DB1">
        <w:t xml:space="preserve">statutory appointed officers contributing to regulatory </w:t>
      </w:r>
      <w:r w:rsidRPr="004F0DB1">
        <w:rPr>
          <w:spacing w:val="-2"/>
          <w:w w:val="110"/>
        </w:rPr>
        <w:t>activities</w:t>
      </w:r>
      <w:r w:rsidRPr="004F0DB1">
        <w:rPr>
          <w:spacing w:val="-15"/>
          <w:w w:val="110"/>
        </w:rPr>
        <w:t xml:space="preserve"> </w:t>
      </w:r>
      <w:r w:rsidRPr="004F0DB1">
        <w:rPr>
          <w:spacing w:val="-2"/>
          <w:w w:val="110"/>
        </w:rPr>
        <w:t>that</w:t>
      </w:r>
      <w:r w:rsidRPr="004F0DB1">
        <w:rPr>
          <w:spacing w:val="-15"/>
          <w:w w:val="110"/>
        </w:rPr>
        <w:t xml:space="preserve"> </w:t>
      </w:r>
      <w:r w:rsidRPr="004F0DB1">
        <w:rPr>
          <w:spacing w:val="-2"/>
          <w:w w:val="110"/>
        </w:rPr>
        <w:t>do</w:t>
      </w:r>
      <w:r w:rsidRPr="004F0DB1">
        <w:rPr>
          <w:spacing w:val="-15"/>
          <w:w w:val="110"/>
        </w:rPr>
        <w:t xml:space="preserve"> </w:t>
      </w:r>
      <w:r w:rsidRPr="004F0DB1">
        <w:rPr>
          <w:spacing w:val="-2"/>
          <w:w w:val="110"/>
        </w:rPr>
        <w:t>not</w:t>
      </w:r>
      <w:r w:rsidRPr="004F0DB1">
        <w:rPr>
          <w:spacing w:val="-15"/>
          <w:w w:val="110"/>
        </w:rPr>
        <w:t xml:space="preserve"> </w:t>
      </w:r>
      <w:r w:rsidRPr="004F0DB1">
        <w:rPr>
          <w:spacing w:val="-2"/>
          <w:w w:val="110"/>
        </w:rPr>
        <w:t>involve</w:t>
      </w:r>
      <w:r w:rsidRPr="004F0DB1">
        <w:rPr>
          <w:spacing w:val="-15"/>
          <w:w w:val="110"/>
        </w:rPr>
        <w:t xml:space="preserve"> </w:t>
      </w:r>
      <w:r w:rsidRPr="004F0DB1">
        <w:rPr>
          <w:spacing w:val="-2"/>
          <w:w w:val="110"/>
        </w:rPr>
        <w:t>the</w:t>
      </w:r>
      <w:r w:rsidRPr="004F0DB1">
        <w:rPr>
          <w:spacing w:val="-15"/>
          <w:w w:val="110"/>
        </w:rPr>
        <w:t xml:space="preserve"> </w:t>
      </w:r>
      <w:r w:rsidRPr="004F0DB1">
        <w:rPr>
          <w:spacing w:val="-2"/>
          <w:w w:val="110"/>
        </w:rPr>
        <w:t>use</w:t>
      </w:r>
      <w:r w:rsidRPr="004F0DB1">
        <w:rPr>
          <w:spacing w:val="-15"/>
          <w:w w:val="110"/>
        </w:rPr>
        <w:t xml:space="preserve"> </w:t>
      </w:r>
      <w:r w:rsidRPr="004F0DB1">
        <w:rPr>
          <w:spacing w:val="-2"/>
          <w:w w:val="110"/>
        </w:rPr>
        <w:t>of</w:t>
      </w:r>
      <w:r w:rsidRPr="004F0DB1">
        <w:rPr>
          <w:spacing w:val="-15"/>
          <w:w w:val="110"/>
        </w:rPr>
        <w:t xml:space="preserve"> </w:t>
      </w:r>
      <w:r w:rsidRPr="004F0DB1">
        <w:rPr>
          <w:spacing w:val="-2"/>
          <w:w w:val="110"/>
        </w:rPr>
        <w:t>authorised</w:t>
      </w:r>
      <w:r w:rsidRPr="004F0DB1">
        <w:rPr>
          <w:spacing w:val="-15"/>
          <w:w w:val="110"/>
        </w:rPr>
        <w:t xml:space="preserve"> </w:t>
      </w:r>
      <w:r w:rsidRPr="004F0DB1">
        <w:rPr>
          <w:spacing w:val="-2"/>
          <w:w w:val="110"/>
        </w:rPr>
        <w:t>powers.</w:t>
      </w:r>
    </w:p>
    <w:p w14:paraId="1F10D356" w14:textId="136F74DE" w:rsidR="00B31CD2" w:rsidRPr="009C3F3B" w:rsidRDefault="0090490C" w:rsidP="009C3F3B">
      <w:pPr>
        <w:pStyle w:val="TableHeading"/>
      </w:pPr>
      <w:r w:rsidRPr="0090490C">
        <w:t xml:space="preserve">Table </w:t>
      </w:r>
      <w:r w:rsidR="00C827C6">
        <w:t>3</w:t>
      </w:r>
      <w:r w:rsidRPr="0090490C">
        <w:t xml:space="preserve">: </w:t>
      </w:r>
      <w:r w:rsidR="00B31CD2" w:rsidRPr="009C3F3B">
        <w:t xml:space="preserve">Number of </w:t>
      </w:r>
      <w:r>
        <w:t>s</w:t>
      </w:r>
      <w:r w:rsidRPr="009C3F3B">
        <w:t xml:space="preserve">tatutory </w:t>
      </w:r>
      <w:r>
        <w:t>o</w:t>
      </w:r>
      <w:r w:rsidRPr="009C3F3B">
        <w:t>fficers</w:t>
      </w:r>
    </w:p>
    <w:tbl>
      <w:tblPr>
        <w:tblStyle w:val="TableGridLight"/>
        <w:tblW w:w="0" w:type="auto"/>
        <w:tblLook w:val="04A0" w:firstRow="1" w:lastRow="0" w:firstColumn="1" w:lastColumn="0" w:noHBand="0" w:noVBand="1"/>
      </w:tblPr>
      <w:tblGrid>
        <w:gridCol w:w="1701"/>
        <w:gridCol w:w="2268"/>
        <w:gridCol w:w="5669"/>
      </w:tblGrid>
      <w:tr w:rsidR="00B31CD2" w:rsidRPr="00B33C7F" w14:paraId="4733C15C" w14:textId="77777777" w:rsidTr="00A77B86">
        <w:trPr>
          <w:cnfStyle w:val="100000000000" w:firstRow="1" w:lastRow="0" w:firstColumn="0" w:lastColumn="0" w:oddVBand="0" w:evenVBand="0" w:oddHBand="0" w:evenHBand="0" w:firstRowFirstColumn="0" w:firstRowLastColumn="0" w:lastRowFirstColumn="0" w:lastRowLastColumn="0"/>
          <w:tblHeader/>
        </w:trPr>
        <w:tc>
          <w:tcPr>
            <w:tcW w:w="1701" w:type="dxa"/>
          </w:tcPr>
          <w:p w14:paraId="63883E17" w14:textId="77777777" w:rsidR="00B31CD2" w:rsidRPr="00B33C7F" w:rsidRDefault="00B31CD2" w:rsidP="00A77B86">
            <w:pPr>
              <w:rPr>
                <w:b/>
                <w:bCs/>
                <w:color w:val="E7E6E6" w:themeColor="background2"/>
                <w:szCs w:val="20"/>
              </w:rPr>
            </w:pPr>
            <w:r w:rsidRPr="00B33C7F">
              <w:rPr>
                <w:b/>
                <w:bCs/>
                <w:color w:val="E7E6E6" w:themeColor="background2"/>
                <w:szCs w:val="20"/>
              </w:rPr>
              <w:t xml:space="preserve">State </w:t>
            </w:r>
          </w:p>
        </w:tc>
        <w:tc>
          <w:tcPr>
            <w:tcW w:w="2268" w:type="dxa"/>
          </w:tcPr>
          <w:p w14:paraId="7CC2ECDE" w14:textId="111EC9DB" w:rsidR="00B31CD2" w:rsidRPr="00B33C7F" w:rsidRDefault="00B31CD2" w:rsidP="00A77B86">
            <w:pPr>
              <w:rPr>
                <w:b/>
                <w:bCs/>
                <w:color w:val="E7E6E6" w:themeColor="background2"/>
                <w:szCs w:val="20"/>
              </w:rPr>
            </w:pPr>
            <w:r w:rsidRPr="00B33C7F">
              <w:rPr>
                <w:b/>
                <w:bCs/>
                <w:color w:val="E7E6E6" w:themeColor="background2"/>
                <w:szCs w:val="20"/>
              </w:rPr>
              <w:t xml:space="preserve">No. </w:t>
            </w:r>
            <w:r w:rsidR="00BE1CE4">
              <w:rPr>
                <w:b/>
                <w:bCs/>
                <w:color w:val="E7E6E6" w:themeColor="background2"/>
                <w:szCs w:val="20"/>
              </w:rPr>
              <w:t xml:space="preserve">of </w:t>
            </w:r>
            <w:r w:rsidR="006F0CCF">
              <w:rPr>
                <w:b/>
                <w:bCs/>
                <w:color w:val="E7E6E6" w:themeColor="background2"/>
                <w:szCs w:val="20"/>
              </w:rPr>
              <w:t>s</w:t>
            </w:r>
            <w:r w:rsidR="00DD49E8" w:rsidRPr="00B33C7F">
              <w:rPr>
                <w:b/>
                <w:bCs/>
                <w:color w:val="E7E6E6" w:themeColor="background2"/>
                <w:szCs w:val="20"/>
              </w:rPr>
              <w:t xml:space="preserve">tatutory </w:t>
            </w:r>
            <w:r w:rsidR="006F0CCF">
              <w:rPr>
                <w:b/>
                <w:bCs/>
                <w:color w:val="E7E6E6" w:themeColor="background2"/>
                <w:szCs w:val="20"/>
              </w:rPr>
              <w:t>o</w:t>
            </w:r>
            <w:r w:rsidR="006F0CCF" w:rsidRPr="00B33C7F">
              <w:rPr>
                <w:b/>
                <w:bCs/>
                <w:color w:val="E7E6E6" w:themeColor="background2"/>
                <w:szCs w:val="20"/>
              </w:rPr>
              <w:t xml:space="preserve">fficers </w:t>
            </w:r>
          </w:p>
        </w:tc>
        <w:tc>
          <w:tcPr>
            <w:tcW w:w="5669" w:type="dxa"/>
          </w:tcPr>
          <w:p w14:paraId="5D05EBCB" w14:textId="5A8C2D65" w:rsidR="00B31CD2" w:rsidRPr="00B33C7F" w:rsidRDefault="009C3F3B" w:rsidP="00A77B86">
            <w:pPr>
              <w:rPr>
                <w:b/>
                <w:bCs/>
                <w:color w:val="E7E6E6" w:themeColor="background2"/>
                <w:szCs w:val="20"/>
              </w:rPr>
            </w:pPr>
            <w:r>
              <w:rPr>
                <w:b/>
                <w:bCs/>
                <w:color w:val="E7E6E6" w:themeColor="background2"/>
                <w:szCs w:val="20"/>
              </w:rPr>
              <w:t>Notes</w:t>
            </w:r>
          </w:p>
        </w:tc>
      </w:tr>
      <w:tr w:rsidR="00B31CD2" w:rsidRPr="00B33C7F" w14:paraId="39016B4E" w14:textId="77777777" w:rsidTr="00B721A6">
        <w:tc>
          <w:tcPr>
            <w:tcW w:w="1701" w:type="dxa"/>
          </w:tcPr>
          <w:p w14:paraId="4261E372" w14:textId="77777777" w:rsidR="00B31CD2" w:rsidRPr="00B33C7F" w:rsidRDefault="00B31CD2" w:rsidP="00A77B86">
            <w:pPr>
              <w:pStyle w:val="TableText"/>
            </w:pPr>
            <w:r w:rsidRPr="00B33C7F">
              <w:t>NSW</w:t>
            </w:r>
          </w:p>
        </w:tc>
        <w:tc>
          <w:tcPr>
            <w:tcW w:w="2268" w:type="dxa"/>
          </w:tcPr>
          <w:p w14:paraId="405F7251" w14:textId="32260FDC" w:rsidR="00B31CD2" w:rsidRPr="00B33C7F" w:rsidRDefault="00CF3263" w:rsidP="00A77B86">
            <w:pPr>
              <w:pStyle w:val="TableText"/>
            </w:pPr>
            <w:r w:rsidRPr="00B33C7F">
              <w:t>115</w:t>
            </w:r>
          </w:p>
        </w:tc>
        <w:tc>
          <w:tcPr>
            <w:tcW w:w="5669" w:type="dxa"/>
          </w:tcPr>
          <w:p w14:paraId="28B16877" w14:textId="6E523020" w:rsidR="00B31CD2" w:rsidRPr="00B33C7F" w:rsidRDefault="00DE7401" w:rsidP="00A77B86">
            <w:pPr>
              <w:pStyle w:val="TableText"/>
            </w:pPr>
            <w:r w:rsidRPr="00DE7401">
              <w:rPr>
                <w:lang w:val="en-US"/>
              </w:rPr>
              <w:t xml:space="preserve">82 </w:t>
            </w:r>
            <w:r w:rsidR="00E711C4">
              <w:rPr>
                <w:lang w:val="en-US"/>
              </w:rPr>
              <w:t>s</w:t>
            </w:r>
            <w:r w:rsidR="00E711C4" w:rsidRPr="00DE7401">
              <w:rPr>
                <w:lang w:val="en-US"/>
              </w:rPr>
              <w:t xml:space="preserve">tatutory </w:t>
            </w:r>
            <w:r w:rsidR="00E711C4">
              <w:rPr>
                <w:lang w:val="en-US"/>
              </w:rPr>
              <w:t>o</w:t>
            </w:r>
            <w:r w:rsidR="00E711C4" w:rsidRPr="00DE7401">
              <w:rPr>
                <w:lang w:val="en-US"/>
              </w:rPr>
              <w:t xml:space="preserve">fficers </w:t>
            </w:r>
            <w:r w:rsidR="00E711C4">
              <w:rPr>
                <w:lang w:val="en-US"/>
              </w:rPr>
              <w:t>(</w:t>
            </w:r>
            <w:r w:rsidRPr="00DE7401">
              <w:rPr>
                <w:lang w:val="en-US"/>
              </w:rPr>
              <w:t>with full powers</w:t>
            </w:r>
            <w:r w:rsidR="00E711C4">
              <w:rPr>
                <w:lang w:val="en-US"/>
              </w:rPr>
              <w:t>)</w:t>
            </w:r>
            <w:r w:rsidRPr="00DE7401">
              <w:rPr>
                <w:lang w:val="en-US"/>
              </w:rPr>
              <w:t xml:space="preserve"> and 33 ‘partially appointed’ </w:t>
            </w:r>
            <w:r w:rsidR="00E711C4">
              <w:rPr>
                <w:lang w:val="en-US"/>
              </w:rPr>
              <w:t>s</w:t>
            </w:r>
            <w:r w:rsidRPr="00DE7401">
              <w:rPr>
                <w:lang w:val="en-US"/>
              </w:rPr>
              <w:t>tatutory</w:t>
            </w:r>
            <w:r>
              <w:rPr>
                <w:lang w:val="en-US"/>
              </w:rPr>
              <w:t xml:space="preserve"> </w:t>
            </w:r>
            <w:r w:rsidR="00E711C4">
              <w:rPr>
                <w:lang w:val="en-US"/>
              </w:rPr>
              <w:t>o</w:t>
            </w:r>
            <w:r w:rsidR="00E711C4" w:rsidRPr="00DE7401">
              <w:rPr>
                <w:lang w:val="en-US"/>
              </w:rPr>
              <w:t>fficers</w:t>
            </w:r>
            <w:r w:rsidR="00E711C4">
              <w:rPr>
                <w:lang w:val="en-US"/>
              </w:rPr>
              <w:t xml:space="preserve"> </w:t>
            </w:r>
            <w:r w:rsidR="00BB6C2F">
              <w:rPr>
                <w:lang w:val="en-US"/>
              </w:rPr>
              <w:t xml:space="preserve">undertook functions in </w:t>
            </w:r>
            <w:r w:rsidR="00471E69">
              <w:rPr>
                <w:lang w:val="en-US"/>
              </w:rPr>
              <w:t>the N</w:t>
            </w:r>
            <w:r w:rsidR="00640CEB">
              <w:rPr>
                <w:lang w:val="en-US"/>
              </w:rPr>
              <w:t xml:space="preserve">ew </w:t>
            </w:r>
            <w:r w:rsidR="00471E69">
              <w:rPr>
                <w:lang w:val="en-US"/>
              </w:rPr>
              <w:t>S</w:t>
            </w:r>
            <w:r w:rsidR="00640CEB">
              <w:rPr>
                <w:lang w:val="en-US"/>
              </w:rPr>
              <w:t xml:space="preserve">outh </w:t>
            </w:r>
            <w:r w:rsidR="00471E69">
              <w:rPr>
                <w:lang w:val="en-US"/>
              </w:rPr>
              <w:t>W</w:t>
            </w:r>
            <w:r w:rsidR="00FD0B11">
              <w:rPr>
                <w:lang w:val="en-US"/>
              </w:rPr>
              <w:t>ales</w:t>
            </w:r>
            <w:r w:rsidR="00471E69">
              <w:rPr>
                <w:lang w:val="en-US"/>
              </w:rPr>
              <w:t xml:space="preserve"> part of the Basin</w:t>
            </w:r>
            <w:r w:rsidRPr="00DE7401">
              <w:rPr>
                <w:lang w:val="en-US"/>
              </w:rPr>
              <w:t>.</w:t>
            </w:r>
          </w:p>
        </w:tc>
      </w:tr>
      <w:tr w:rsidR="00B31CD2" w:rsidRPr="00B33C7F" w14:paraId="4C0AAD76" w14:textId="77777777" w:rsidTr="00B721A6">
        <w:tc>
          <w:tcPr>
            <w:tcW w:w="1701" w:type="dxa"/>
          </w:tcPr>
          <w:p w14:paraId="067E7385" w14:textId="77777777" w:rsidR="00B31CD2" w:rsidRPr="00B33C7F" w:rsidRDefault="00B31CD2" w:rsidP="00A77B86">
            <w:pPr>
              <w:pStyle w:val="TableText"/>
            </w:pPr>
            <w:r w:rsidRPr="00B33C7F">
              <w:t>QLD</w:t>
            </w:r>
          </w:p>
        </w:tc>
        <w:tc>
          <w:tcPr>
            <w:tcW w:w="2268" w:type="dxa"/>
          </w:tcPr>
          <w:p w14:paraId="3C22632C" w14:textId="713CE4D9" w:rsidR="00B31CD2" w:rsidRPr="00B33C7F" w:rsidRDefault="00CF3263" w:rsidP="00A77B86">
            <w:pPr>
              <w:pStyle w:val="TableText"/>
            </w:pPr>
            <w:r w:rsidRPr="00B33C7F">
              <w:t>85</w:t>
            </w:r>
          </w:p>
        </w:tc>
        <w:tc>
          <w:tcPr>
            <w:tcW w:w="5669" w:type="dxa"/>
          </w:tcPr>
          <w:p w14:paraId="0E436F1F" w14:textId="3064F445" w:rsidR="00B31CD2" w:rsidRPr="00B33C7F" w:rsidRDefault="006B7D82" w:rsidP="00A77B86">
            <w:pPr>
              <w:pStyle w:val="TableText"/>
            </w:pPr>
            <w:r w:rsidRPr="00875D52">
              <w:rPr>
                <w:lang w:val="en-US"/>
              </w:rPr>
              <w:t xml:space="preserve">42 Category 1 Officers </w:t>
            </w:r>
            <w:r>
              <w:rPr>
                <w:lang w:val="en-US"/>
              </w:rPr>
              <w:t xml:space="preserve">(with </w:t>
            </w:r>
            <w:r w:rsidRPr="00875D52">
              <w:rPr>
                <w:lang w:val="en-US"/>
              </w:rPr>
              <w:t>basic compliance powers</w:t>
            </w:r>
            <w:r>
              <w:rPr>
                <w:lang w:val="en-US"/>
              </w:rPr>
              <w:t>)</w:t>
            </w:r>
            <w:r w:rsidRPr="00875D52">
              <w:rPr>
                <w:lang w:val="en-US"/>
              </w:rPr>
              <w:t xml:space="preserve"> and 43 Category 2 </w:t>
            </w:r>
            <w:r>
              <w:rPr>
                <w:lang w:val="en-US"/>
              </w:rPr>
              <w:t xml:space="preserve">Officers (with </w:t>
            </w:r>
            <w:r w:rsidRPr="00875D52">
              <w:rPr>
                <w:lang w:val="en-US"/>
              </w:rPr>
              <w:t>more extensive powers</w:t>
            </w:r>
            <w:r>
              <w:rPr>
                <w:lang w:val="en-US"/>
              </w:rPr>
              <w:t>)</w:t>
            </w:r>
            <w:r w:rsidR="001A0783">
              <w:rPr>
                <w:lang w:val="en-US"/>
              </w:rPr>
              <w:t xml:space="preserve"> </w:t>
            </w:r>
            <w:r w:rsidR="0037587B" w:rsidRPr="0037587B">
              <w:rPr>
                <w:lang w:val="en-US"/>
              </w:rPr>
              <w:t xml:space="preserve">operate in southern </w:t>
            </w:r>
            <w:r w:rsidR="001A0783">
              <w:rPr>
                <w:lang w:val="en-US"/>
              </w:rPr>
              <w:t>Queensland</w:t>
            </w:r>
            <w:r w:rsidR="0037587B" w:rsidRPr="0037587B">
              <w:rPr>
                <w:lang w:val="en-US"/>
              </w:rPr>
              <w:t xml:space="preserve">, </w:t>
            </w:r>
            <w:r w:rsidR="001A0BC9">
              <w:rPr>
                <w:lang w:val="en-US"/>
              </w:rPr>
              <w:t xml:space="preserve">which includes </w:t>
            </w:r>
            <w:r w:rsidR="0037587B" w:rsidRPr="0037587B">
              <w:rPr>
                <w:lang w:val="en-US"/>
              </w:rPr>
              <w:t xml:space="preserve">the Basin portion of the state. </w:t>
            </w:r>
          </w:p>
        </w:tc>
      </w:tr>
      <w:tr w:rsidR="00B31CD2" w:rsidRPr="00B33C7F" w14:paraId="26B6E87D" w14:textId="77777777" w:rsidTr="00B721A6">
        <w:tc>
          <w:tcPr>
            <w:tcW w:w="1701" w:type="dxa"/>
          </w:tcPr>
          <w:p w14:paraId="50AD605B" w14:textId="77777777" w:rsidR="00B31CD2" w:rsidRPr="00B33C7F" w:rsidRDefault="00B31CD2" w:rsidP="00A77B86">
            <w:pPr>
              <w:pStyle w:val="TableText"/>
            </w:pPr>
            <w:r w:rsidRPr="00B33C7F">
              <w:t>SA</w:t>
            </w:r>
          </w:p>
        </w:tc>
        <w:tc>
          <w:tcPr>
            <w:tcW w:w="2268" w:type="dxa"/>
          </w:tcPr>
          <w:p w14:paraId="265670C1" w14:textId="48243C69" w:rsidR="00B31CD2" w:rsidRPr="00B33C7F" w:rsidRDefault="00CF3263" w:rsidP="00A77B86">
            <w:pPr>
              <w:pStyle w:val="TableText"/>
            </w:pPr>
            <w:r w:rsidRPr="00B33C7F">
              <w:t>4</w:t>
            </w:r>
          </w:p>
        </w:tc>
        <w:tc>
          <w:tcPr>
            <w:tcW w:w="5669" w:type="dxa"/>
          </w:tcPr>
          <w:p w14:paraId="5D3072F4" w14:textId="15DA4C2B" w:rsidR="00B31CD2" w:rsidRPr="004E4FD8" w:rsidRDefault="00C85A6C" w:rsidP="00A77B86">
            <w:pPr>
              <w:pStyle w:val="TableText"/>
            </w:pPr>
            <w:r w:rsidRPr="004E4FD8">
              <w:t xml:space="preserve">4 </w:t>
            </w:r>
            <w:r w:rsidR="009E7FB4">
              <w:t>a</w:t>
            </w:r>
            <w:r w:rsidR="009E7FB4" w:rsidRPr="004E4FD8">
              <w:t xml:space="preserve">uthorised </w:t>
            </w:r>
            <w:r w:rsidR="009E7FB4">
              <w:t>person</w:t>
            </w:r>
            <w:r w:rsidR="009E7FB4" w:rsidRPr="004E4FD8">
              <w:t xml:space="preserve">s </w:t>
            </w:r>
            <w:r w:rsidR="001D3231" w:rsidRPr="004E4FD8">
              <w:t>operat</w:t>
            </w:r>
            <w:r w:rsidR="009E7FB4">
              <w:t>e</w:t>
            </w:r>
            <w:r w:rsidR="001D3231" w:rsidRPr="004E4FD8">
              <w:t xml:space="preserve"> in the </w:t>
            </w:r>
            <w:r w:rsidR="008D3982" w:rsidRPr="004E4FD8">
              <w:t>S</w:t>
            </w:r>
            <w:r w:rsidR="00FD0B11">
              <w:t xml:space="preserve">outh </w:t>
            </w:r>
            <w:r w:rsidR="008D3982" w:rsidRPr="004E4FD8">
              <w:t>A</w:t>
            </w:r>
            <w:r w:rsidR="00FD0B11">
              <w:t>ustralian</w:t>
            </w:r>
            <w:r w:rsidR="008D3982" w:rsidRPr="004E4FD8">
              <w:t xml:space="preserve"> part of the </w:t>
            </w:r>
            <w:r w:rsidR="004E4FD8" w:rsidRPr="004E4FD8">
              <w:t xml:space="preserve">Basin. </w:t>
            </w:r>
          </w:p>
        </w:tc>
      </w:tr>
      <w:tr w:rsidR="008B739A" w:rsidRPr="00B33C7F" w14:paraId="6EC6A4A3" w14:textId="77777777">
        <w:tc>
          <w:tcPr>
            <w:tcW w:w="1701" w:type="dxa"/>
          </w:tcPr>
          <w:p w14:paraId="13A2F980" w14:textId="77777777" w:rsidR="008B739A" w:rsidRPr="00B33C7F" w:rsidRDefault="008B739A">
            <w:pPr>
              <w:pStyle w:val="TableText"/>
            </w:pPr>
            <w:r w:rsidRPr="00B33C7F">
              <w:t>VIC</w:t>
            </w:r>
          </w:p>
        </w:tc>
        <w:tc>
          <w:tcPr>
            <w:tcW w:w="2268" w:type="dxa"/>
          </w:tcPr>
          <w:p w14:paraId="6E4A70E6" w14:textId="77777777" w:rsidR="008B739A" w:rsidRPr="00B33C7F" w:rsidRDefault="008B739A">
            <w:pPr>
              <w:pStyle w:val="TableText"/>
            </w:pPr>
            <w:r w:rsidRPr="00B33C7F">
              <w:t>124</w:t>
            </w:r>
          </w:p>
        </w:tc>
        <w:tc>
          <w:tcPr>
            <w:tcW w:w="5669" w:type="dxa"/>
          </w:tcPr>
          <w:p w14:paraId="221A8756" w14:textId="789A23FE" w:rsidR="008B739A" w:rsidRPr="009C03D7" w:rsidRDefault="008B739A" w:rsidP="001B3E13">
            <w:pPr>
              <w:pStyle w:val="TableText"/>
            </w:pPr>
            <w:r>
              <w:rPr>
                <w:lang w:val="en-US"/>
              </w:rPr>
              <w:t>A</w:t>
            </w:r>
            <w:r w:rsidRPr="009C03D7">
              <w:rPr>
                <w:lang w:val="en-US"/>
              </w:rPr>
              <w:t xml:space="preserve">pproximately 36 </w:t>
            </w:r>
            <w:proofErr w:type="spellStart"/>
            <w:r>
              <w:rPr>
                <w:lang w:val="en-US"/>
              </w:rPr>
              <w:t>a</w:t>
            </w:r>
            <w:r w:rsidRPr="009C03D7">
              <w:rPr>
                <w:lang w:val="en-US"/>
              </w:rPr>
              <w:t>uthorised</w:t>
            </w:r>
            <w:proofErr w:type="spellEnd"/>
            <w:r w:rsidRPr="009C03D7">
              <w:rPr>
                <w:lang w:val="en-US"/>
              </w:rPr>
              <w:t xml:space="preserve"> </w:t>
            </w:r>
            <w:r>
              <w:rPr>
                <w:lang w:val="en-US"/>
              </w:rPr>
              <w:t>p</w:t>
            </w:r>
            <w:r w:rsidRPr="009C03D7">
              <w:rPr>
                <w:lang w:val="en-US"/>
              </w:rPr>
              <w:t xml:space="preserve">ersons and 88 </w:t>
            </w:r>
            <w:proofErr w:type="spellStart"/>
            <w:r>
              <w:rPr>
                <w:lang w:val="en-US"/>
              </w:rPr>
              <w:t>a</w:t>
            </w:r>
            <w:r w:rsidRPr="009C03D7">
              <w:rPr>
                <w:lang w:val="en-US"/>
              </w:rPr>
              <w:t>uthorised</w:t>
            </w:r>
            <w:proofErr w:type="spellEnd"/>
            <w:r w:rsidRPr="009C03D7">
              <w:rPr>
                <w:lang w:val="en-US"/>
              </w:rPr>
              <w:t xml:space="preserve"> </w:t>
            </w:r>
            <w:r>
              <w:rPr>
                <w:lang w:val="en-US"/>
              </w:rPr>
              <w:t>w</w:t>
            </w:r>
            <w:r w:rsidRPr="009C03D7">
              <w:rPr>
                <w:lang w:val="en-US"/>
              </w:rPr>
              <w:t xml:space="preserve">ater </w:t>
            </w:r>
            <w:r>
              <w:rPr>
                <w:lang w:val="en-US"/>
              </w:rPr>
              <w:t xml:space="preserve">officers </w:t>
            </w:r>
            <w:r w:rsidR="00857113">
              <w:rPr>
                <w:lang w:val="en-US"/>
              </w:rPr>
              <w:t xml:space="preserve">in water corporations undertook </w:t>
            </w:r>
            <w:r w:rsidR="00E116BF">
              <w:rPr>
                <w:lang w:val="en-US"/>
              </w:rPr>
              <w:t xml:space="preserve">a range of </w:t>
            </w:r>
            <w:r w:rsidR="00857113">
              <w:rPr>
                <w:lang w:val="en-US"/>
              </w:rPr>
              <w:t xml:space="preserve">functions </w:t>
            </w:r>
            <w:r>
              <w:rPr>
                <w:lang w:val="en-US"/>
              </w:rPr>
              <w:t>in the Victorian part of the Basin</w:t>
            </w:r>
            <w:r w:rsidR="00E116BF">
              <w:rPr>
                <w:lang w:val="en-US"/>
              </w:rPr>
              <w:t>.</w:t>
            </w:r>
          </w:p>
        </w:tc>
      </w:tr>
      <w:tr w:rsidR="00B31CD2" w:rsidRPr="00B33C7F" w14:paraId="09B5E3A4" w14:textId="77777777" w:rsidTr="00B721A6">
        <w:tc>
          <w:tcPr>
            <w:tcW w:w="1701" w:type="dxa"/>
          </w:tcPr>
          <w:p w14:paraId="5201C1D3" w14:textId="77777777" w:rsidR="00B31CD2" w:rsidRPr="00B33C7F" w:rsidRDefault="00B31CD2" w:rsidP="00A77B86">
            <w:pPr>
              <w:pStyle w:val="TableText"/>
            </w:pPr>
            <w:r w:rsidRPr="00B33C7F">
              <w:t>ACT</w:t>
            </w:r>
          </w:p>
        </w:tc>
        <w:tc>
          <w:tcPr>
            <w:tcW w:w="2268" w:type="dxa"/>
          </w:tcPr>
          <w:p w14:paraId="2875A142" w14:textId="312E716C" w:rsidR="00B31CD2" w:rsidRPr="00B33C7F" w:rsidRDefault="00CF3263" w:rsidP="00A77B86">
            <w:pPr>
              <w:pStyle w:val="TableText"/>
            </w:pPr>
            <w:r w:rsidRPr="00B33C7F">
              <w:t>3</w:t>
            </w:r>
          </w:p>
        </w:tc>
        <w:tc>
          <w:tcPr>
            <w:tcW w:w="5669" w:type="dxa"/>
          </w:tcPr>
          <w:p w14:paraId="43B82024" w14:textId="4794D423" w:rsidR="00B31CD2" w:rsidRPr="00B33C7F" w:rsidRDefault="2734584B" w:rsidP="00A77B86">
            <w:pPr>
              <w:pStyle w:val="TableText"/>
            </w:pPr>
            <w:r>
              <w:t xml:space="preserve">3 authorised </w:t>
            </w:r>
            <w:r w:rsidR="00890E0E">
              <w:t>officers</w:t>
            </w:r>
            <w:r>
              <w:t xml:space="preserve"> operate in the </w:t>
            </w:r>
            <w:r w:rsidR="00D07609">
              <w:t>A</w:t>
            </w:r>
            <w:r w:rsidR="00A952D2">
              <w:t xml:space="preserve">ustralian </w:t>
            </w:r>
            <w:r w:rsidR="00D07609">
              <w:t>C</w:t>
            </w:r>
            <w:r w:rsidR="00A952D2">
              <w:t xml:space="preserve">apital </w:t>
            </w:r>
            <w:r w:rsidR="00D07609">
              <w:t>T</w:t>
            </w:r>
            <w:r w:rsidR="00A952D2">
              <w:t>erritory</w:t>
            </w:r>
            <w:r>
              <w:t xml:space="preserve"> part of the Basin.</w:t>
            </w:r>
          </w:p>
        </w:tc>
      </w:tr>
    </w:tbl>
    <w:p w14:paraId="65E11628" w14:textId="77777777" w:rsidR="00047998" w:rsidRDefault="00047998" w:rsidP="009B64E5">
      <w:pPr>
        <w:rPr>
          <w:b/>
          <w:bCs/>
          <w:color w:val="48555E" w:themeColor="text2"/>
          <w:szCs w:val="20"/>
        </w:rPr>
      </w:pPr>
    </w:p>
    <w:p w14:paraId="53FC5DE6" w14:textId="0F7E6622" w:rsidR="005A2BC8" w:rsidRDefault="005A2BC8" w:rsidP="008F7FC1">
      <w:pPr>
        <w:pStyle w:val="Heading1"/>
      </w:pPr>
      <w:bookmarkStart w:id="13" w:name="_Toc181271331"/>
      <w:r w:rsidRPr="00436F36">
        <w:lastRenderedPageBreak/>
        <w:t>Activity Metrics 2022-23</w:t>
      </w:r>
      <w:bookmarkEnd w:id="13"/>
    </w:p>
    <w:p w14:paraId="257AF4DC" w14:textId="27567EA1" w:rsidR="006A4BCD" w:rsidRDefault="00847795" w:rsidP="006A4BCD">
      <w:r>
        <w:t xml:space="preserve">This section outlines an initial snapshot of some of the activities relevant to water take compliance undertaken across the Basin. </w:t>
      </w:r>
      <w:r w:rsidR="006A4BCD">
        <w:t>As described in the previous section, each jurisdiction us</w:t>
      </w:r>
      <w:r w:rsidR="006C346D">
        <w:t>e</w:t>
      </w:r>
      <w:r w:rsidR="006B6D46">
        <w:t>s</w:t>
      </w:r>
      <w:r w:rsidR="006A4BCD">
        <w:t xml:space="preserve"> a range of tools and approaches to regulate the take of water in their regions.</w:t>
      </w:r>
    </w:p>
    <w:p w14:paraId="0855E493" w14:textId="5667C05B" w:rsidR="009D2B37" w:rsidRDefault="00847795" w:rsidP="00585E98">
      <w:pPr>
        <w:rPr>
          <w:i/>
        </w:rPr>
      </w:pPr>
      <w:r>
        <w:t xml:space="preserve">These metrics do not cover the full range of </w:t>
      </w:r>
      <w:r w:rsidR="00566C07">
        <w:t xml:space="preserve">activities that states undertake to regulate water resources and are intended to </w:t>
      </w:r>
      <w:r w:rsidR="00FB55FC">
        <w:t xml:space="preserve">provide an example of the sorts of metrics that are being identified as </w:t>
      </w:r>
      <w:r w:rsidR="00D464F4">
        <w:t xml:space="preserve">linking to outcomes for </w:t>
      </w:r>
      <w:r w:rsidR="004B5600">
        <w:t xml:space="preserve">future </w:t>
      </w:r>
      <w:r w:rsidR="00D464F4">
        <w:t>compliance performance reporting</w:t>
      </w:r>
      <w:r w:rsidR="00513B98">
        <w:rPr>
          <w:i/>
        </w:rPr>
        <w:t>.</w:t>
      </w:r>
    </w:p>
    <w:p w14:paraId="7FB8119B" w14:textId="764B8C2A" w:rsidR="0047568C" w:rsidRDefault="0047568C" w:rsidP="00C105A0">
      <w:pPr>
        <w:pStyle w:val="Heading2"/>
      </w:pPr>
      <w:bookmarkStart w:id="14" w:name="_Toc181271332"/>
      <w:r>
        <w:t xml:space="preserve">Use of </w:t>
      </w:r>
      <w:r w:rsidR="00CF1478">
        <w:t xml:space="preserve">compliance </w:t>
      </w:r>
      <w:r>
        <w:t>powers</w:t>
      </w:r>
      <w:bookmarkEnd w:id="14"/>
      <w:r>
        <w:t xml:space="preserve"> </w:t>
      </w:r>
    </w:p>
    <w:p w14:paraId="51E126A4" w14:textId="6A36B15F" w:rsidR="009148B8" w:rsidRDefault="00CF1478" w:rsidP="00C105A0">
      <w:pPr>
        <w:pStyle w:val="Heading3"/>
      </w:pPr>
      <w:bookmarkStart w:id="15" w:name="_Toc181271333"/>
      <w:r>
        <w:t>I</w:t>
      </w:r>
      <w:r w:rsidR="00853265">
        <w:t xml:space="preserve">nvestigations </w:t>
      </w:r>
      <w:r>
        <w:t>into suspected breaches</w:t>
      </w:r>
      <w:bookmarkEnd w:id="15"/>
      <w:r>
        <w:t xml:space="preserve"> </w:t>
      </w:r>
    </w:p>
    <w:p w14:paraId="048E9561" w14:textId="480BB982" w:rsidR="008B3D68" w:rsidRPr="00254DD4" w:rsidRDefault="008B3D68" w:rsidP="008B3D68">
      <w:pPr>
        <w:pStyle w:val="TableText"/>
        <w:rPr>
          <w:rStyle w:val="Strong"/>
        </w:rPr>
      </w:pPr>
      <w:r w:rsidRPr="00254DD4">
        <w:rPr>
          <w:rStyle w:val="Strong"/>
        </w:rPr>
        <w:t xml:space="preserve">Relevance of </w:t>
      </w:r>
      <w:r>
        <w:rPr>
          <w:rStyle w:val="Strong"/>
        </w:rPr>
        <w:t>investigations into suspected breaches to compliance performance outcomes</w:t>
      </w:r>
    </w:p>
    <w:p w14:paraId="42A631AD" w14:textId="6D054FA0" w:rsidR="008B3D68" w:rsidRDefault="008B3D68" w:rsidP="008B3D68">
      <w:r>
        <w:t>This metric provides information on the number of investigations into suspected breaches with water take rules in each Basin State. It is linked to performance outcomes by illustrating, along with other activities, that regulators’ compliance efforts are proportionate to risk and that they apply consistent and transparent compliance responses</w:t>
      </w:r>
    </w:p>
    <w:p w14:paraId="4DBFE793" w14:textId="35B3829B" w:rsidR="00093FCA" w:rsidRDefault="00093FCA" w:rsidP="00687C38">
      <w:r w:rsidRPr="00453B09">
        <w:t xml:space="preserve">An investigation begins when a jurisdiction </w:t>
      </w:r>
      <w:r w:rsidR="00BF369D">
        <w:t>detects</w:t>
      </w:r>
      <w:r w:rsidRPr="00453B09">
        <w:t xml:space="preserve"> a</w:t>
      </w:r>
      <w:r w:rsidR="00681E37">
        <w:t>n apparent</w:t>
      </w:r>
      <w:r w:rsidRPr="00453B09">
        <w:t xml:space="preserve"> legislative breach or an anomaly during routine water accounting, or when community members</w:t>
      </w:r>
      <w:r w:rsidR="00453B09">
        <w:t xml:space="preserve"> </w:t>
      </w:r>
      <w:r w:rsidRPr="00453B09">
        <w:t xml:space="preserve">report to the regulator. Efforts in investigations vary from brief desktop reviews of water take data to extensive formal investigations aimed at gathering evidence for prosecution. Anomalies investigated via desktop reviews are usually resolved quickly, leading to administrative actions like sanctions or warnings. In contrast, significant investigations demand more resources, span multiple water years, and are often conducted with the </w:t>
      </w:r>
      <w:r w:rsidR="00360B68">
        <w:t xml:space="preserve">potential outcome </w:t>
      </w:r>
      <w:r w:rsidR="00344D7D">
        <w:t xml:space="preserve">being prosecution of a </w:t>
      </w:r>
      <w:r w:rsidR="00A05BED">
        <w:t>l</w:t>
      </w:r>
      <w:r w:rsidR="00344D7D">
        <w:t xml:space="preserve">icensee in court. </w:t>
      </w:r>
    </w:p>
    <w:p w14:paraId="183D355A" w14:textId="02524F04" w:rsidR="00F428AA" w:rsidRPr="00800D56" w:rsidRDefault="00F428AA" w:rsidP="00F428AA">
      <w:pPr>
        <w:pStyle w:val="TableHeading"/>
        <w:keepNext/>
      </w:pPr>
      <w:r>
        <w:t xml:space="preserve">Table </w:t>
      </w:r>
      <w:r w:rsidR="00C05DCF">
        <w:t>4</w:t>
      </w:r>
      <w:r w:rsidRPr="00800D56">
        <w:t xml:space="preserve">: </w:t>
      </w:r>
      <w:r w:rsidR="00FE7F23">
        <w:t>Number of investigations comm</w:t>
      </w:r>
      <w:r w:rsidR="003E65D9">
        <w:t>enced</w:t>
      </w:r>
    </w:p>
    <w:tbl>
      <w:tblPr>
        <w:tblStyle w:val="TableGridLight"/>
        <w:tblW w:w="0" w:type="auto"/>
        <w:tblLook w:val="04A0" w:firstRow="1" w:lastRow="0" w:firstColumn="1" w:lastColumn="0" w:noHBand="0" w:noVBand="1"/>
      </w:tblPr>
      <w:tblGrid>
        <w:gridCol w:w="1701"/>
        <w:gridCol w:w="5529"/>
      </w:tblGrid>
      <w:tr w:rsidR="00F428AA" w:rsidRPr="00800D56" w14:paraId="1B85475D" w14:textId="77777777" w:rsidTr="0002667E">
        <w:trPr>
          <w:cnfStyle w:val="100000000000" w:firstRow="1" w:lastRow="0" w:firstColumn="0" w:lastColumn="0" w:oddVBand="0" w:evenVBand="0" w:oddHBand="0" w:evenHBand="0" w:firstRowFirstColumn="0" w:firstRowLastColumn="0" w:lastRowFirstColumn="0" w:lastRowLastColumn="0"/>
          <w:tblHeader/>
        </w:trPr>
        <w:tc>
          <w:tcPr>
            <w:tcW w:w="1701" w:type="dxa"/>
          </w:tcPr>
          <w:p w14:paraId="7F347E48" w14:textId="77777777" w:rsidR="00F428AA" w:rsidRPr="00800D56" w:rsidRDefault="00F428AA" w:rsidP="00FA203C">
            <w:pPr>
              <w:pStyle w:val="TableHeader"/>
            </w:pPr>
            <w:r w:rsidRPr="00800D56">
              <w:t xml:space="preserve">State </w:t>
            </w:r>
          </w:p>
        </w:tc>
        <w:tc>
          <w:tcPr>
            <w:tcW w:w="5529" w:type="dxa"/>
          </w:tcPr>
          <w:p w14:paraId="1BDD8007" w14:textId="39FEE681" w:rsidR="00F428AA" w:rsidRPr="00800D56" w:rsidRDefault="00FE7F23" w:rsidP="00771FB4">
            <w:pPr>
              <w:pStyle w:val="TableHeader"/>
              <w:jc w:val="center"/>
            </w:pPr>
            <w:r>
              <w:t>Number</w:t>
            </w:r>
          </w:p>
        </w:tc>
      </w:tr>
      <w:tr w:rsidR="00F428AA" w:rsidRPr="00800D56" w14:paraId="3D211792" w14:textId="77777777" w:rsidTr="0002667E">
        <w:tc>
          <w:tcPr>
            <w:tcW w:w="1701" w:type="dxa"/>
          </w:tcPr>
          <w:p w14:paraId="630F84D0" w14:textId="77777777" w:rsidR="00F428AA" w:rsidRPr="00800D56" w:rsidRDefault="00F428AA" w:rsidP="00FA203C">
            <w:pPr>
              <w:pStyle w:val="TableText"/>
            </w:pPr>
            <w:r w:rsidRPr="00800D56">
              <w:t>NSW</w:t>
            </w:r>
          </w:p>
        </w:tc>
        <w:tc>
          <w:tcPr>
            <w:tcW w:w="5529" w:type="dxa"/>
          </w:tcPr>
          <w:p w14:paraId="65670B15" w14:textId="4B7D071A" w:rsidR="00F428AA" w:rsidRPr="00800D56" w:rsidRDefault="003E65D9" w:rsidP="00771FB4">
            <w:pPr>
              <w:pStyle w:val="TableText"/>
              <w:jc w:val="center"/>
            </w:pPr>
            <w:r>
              <w:t>788</w:t>
            </w:r>
          </w:p>
        </w:tc>
      </w:tr>
      <w:tr w:rsidR="00F428AA" w:rsidRPr="00800D56" w14:paraId="7C64E7DE" w14:textId="77777777" w:rsidTr="0002667E">
        <w:tc>
          <w:tcPr>
            <w:tcW w:w="1701" w:type="dxa"/>
          </w:tcPr>
          <w:p w14:paraId="399207F1" w14:textId="77777777" w:rsidR="00F428AA" w:rsidRPr="00800D56" w:rsidRDefault="00F428AA" w:rsidP="00FA203C">
            <w:pPr>
              <w:pStyle w:val="TableText"/>
            </w:pPr>
            <w:r w:rsidRPr="00800D56">
              <w:t>QLD</w:t>
            </w:r>
          </w:p>
        </w:tc>
        <w:tc>
          <w:tcPr>
            <w:tcW w:w="5529" w:type="dxa"/>
          </w:tcPr>
          <w:p w14:paraId="32478277" w14:textId="11607611" w:rsidR="00F428AA" w:rsidRPr="00800D56" w:rsidRDefault="003E65D9" w:rsidP="00771FB4">
            <w:pPr>
              <w:pStyle w:val="TableText"/>
              <w:jc w:val="center"/>
            </w:pPr>
            <w:r>
              <w:t>465</w:t>
            </w:r>
          </w:p>
        </w:tc>
      </w:tr>
      <w:tr w:rsidR="00F428AA" w:rsidRPr="00800D56" w14:paraId="57529573" w14:textId="77777777" w:rsidTr="0002667E">
        <w:tc>
          <w:tcPr>
            <w:tcW w:w="1701" w:type="dxa"/>
          </w:tcPr>
          <w:p w14:paraId="46202B48" w14:textId="77777777" w:rsidR="00F428AA" w:rsidRPr="00800D56" w:rsidRDefault="00F428AA" w:rsidP="00FA203C">
            <w:pPr>
              <w:pStyle w:val="TableText"/>
            </w:pPr>
            <w:r w:rsidRPr="00800D56">
              <w:t>SA</w:t>
            </w:r>
          </w:p>
        </w:tc>
        <w:tc>
          <w:tcPr>
            <w:tcW w:w="5529" w:type="dxa"/>
          </w:tcPr>
          <w:p w14:paraId="5B2937E8" w14:textId="19A83F56" w:rsidR="00F428AA" w:rsidRPr="00800D56" w:rsidRDefault="003E65D9" w:rsidP="00771FB4">
            <w:pPr>
              <w:pStyle w:val="TableText"/>
              <w:jc w:val="center"/>
            </w:pPr>
            <w:r>
              <w:t>716</w:t>
            </w:r>
          </w:p>
        </w:tc>
      </w:tr>
      <w:tr w:rsidR="00F428AA" w:rsidRPr="00800D56" w14:paraId="195C1746" w14:textId="77777777" w:rsidTr="0002667E">
        <w:tc>
          <w:tcPr>
            <w:tcW w:w="1701" w:type="dxa"/>
          </w:tcPr>
          <w:p w14:paraId="163C3246" w14:textId="77777777" w:rsidR="00F428AA" w:rsidRPr="0051533F" w:rsidRDefault="00F428AA" w:rsidP="00FA203C">
            <w:pPr>
              <w:pStyle w:val="TableText"/>
            </w:pPr>
            <w:r w:rsidRPr="0051533F">
              <w:t>VIC</w:t>
            </w:r>
          </w:p>
        </w:tc>
        <w:tc>
          <w:tcPr>
            <w:tcW w:w="5529" w:type="dxa"/>
          </w:tcPr>
          <w:p w14:paraId="1E616493" w14:textId="19E2A913" w:rsidR="00F428AA" w:rsidRPr="0051533F" w:rsidRDefault="00120BA7" w:rsidP="00771FB4">
            <w:pPr>
              <w:pStyle w:val="TableText"/>
              <w:jc w:val="center"/>
            </w:pPr>
            <w:r>
              <w:t>1068</w:t>
            </w:r>
          </w:p>
        </w:tc>
      </w:tr>
      <w:tr w:rsidR="00F428AA" w:rsidRPr="00800D56" w14:paraId="016F64C9" w14:textId="77777777" w:rsidTr="0002667E">
        <w:tc>
          <w:tcPr>
            <w:tcW w:w="1701" w:type="dxa"/>
          </w:tcPr>
          <w:p w14:paraId="7CF590EC" w14:textId="77777777" w:rsidR="00F428AA" w:rsidRPr="0051533F" w:rsidRDefault="00F428AA" w:rsidP="00FA203C">
            <w:pPr>
              <w:pStyle w:val="TableText"/>
            </w:pPr>
            <w:r>
              <w:t xml:space="preserve">ACT </w:t>
            </w:r>
          </w:p>
        </w:tc>
        <w:tc>
          <w:tcPr>
            <w:tcW w:w="5529" w:type="dxa"/>
          </w:tcPr>
          <w:p w14:paraId="73C5AC49" w14:textId="277CEB16" w:rsidR="00F428AA" w:rsidRPr="0051533F" w:rsidRDefault="00120BA7" w:rsidP="00771FB4">
            <w:pPr>
              <w:pStyle w:val="TableText"/>
              <w:jc w:val="center"/>
            </w:pPr>
            <w:r>
              <w:t>3</w:t>
            </w:r>
          </w:p>
        </w:tc>
      </w:tr>
    </w:tbl>
    <w:p w14:paraId="24101688" w14:textId="77777777" w:rsidR="00F428AA" w:rsidRDefault="00F428AA" w:rsidP="00687C38"/>
    <w:p w14:paraId="4B78CFBF" w14:textId="25D50581" w:rsidR="009E42BB" w:rsidRPr="00A517DC" w:rsidRDefault="00453B09" w:rsidP="00687C38">
      <w:r w:rsidRPr="00453B09">
        <w:t xml:space="preserve">In the 2022-23 water </w:t>
      </w:r>
      <w:r w:rsidR="00493903">
        <w:t>accounting period</w:t>
      </w:r>
      <w:r w:rsidRPr="00453B09">
        <w:t>, Vic</w:t>
      </w:r>
      <w:r w:rsidR="00493903">
        <w:t>toria</w:t>
      </w:r>
      <w:r w:rsidRPr="00453B09">
        <w:t xml:space="preserve"> recorded the highest number of investigations, which led to the commencement of </w:t>
      </w:r>
      <w:r w:rsidR="00493903">
        <w:t>6</w:t>
      </w:r>
      <w:r w:rsidR="00493903" w:rsidRPr="00453B09">
        <w:t xml:space="preserve"> </w:t>
      </w:r>
      <w:r w:rsidRPr="00453B09">
        <w:t xml:space="preserve">new prosecutions and the completion of </w:t>
      </w:r>
      <w:r w:rsidR="00493903">
        <w:t>7</w:t>
      </w:r>
      <w:r w:rsidRPr="00453B09">
        <w:t xml:space="preserve">. </w:t>
      </w:r>
      <w:r w:rsidR="00493903">
        <w:t>South Australia</w:t>
      </w:r>
      <w:r>
        <w:t xml:space="preserve"> </w:t>
      </w:r>
      <w:r w:rsidRPr="00453B09">
        <w:t>also conducted a significant number of investigations</w:t>
      </w:r>
      <w:r w:rsidR="001F1DE7">
        <w:t xml:space="preserve"> </w:t>
      </w:r>
      <w:r w:rsidR="00CE2E3B" w:rsidRPr="00744D46">
        <w:t>(</w:t>
      </w:r>
      <w:r w:rsidR="79D95BCD" w:rsidRPr="00744D46">
        <w:t>716</w:t>
      </w:r>
      <w:r w:rsidR="00CE2E3B" w:rsidRPr="00744D46">
        <w:t>)</w:t>
      </w:r>
      <w:r w:rsidR="79D95BCD" w:rsidRPr="00744D46">
        <w:t>,</w:t>
      </w:r>
      <w:r w:rsidRPr="00744D46">
        <w:t xml:space="preserve"> </w:t>
      </w:r>
      <w:r w:rsidRPr="00453B09">
        <w:t xml:space="preserve">relative to the number of </w:t>
      </w:r>
      <w:r w:rsidR="003344B0">
        <w:t>licences</w:t>
      </w:r>
      <w:r w:rsidRPr="00453B09">
        <w:t xml:space="preserve"> they oversee. This is attributed to </w:t>
      </w:r>
      <w:r w:rsidR="00493903">
        <w:t xml:space="preserve">South Australia’s </w:t>
      </w:r>
      <w:r w:rsidRPr="00453B09">
        <w:t>water accounting system, which detects all instances of excessive water</w:t>
      </w:r>
      <w:r>
        <w:t xml:space="preserve"> </w:t>
      </w:r>
      <w:r w:rsidRPr="00453B09">
        <w:t>use and anomalies from meter readings at every outlet</w:t>
      </w:r>
      <w:r w:rsidR="00445720">
        <w:t xml:space="preserve">, prompting an </w:t>
      </w:r>
      <w:r w:rsidR="00C05968">
        <w:t>investigation</w:t>
      </w:r>
      <w:r w:rsidRPr="00453B09">
        <w:t xml:space="preserve">. As a result, </w:t>
      </w:r>
      <w:r w:rsidR="00493903">
        <w:t xml:space="preserve">South Australia </w:t>
      </w:r>
      <w:r w:rsidRPr="00453B09">
        <w:t xml:space="preserve">issued </w:t>
      </w:r>
      <w:r w:rsidR="4A623FFC" w:rsidRPr="00744D46">
        <w:t>191</w:t>
      </w:r>
      <w:r w:rsidRPr="00744D46">
        <w:t xml:space="preserve"> </w:t>
      </w:r>
      <w:r w:rsidRPr="00A517DC">
        <w:t>financial penalties to</w:t>
      </w:r>
      <w:r w:rsidR="007A1F3C" w:rsidRPr="00A517DC">
        <w:t xml:space="preserve"> </w:t>
      </w:r>
      <w:r w:rsidRPr="00A517DC">
        <w:t>licen</w:t>
      </w:r>
      <w:r w:rsidR="00391E79" w:rsidRPr="00A517DC">
        <w:t>c</w:t>
      </w:r>
      <w:r w:rsidRPr="00A517DC">
        <w:t>e holders.</w:t>
      </w:r>
    </w:p>
    <w:p w14:paraId="41982BEC" w14:textId="462C5032" w:rsidR="009E42BB" w:rsidRDefault="00493903" w:rsidP="00687C38">
      <w:r>
        <w:t>New South Wales</w:t>
      </w:r>
      <w:r w:rsidR="009E42BB">
        <w:t xml:space="preserve"> </w:t>
      </w:r>
      <w:r w:rsidR="009E42BB" w:rsidRPr="009E42BB">
        <w:t xml:space="preserve">completed 671 investigations, initiating </w:t>
      </w:r>
      <w:r>
        <w:t xml:space="preserve">4 </w:t>
      </w:r>
      <w:r w:rsidR="009E42BB" w:rsidRPr="009E42BB">
        <w:t xml:space="preserve">new prosecutions in the process. </w:t>
      </w:r>
      <w:r>
        <w:t>Queensland</w:t>
      </w:r>
      <w:r w:rsidR="009E42BB">
        <w:t xml:space="preserve"> </w:t>
      </w:r>
      <w:r w:rsidR="009E42BB" w:rsidRPr="009E42BB">
        <w:t xml:space="preserve">also conducted a high number of investigations relative to their </w:t>
      </w:r>
      <w:r w:rsidR="003344B0">
        <w:t>licences</w:t>
      </w:r>
      <w:r w:rsidR="009E42BB" w:rsidRPr="009E42BB">
        <w:t xml:space="preserve">, but none </w:t>
      </w:r>
      <w:r w:rsidR="009E42BB" w:rsidRPr="009E42BB">
        <w:lastRenderedPageBreak/>
        <w:t xml:space="preserve">led to prosecutions. Similarly, no prosecutions resulted from investigations in the </w:t>
      </w:r>
      <w:r>
        <w:t>Australian Capital Territory</w:t>
      </w:r>
      <w:r w:rsidR="009E42BB" w:rsidRPr="009E42BB">
        <w:t>.</w:t>
      </w:r>
    </w:p>
    <w:p w14:paraId="465018BA" w14:textId="5301C2A1" w:rsidR="00771FB4" w:rsidRPr="00800D56" w:rsidRDefault="00771FB4" w:rsidP="00771FB4">
      <w:pPr>
        <w:pStyle w:val="TableHeading"/>
        <w:keepNext/>
      </w:pPr>
      <w:bookmarkStart w:id="16" w:name="_Hlk180756761"/>
      <w:r>
        <w:t>Table 5</w:t>
      </w:r>
      <w:r w:rsidRPr="00800D56">
        <w:t xml:space="preserve">: </w:t>
      </w:r>
      <w:r>
        <w:t>Number of investigations completed</w:t>
      </w:r>
    </w:p>
    <w:tbl>
      <w:tblPr>
        <w:tblStyle w:val="TableGridLight"/>
        <w:tblW w:w="0" w:type="auto"/>
        <w:tblLook w:val="04A0" w:firstRow="1" w:lastRow="0" w:firstColumn="1" w:lastColumn="0" w:noHBand="0" w:noVBand="1"/>
      </w:tblPr>
      <w:tblGrid>
        <w:gridCol w:w="1701"/>
        <w:gridCol w:w="5529"/>
      </w:tblGrid>
      <w:tr w:rsidR="00771FB4" w:rsidRPr="00800D56" w14:paraId="5C0CC981" w14:textId="77777777" w:rsidTr="00E817C0">
        <w:trPr>
          <w:cnfStyle w:val="100000000000" w:firstRow="1" w:lastRow="0" w:firstColumn="0" w:lastColumn="0" w:oddVBand="0" w:evenVBand="0" w:oddHBand="0" w:evenHBand="0" w:firstRowFirstColumn="0" w:firstRowLastColumn="0" w:lastRowFirstColumn="0" w:lastRowLastColumn="0"/>
          <w:tblHeader/>
        </w:trPr>
        <w:tc>
          <w:tcPr>
            <w:tcW w:w="1701" w:type="dxa"/>
          </w:tcPr>
          <w:p w14:paraId="09D17981" w14:textId="77777777" w:rsidR="00771FB4" w:rsidRPr="00800D56" w:rsidRDefault="00771FB4" w:rsidP="00FA203C">
            <w:pPr>
              <w:pStyle w:val="TableHeader"/>
            </w:pPr>
            <w:r w:rsidRPr="00800D56">
              <w:t xml:space="preserve">State </w:t>
            </w:r>
          </w:p>
        </w:tc>
        <w:tc>
          <w:tcPr>
            <w:tcW w:w="5529" w:type="dxa"/>
          </w:tcPr>
          <w:p w14:paraId="442F0CD9" w14:textId="77777777" w:rsidR="00771FB4" w:rsidRPr="00800D56" w:rsidRDefault="00771FB4" w:rsidP="00771FB4">
            <w:pPr>
              <w:pStyle w:val="TableHeader"/>
              <w:jc w:val="center"/>
            </w:pPr>
            <w:r>
              <w:t>Number</w:t>
            </w:r>
          </w:p>
        </w:tc>
      </w:tr>
      <w:tr w:rsidR="00771FB4" w:rsidRPr="00800D56" w14:paraId="0D0D4930" w14:textId="77777777" w:rsidTr="00E817C0">
        <w:tc>
          <w:tcPr>
            <w:tcW w:w="1701" w:type="dxa"/>
          </w:tcPr>
          <w:p w14:paraId="719B508C" w14:textId="77777777" w:rsidR="00771FB4" w:rsidRPr="00800D56" w:rsidRDefault="00771FB4" w:rsidP="00FA203C">
            <w:pPr>
              <w:pStyle w:val="TableText"/>
            </w:pPr>
            <w:r w:rsidRPr="00800D56">
              <w:t>NSW</w:t>
            </w:r>
          </w:p>
        </w:tc>
        <w:tc>
          <w:tcPr>
            <w:tcW w:w="5529" w:type="dxa"/>
          </w:tcPr>
          <w:p w14:paraId="6E6E0045" w14:textId="0AA800FB" w:rsidR="00771FB4" w:rsidRPr="00800D56" w:rsidRDefault="00771FB4" w:rsidP="00771FB4">
            <w:pPr>
              <w:pStyle w:val="TableText"/>
              <w:jc w:val="center"/>
            </w:pPr>
            <w:r>
              <w:t>671</w:t>
            </w:r>
          </w:p>
        </w:tc>
      </w:tr>
      <w:tr w:rsidR="00771FB4" w:rsidRPr="00800D56" w14:paraId="2FB85BB8" w14:textId="77777777" w:rsidTr="00E817C0">
        <w:tc>
          <w:tcPr>
            <w:tcW w:w="1701" w:type="dxa"/>
          </w:tcPr>
          <w:p w14:paraId="51BD5C20" w14:textId="77777777" w:rsidR="00771FB4" w:rsidRPr="00800D56" w:rsidRDefault="00771FB4" w:rsidP="00FA203C">
            <w:pPr>
              <w:pStyle w:val="TableText"/>
            </w:pPr>
            <w:r w:rsidRPr="00800D56">
              <w:t>QLD</w:t>
            </w:r>
          </w:p>
        </w:tc>
        <w:tc>
          <w:tcPr>
            <w:tcW w:w="5529" w:type="dxa"/>
          </w:tcPr>
          <w:p w14:paraId="68841F79" w14:textId="109157A7" w:rsidR="00771FB4" w:rsidRPr="00800D56" w:rsidRDefault="00760D41" w:rsidP="00771FB4">
            <w:pPr>
              <w:pStyle w:val="TableText"/>
              <w:jc w:val="center"/>
            </w:pPr>
            <w:r>
              <w:t>465</w:t>
            </w:r>
          </w:p>
        </w:tc>
      </w:tr>
      <w:tr w:rsidR="00771FB4" w:rsidRPr="00800D56" w14:paraId="010AC3DB" w14:textId="77777777" w:rsidTr="00E817C0">
        <w:tc>
          <w:tcPr>
            <w:tcW w:w="1701" w:type="dxa"/>
          </w:tcPr>
          <w:p w14:paraId="4EA377DC" w14:textId="77777777" w:rsidR="00771FB4" w:rsidRPr="00800D56" w:rsidRDefault="00771FB4" w:rsidP="00FA203C">
            <w:pPr>
              <w:pStyle w:val="TableText"/>
            </w:pPr>
            <w:r w:rsidRPr="00800D56">
              <w:t>SA</w:t>
            </w:r>
          </w:p>
        </w:tc>
        <w:tc>
          <w:tcPr>
            <w:tcW w:w="5529" w:type="dxa"/>
          </w:tcPr>
          <w:p w14:paraId="703A20D7" w14:textId="665E5E51" w:rsidR="00771FB4" w:rsidRPr="00800D56" w:rsidRDefault="00760D41" w:rsidP="00771FB4">
            <w:pPr>
              <w:pStyle w:val="TableText"/>
              <w:jc w:val="center"/>
            </w:pPr>
            <w:r>
              <w:t>716</w:t>
            </w:r>
          </w:p>
        </w:tc>
      </w:tr>
      <w:tr w:rsidR="00771FB4" w:rsidRPr="00800D56" w14:paraId="29A98513" w14:textId="77777777" w:rsidTr="00E817C0">
        <w:tc>
          <w:tcPr>
            <w:tcW w:w="1701" w:type="dxa"/>
          </w:tcPr>
          <w:p w14:paraId="150863D4" w14:textId="77777777" w:rsidR="00771FB4" w:rsidRPr="0051533F" w:rsidRDefault="00771FB4" w:rsidP="00FA203C">
            <w:pPr>
              <w:pStyle w:val="TableText"/>
            </w:pPr>
            <w:r w:rsidRPr="0051533F">
              <w:t>VIC</w:t>
            </w:r>
          </w:p>
        </w:tc>
        <w:tc>
          <w:tcPr>
            <w:tcW w:w="5529" w:type="dxa"/>
          </w:tcPr>
          <w:p w14:paraId="7DEA897D" w14:textId="3E6B2DF5" w:rsidR="00771FB4" w:rsidRPr="0051533F" w:rsidRDefault="00760D41" w:rsidP="00771FB4">
            <w:pPr>
              <w:pStyle w:val="TableText"/>
              <w:jc w:val="center"/>
            </w:pPr>
            <w:r>
              <w:t>1053</w:t>
            </w:r>
          </w:p>
        </w:tc>
      </w:tr>
      <w:tr w:rsidR="00771FB4" w:rsidRPr="00800D56" w14:paraId="1A04A992" w14:textId="77777777" w:rsidTr="00E817C0">
        <w:tc>
          <w:tcPr>
            <w:tcW w:w="1701" w:type="dxa"/>
          </w:tcPr>
          <w:p w14:paraId="6762E11F" w14:textId="77777777" w:rsidR="00771FB4" w:rsidRPr="0051533F" w:rsidRDefault="00771FB4" w:rsidP="00FA203C">
            <w:pPr>
              <w:pStyle w:val="TableText"/>
            </w:pPr>
            <w:r>
              <w:t xml:space="preserve">ACT </w:t>
            </w:r>
          </w:p>
        </w:tc>
        <w:tc>
          <w:tcPr>
            <w:tcW w:w="5529" w:type="dxa"/>
          </w:tcPr>
          <w:p w14:paraId="57635D71" w14:textId="30CEDEE8" w:rsidR="00771FB4" w:rsidRPr="0051533F" w:rsidRDefault="00760D41" w:rsidP="00771FB4">
            <w:pPr>
              <w:pStyle w:val="TableText"/>
              <w:jc w:val="center"/>
            </w:pPr>
            <w:r>
              <w:t>3</w:t>
            </w:r>
          </w:p>
        </w:tc>
      </w:tr>
      <w:bookmarkEnd w:id="16"/>
    </w:tbl>
    <w:p w14:paraId="21B560D2" w14:textId="77777777" w:rsidR="00771FB4" w:rsidRPr="009E42BB" w:rsidRDefault="00771FB4" w:rsidP="00687C38"/>
    <w:p w14:paraId="7A5E62BA" w14:textId="7EFCC878" w:rsidR="00923DFF" w:rsidRDefault="00E50E5F" w:rsidP="00EA4C23">
      <w:pPr>
        <w:pStyle w:val="Heading3"/>
      </w:pPr>
      <w:bookmarkStart w:id="17" w:name="_Toc181271334"/>
      <w:r>
        <w:t>Warning</w:t>
      </w:r>
      <w:r w:rsidRPr="00E50E5F">
        <w:t>s</w:t>
      </w:r>
      <w:bookmarkEnd w:id="17"/>
    </w:p>
    <w:p w14:paraId="415D212F" w14:textId="7F825F15" w:rsidR="00564EB8" w:rsidRPr="00254DD4" w:rsidRDefault="00564EB8" w:rsidP="00564EB8">
      <w:pPr>
        <w:pStyle w:val="TableText"/>
        <w:rPr>
          <w:rStyle w:val="Strong"/>
        </w:rPr>
      </w:pPr>
      <w:r w:rsidRPr="00254DD4">
        <w:rPr>
          <w:rStyle w:val="Strong"/>
        </w:rPr>
        <w:t xml:space="preserve">Relevance of </w:t>
      </w:r>
      <w:r>
        <w:rPr>
          <w:rStyle w:val="Strong"/>
        </w:rPr>
        <w:t>warnings to compliance performance outcomes</w:t>
      </w:r>
    </w:p>
    <w:p w14:paraId="21AEF2C1" w14:textId="2CCECCDC" w:rsidR="00564EB8" w:rsidRDefault="00564EB8" w:rsidP="00564EB8">
      <w:r>
        <w:t>This metric provides information on the number of warnings issued for actual or suspected breaches with water take rules in each Basin State. It is linked to short term performance outcomes by illustrating, along with other activities, that regulators’ compliance efforts are proportionate to risk and that they apply consistent and transparent compliance responses.</w:t>
      </w:r>
    </w:p>
    <w:p w14:paraId="12993714" w14:textId="4FA389E3" w:rsidR="00923DFF" w:rsidRDefault="00572DDE" w:rsidP="00EA4C23">
      <w:r w:rsidRPr="00572DDE">
        <w:t xml:space="preserve">Warnings are formal cautions issued by a </w:t>
      </w:r>
      <w:r w:rsidR="00394EB2">
        <w:t>s</w:t>
      </w:r>
      <w:r w:rsidR="00394EB2" w:rsidRPr="00572DDE">
        <w:t xml:space="preserve">tatutory </w:t>
      </w:r>
      <w:r w:rsidR="00394EB2">
        <w:t>o</w:t>
      </w:r>
      <w:r w:rsidR="00394EB2" w:rsidRPr="00572DDE">
        <w:t>fficer</w:t>
      </w:r>
      <w:r w:rsidRPr="00572DDE">
        <w:t xml:space="preserve"> to licence holders, alerting them of potential or actual breaches of legislation. In some Basin States, warnings aim to prevent future breaches, while others include directives for the licensee to rectify the damage caused by a breach. Warnings serve as a regulatory tool to notify licensees of the potential escalation to formal regulatory processes if further breaches occur.</w:t>
      </w:r>
    </w:p>
    <w:p w14:paraId="08875EF8" w14:textId="214BA408" w:rsidR="00923DFF" w:rsidRDefault="00923DFF" w:rsidP="00394EB2">
      <w:r w:rsidRPr="00923DFF">
        <w:t xml:space="preserve">During the 2022-23 water </w:t>
      </w:r>
      <w:r w:rsidR="002306E2">
        <w:t>accounting period</w:t>
      </w:r>
      <w:r w:rsidRPr="00923DFF">
        <w:t>, Vic</w:t>
      </w:r>
      <w:r w:rsidR="002306E2">
        <w:t>toria</w:t>
      </w:r>
      <w:r w:rsidRPr="00923DFF">
        <w:t xml:space="preserve"> issued significantly more warnings than any other jurisdiction, primarily for unauthorised water </w:t>
      </w:r>
      <w:r w:rsidR="0003439E">
        <w:t>take</w:t>
      </w:r>
      <w:r w:rsidRPr="00923DFF">
        <w:t xml:space="preserve">. It is noteworthy that all warnings in </w:t>
      </w:r>
      <w:r w:rsidR="00D178A7">
        <w:t xml:space="preserve">South Australia </w:t>
      </w:r>
      <w:r w:rsidRPr="00923DFF">
        <w:t xml:space="preserve">were related to the non-submission of water meter readings. In cases of confirmed unauthorised water extraction, </w:t>
      </w:r>
      <w:r w:rsidR="00D178A7">
        <w:t xml:space="preserve">South Australia </w:t>
      </w:r>
      <w:r w:rsidRPr="00923DFF">
        <w:t xml:space="preserve">does not issue warnings; instead, a legislated </w:t>
      </w:r>
      <w:r w:rsidR="006E242E">
        <w:t>penalty</w:t>
      </w:r>
      <w:r w:rsidRPr="00923DFF">
        <w:t xml:space="preserve"> is </w:t>
      </w:r>
      <w:r w:rsidR="006E242E">
        <w:t>imposed</w:t>
      </w:r>
      <w:r w:rsidRPr="00923DFF">
        <w:t>.</w:t>
      </w:r>
    </w:p>
    <w:p w14:paraId="1FDB8860" w14:textId="18D23AF3" w:rsidR="00432F84" w:rsidRPr="00800D56" w:rsidRDefault="00432F84" w:rsidP="00432F84">
      <w:pPr>
        <w:pStyle w:val="TableHeading"/>
        <w:keepNext/>
      </w:pPr>
      <w:r>
        <w:t>Table 6</w:t>
      </w:r>
      <w:r w:rsidRPr="00800D56">
        <w:t xml:space="preserve">: </w:t>
      </w:r>
      <w:r>
        <w:t>Number of warnings</w:t>
      </w:r>
    </w:p>
    <w:tbl>
      <w:tblPr>
        <w:tblStyle w:val="TableGridLight"/>
        <w:tblW w:w="0" w:type="auto"/>
        <w:tblLook w:val="04A0" w:firstRow="1" w:lastRow="0" w:firstColumn="1" w:lastColumn="0" w:noHBand="0" w:noVBand="1"/>
      </w:tblPr>
      <w:tblGrid>
        <w:gridCol w:w="1701"/>
        <w:gridCol w:w="5387"/>
      </w:tblGrid>
      <w:tr w:rsidR="00432F84" w:rsidRPr="00800D56" w14:paraId="20155782" w14:textId="77777777" w:rsidTr="00E817C0">
        <w:trPr>
          <w:cnfStyle w:val="100000000000" w:firstRow="1" w:lastRow="0" w:firstColumn="0" w:lastColumn="0" w:oddVBand="0" w:evenVBand="0" w:oddHBand="0" w:evenHBand="0" w:firstRowFirstColumn="0" w:firstRowLastColumn="0" w:lastRowFirstColumn="0" w:lastRowLastColumn="0"/>
          <w:tblHeader/>
        </w:trPr>
        <w:tc>
          <w:tcPr>
            <w:tcW w:w="1701" w:type="dxa"/>
          </w:tcPr>
          <w:p w14:paraId="440B9DE5" w14:textId="77777777" w:rsidR="00432F84" w:rsidRPr="00800D56" w:rsidRDefault="00432F84" w:rsidP="00FA203C">
            <w:pPr>
              <w:pStyle w:val="TableHeader"/>
            </w:pPr>
            <w:r w:rsidRPr="00800D56">
              <w:t xml:space="preserve">State </w:t>
            </w:r>
          </w:p>
        </w:tc>
        <w:tc>
          <w:tcPr>
            <w:tcW w:w="5387" w:type="dxa"/>
          </w:tcPr>
          <w:p w14:paraId="0CB53DED" w14:textId="77777777" w:rsidR="00432F84" w:rsidRPr="00800D56" w:rsidRDefault="00432F84" w:rsidP="00FA203C">
            <w:pPr>
              <w:pStyle w:val="TableHeader"/>
              <w:jc w:val="center"/>
            </w:pPr>
            <w:r>
              <w:t>Number</w:t>
            </w:r>
          </w:p>
        </w:tc>
      </w:tr>
      <w:tr w:rsidR="00432F84" w:rsidRPr="00800D56" w14:paraId="18220DF0" w14:textId="77777777" w:rsidTr="00E817C0">
        <w:tc>
          <w:tcPr>
            <w:tcW w:w="1701" w:type="dxa"/>
          </w:tcPr>
          <w:p w14:paraId="6DCAE8B8" w14:textId="77777777" w:rsidR="00432F84" w:rsidRPr="00800D56" w:rsidRDefault="00432F84" w:rsidP="00FA203C">
            <w:pPr>
              <w:pStyle w:val="TableText"/>
            </w:pPr>
            <w:r w:rsidRPr="00800D56">
              <w:t>NSW</w:t>
            </w:r>
          </w:p>
        </w:tc>
        <w:tc>
          <w:tcPr>
            <w:tcW w:w="5387" w:type="dxa"/>
          </w:tcPr>
          <w:p w14:paraId="1C4EDA86" w14:textId="3F75A22C" w:rsidR="00432F84" w:rsidRPr="00800D56" w:rsidRDefault="00432F84" w:rsidP="00FA203C">
            <w:pPr>
              <w:pStyle w:val="TableText"/>
              <w:jc w:val="center"/>
            </w:pPr>
            <w:r>
              <w:t>75</w:t>
            </w:r>
          </w:p>
        </w:tc>
      </w:tr>
      <w:tr w:rsidR="00432F84" w:rsidRPr="00800D56" w14:paraId="4FF113FC" w14:textId="77777777" w:rsidTr="00E817C0">
        <w:tc>
          <w:tcPr>
            <w:tcW w:w="1701" w:type="dxa"/>
          </w:tcPr>
          <w:p w14:paraId="6D7D800F" w14:textId="77777777" w:rsidR="00432F84" w:rsidRPr="00800D56" w:rsidRDefault="00432F84" w:rsidP="00FA203C">
            <w:pPr>
              <w:pStyle w:val="TableText"/>
            </w:pPr>
            <w:r w:rsidRPr="00800D56">
              <w:t>QLD</w:t>
            </w:r>
          </w:p>
        </w:tc>
        <w:tc>
          <w:tcPr>
            <w:tcW w:w="5387" w:type="dxa"/>
          </w:tcPr>
          <w:p w14:paraId="02A6B16B" w14:textId="5D1B5948" w:rsidR="00432F84" w:rsidRPr="00800D56" w:rsidRDefault="00432F84" w:rsidP="00FA203C">
            <w:pPr>
              <w:pStyle w:val="TableText"/>
              <w:jc w:val="center"/>
            </w:pPr>
            <w:r>
              <w:t>56</w:t>
            </w:r>
          </w:p>
        </w:tc>
      </w:tr>
      <w:tr w:rsidR="00432F84" w:rsidRPr="00800D56" w14:paraId="6D51E793" w14:textId="77777777" w:rsidTr="00E817C0">
        <w:tc>
          <w:tcPr>
            <w:tcW w:w="1701" w:type="dxa"/>
          </w:tcPr>
          <w:p w14:paraId="6E989AA4" w14:textId="77777777" w:rsidR="00432F84" w:rsidRPr="00800D56" w:rsidRDefault="00432F84" w:rsidP="00FA203C">
            <w:pPr>
              <w:pStyle w:val="TableText"/>
            </w:pPr>
            <w:r w:rsidRPr="00800D56">
              <w:t>SA</w:t>
            </w:r>
          </w:p>
        </w:tc>
        <w:tc>
          <w:tcPr>
            <w:tcW w:w="5387" w:type="dxa"/>
          </w:tcPr>
          <w:p w14:paraId="6F716C3A" w14:textId="28A76F1C" w:rsidR="00432F84" w:rsidRPr="00800D56" w:rsidRDefault="00432F84" w:rsidP="00FA203C">
            <w:pPr>
              <w:pStyle w:val="TableText"/>
              <w:jc w:val="center"/>
            </w:pPr>
            <w:r>
              <w:t>66</w:t>
            </w:r>
          </w:p>
        </w:tc>
      </w:tr>
      <w:tr w:rsidR="00432F84" w:rsidRPr="00800D56" w14:paraId="46790865" w14:textId="77777777" w:rsidTr="00E817C0">
        <w:tc>
          <w:tcPr>
            <w:tcW w:w="1701" w:type="dxa"/>
          </w:tcPr>
          <w:p w14:paraId="7A2DF201" w14:textId="77777777" w:rsidR="00432F84" w:rsidRPr="0051533F" w:rsidRDefault="00432F84" w:rsidP="00FA203C">
            <w:pPr>
              <w:pStyle w:val="TableText"/>
            </w:pPr>
            <w:r w:rsidRPr="0051533F">
              <w:t>VIC</w:t>
            </w:r>
          </w:p>
        </w:tc>
        <w:tc>
          <w:tcPr>
            <w:tcW w:w="5387" w:type="dxa"/>
          </w:tcPr>
          <w:p w14:paraId="4FA9F717" w14:textId="3268CFD7" w:rsidR="00432F84" w:rsidRPr="0051533F" w:rsidRDefault="00432F84" w:rsidP="00FA203C">
            <w:pPr>
              <w:pStyle w:val="TableText"/>
              <w:jc w:val="center"/>
            </w:pPr>
            <w:r>
              <w:t>1213</w:t>
            </w:r>
          </w:p>
        </w:tc>
      </w:tr>
      <w:tr w:rsidR="00432F84" w:rsidRPr="00800D56" w14:paraId="3F2472D2" w14:textId="77777777" w:rsidTr="00E817C0">
        <w:tc>
          <w:tcPr>
            <w:tcW w:w="1701" w:type="dxa"/>
          </w:tcPr>
          <w:p w14:paraId="2C43D8C5" w14:textId="77777777" w:rsidR="00432F84" w:rsidRPr="0051533F" w:rsidRDefault="00432F84" w:rsidP="00FA203C">
            <w:pPr>
              <w:pStyle w:val="TableText"/>
            </w:pPr>
            <w:r>
              <w:t xml:space="preserve">ACT </w:t>
            </w:r>
          </w:p>
        </w:tc>
        <w:tc>
          <w:tcPr>
            <w:tcW w:w="5387" w:type="dxa"/>
          </w:tcPr>
          <w:p w14:paraId="41DFBB62" w14:textId="79FA350E" w:rsidR="00432F84" w:rsidRPr="0051533F" w:rsidRDefault="00432F84" w:rsidP="00FA203C">
            <w:pPr>
              <w:pStyle w:val="TableText"/>
              <w:jc w:val="center"/>
            </w:pPr>
            <w:r>
              <w:t>3</w:t>
            </w:r>
          </w:p>
        </w:tc>
      </w:tr>
    </w:tbl>
    <w:p w14:paraId="14E01E2F" w14:textId="77777777" w:rsidR="003613AB" w:rsidRDefault="003613AB" w:rsidP="003613AB"/>
    <w:p w14:paraId="487BDCE1" w14:textId="77777777" w:rsidR="003613AB" w:rsidRDefault="003613AB" w:rsidP="003613AB"/>
    <w:p w14:paraId="60F222F3" w14:textId="77777777" w:rsidR="003613AB" w:rsidRDefault="003613AB" w:rsidP="003613AB"/>
    <w:p w14:paraId="16CF7866" w14:textId="483ADA93" w:rsidR="0057502C" w:rsidRPr="009B247D" w:rsidRDefault="0001425B" w:rsidP="001E7AD0">
      <w:pPr>
        <w:pStyle w:val="Heading3"/>
        <w:rPr>
          <w:rFonts w:cs="Times New Roman"/>
          <w:sz w:val="32"/>
          <w:szCs w:val="20"/>
        </w:rPr>
      </w:pPr>
      <w:bookmarkStart w:id="18" w:name="_Toc181271335"/>
      <w:r w:rsidRPr="009B247D">
        <w:lastRenderedPageBreak/>
        <w:t xml:space="preserve">Financial </w:t>
      </w:r>
      <w:r w:rsidR="00C35121">
        <w:t>p</w:t>
      </w:r>
      <w:r w:rsidR="00C35121" w:rsidRPr="009B247D">
        <w:t xml:space="preserve">enalties </w:t>
      </w:r>
      <w:r w:rsidRPr="009B247D">
        <w:t xml:space="preserve">(imposed by the </w:t>
      </w:r>
      <w:r w:rsidR="00C35121">
        <w:t>r</w:t>
      </w:r>
      <w:r w:rsidR="00C35121" w:rsidRPr="009B247D">
        <w:t>egulator</w:t>
      </w:r>
      <w:r w:rsidRPr="009B247D">
        <w:t>)</w:t>
      </w:r>
      <w:bookmarkEnd w:id="18"/>
      <w:r w:rsidRPr="009B247D">
        <w:t xml:space="preserve"> </w:t>
      </w:r>
    </w:p>
    <w:p w14:paraId="71C27F94" w14:textId="77777777" w:rsidR="007E5E2A" w:rsidRPr="00254DD4" w:rsidRDefault="007E5E2A" w:rsidP="007E5E2A">
      <w:pPr>
        <w:pStyle w:val="TableText"/>
        <w:rPr>
          <w:rStyle w:val="Strong"/>
        </w:rPr>
      </w:pPr>
      <w:r w:rsidRPr="00254DD4">
        <w:rPr>
          <w:rStyle w:val="Strong"/>
        </w:rPr>
        <w:t xml:space="preserve">Relevance of </w:t>
      </w:r>
      <w:r>
        <w:rPr>
          <w:rStyle w:val="Strong"/>
        </w:rPr>
        <w:t>financial penalties (imposed by the regulator) to compliance performance outcomes</w:t>
      </w:r>
    </w:p>
    <w:p w14:paraId="01D3717C" w14:textId="4DA5455B" w:rsidR="005434D7" w:rsidRDefault="007E5E2A" w:rsidP="007E5E2A">
      <w:r>
        <w:t>This metric provides information on the number and value of financial penalties imposed by regulators in response to confirmed water take breaches. It is linked to short term performance outcomes by illustrating, among other activities, the regulator is responsive and that they apply consistent and transparent compliance responses</w:t>
      </w:r>
    </w:p>
    <w:p w14:paraId="304936F7" w14:textId="5C1711FE" w:rsidR="004D343C" w:rsidRPr="00F76E9C" w:rsidRDefault="004D343C" w:rsidP="004D343C">
      <w:r w:rsidRPr="00F76E9C">
        <w:t xml:space="preserve">Financial penalties imposed by Basin State regulators for the 2022-23 water accounting period </w:t>
      </w:r>
      <w:r w:rsidR="00CC05CC" w:rsidRPr="00F76E9C">
        <w:t>cover</w:t>
      </w:r>
      <w:r w:rsidR="00B11DD5" w:rsidRPr="00F76E9C">
        <w:t>, depending on what is allowed under relevant laws</w:t>
      </w:r>
      <w:r w:rsidRPr="00F76E9C">
        <w:t>:</w:t>
      </w:r>
    </w:p>
    <w:p w14:paraId="03CE6D69" w14:textId="77777777" w:rsidR="004D343C" w:rsidRPr="00F76E9C" w:rsidRDefault="004D343C" w:rsidP="0058740D">
      <w:pPr>
        <w:pStyle w:val="ListBullet"/>
        <w:rPr>
          <w:rStyle w:val="normaltextrun"/>
          <w:szCs w:val="20"/>
        </w:rPr>
      </w:pPr>
      <w:r w:rsidRPr="00F76E9C">
        <w:rPr>
          <w:rStyle w:val="normaltextrun"/>
          <w:szCs w:val="20"/>
        </w:rPr>
        <w:t>Legislated penalties for breach of water take rules (excess take)</w:t>
      </w:r>
    </w:p>
    <w:p w14:paraId="21481A28" w14:textId="77777777" w:rsidR="004D343C" w:rsidRPr="00F76E9C" w:rsidRDefault="004D343C" w:rsidP="0058740D">
      <w:pPr>
        <w:pStyle w:val="ListBullet"/>
        <w:rPr>
          <w:rStyle w:val="normaltextrun"/>
          <w:rFonts w:ascii="Segoe UI" w:hAnsi="Segoe UI" w:cs="Segoe UI"/>
          <w:sz w:val="18"/>
          <w:szCs w:val="18"/>
        </w:rPr>
      </w:pPr>
      <w:r w:rsidRPr="00F76E9C">
        <w:rPr>
          <w:rStyle w:val="normaltextrun"/>
          <w:szCs w:val="20"/>
        </w:rPr>
        <w:t>Enforceable undertakings for confirmed breaches of water take regulations</w:t>
      </w:r>
    </w:p>
    <w:p w14:paraId="66202F2B" w14:textId="1E3F7B5D" w:rsidR="004D343C" w:rsidRPr="00F76E9C" w:rsidRDefault="004D343C" w:rsidP="0058740D">
      <w:pPr>
        <w:pStyle w:val="ListBullet"/>
        <w:rPr>
          <w:rStyle w:val="normaltextrun"/>
          <w:rFonts w:ascii="Segoe UI" w:hAnsi="Segoe UI" w:cs="Segoe UI"/>
          <w:sz w:val="18"/>
          <w:szCs w:val="18"/>
        </w:rPr>
      </w:pPr>
      <w:r w:rsidRPr="00F76E9C">
        <w:rPr>
          <w:rStyle w:val="normaltextrun"/>
          <w:szCs w:val="20"/>
        </w:rPr>
        <w:t>Penalty infringement notices and expiations for minor breaches</w:t>
      </w:r>
      <w:r w:rsidR="00507883" w:rsidRPr="00F76E9C">
        <w:rPr>
          <w:rStyle w:val="normaltextrun"/>
          <w:szCs w:val="20"/>
        </w:rPr>
        <w:t>.</w:t>
      </w:r>
    </w:p>
    <w:p w14:paraId="561FEE27" w14:textId="364EC61D" w:rsidR="004D343C" w:rsidRPr="00F76E9C" w:rsidRDefault="004D343C" w:rsidP="001E1ACA">
      <w:r w:rsidRPr="00F76E9C">
        <w:rPr>
          <w:rStyle w:val="normaltextrun"/>
          <w:szCs w:val="20"/>
        </w:rPr>
        <w:t xml:space="preserve">South Australia recorded the highest number of financial penalties during the 2022-23 water accounting period (191 comprising 57 legislated penalties and 134 expiations). South Australia also recorded the highest total value of financial penalties ($2,298,579), where legislated penalties issued for excess take ($2,151,983) were significantly greater than the market rate for the water taken, as a deterrent measure, for every kilolitre of water taken above the </w:t>
      </w:r>
      <w:r w:rsidRPr="00F76E9C">
        <w:t>permitted amount. </w:t>
      </w:r>
    </w:p>
    <w:p w14:paraId="6D6CEE21" w14:textId="2ED20A4A" w:rsidR="00A86B59" w:rsidRPr="00F557BA" w:rsidRDefault="004F3EDE" w:rsidP="00C95EB4">
      <w:r w:rsidRPr="00F76E9C">
        <w:t>New South Wales</w:t>
      </w:r>
      <w:r w:rsidR="00A86B59" w:rsidRPr="00F76E9C">
        <w:t xml:space="preserve"> is the </w:t>
      </w:r>
      <w:r w:rsidR="00A86B59" w:rsidRPr="00F557BA">
        <w:t xml:space="preserve">only Basin State that </w:t>
      </w:r>
      <w:r w:rsidR="00BA0557">
        <w:t>accepts</w:t>
      </w:r>
      <w:r w:rsidR="00A86B59" w:rsidRPr="00F557BA">
        <w:t xml:space="preserve"> enforceable undertakings, which are legally binding agreements between a licensee and NRAR. NRAR may opt </w:t>
      </w:r>
      <w:r w:rsidR="008F3E0B">
        <w:t xml:space="preserve">to accept an </w:t>
      </w:r>
      <w:r w:rsidR="00A86B59" w:rsidRPr="00F557BA">
        <w:t xml:space="preserve">enforceable undertaking </w:t>
      </w:r>
      <w:r w:rsidR="006A53F8">
        <w:t xml:space="preserve">proposed </w:t>
      </w:r>
      <w:r w:rsidR="008F3E0B">
        <w:t xml:space="preserve">by </w:t>
      </w:r>
      <w:r w:rsidR="00A86B59" w:rsidRPr="00F557BA">
        <w:t xml:space="preserve">an entity when water laws </w:t>
      </w:r>
      <w:r w:rsidR="00A86B59" w:rsidRPr="0009653F">
        <w:t xml:space="preserve">are </w:t>
      </w:r>
      <w:r w:rsidR="008650AF" w:rsidRPr="0009653F">
        <w:t>contravened</w:t>
      </w:r>
      <w:r w:rsidR="00A86B59" w:rsidRPr="0009653F">
        <w:t xml:space="preserve">, </w:t>
      </w:r>
      <w:r w:rsidR="00BA5C24" w:rsidRPr="0009653F">
        <w:t>as</w:t>
      </w:r>
      <w:r w:rsidR="00BA5C24">
        <w:t xml:space="preserve"> </w:t>
      </w:r>
      <w:r w:rsidR="00A86B59" w:rsidRPr="00F557BA">
        <w:t xml:space="preserve">an alternative to prosecution and court proceedings. In the 2022-23 water </w:t>
      </w:r>
      <w:r w:rsidR="00AB1A32">
        <w:t>accounting period</w:t>
      </w:r>
      <w:r w:rsidR="00A86B59" w:rsidRPr="00F557BA">
        <w:t xml:space="preserve">, </w:t>
      </w:r>
      <w:r w:rsidR="00AB1A32">
        <w:t xml:space="preserve">NRAR accepted </w:t>
      </w:r>
      <w:r w:rsidR="00A86B59" w:rsidRPr="00F557BA">
        <w:t xml:space="preserve">one enforceable undertaking valued at $54,240 and </w:t>
      </w:r>
      <w:r w:rsidR="000962F5">
        <w:t xml:space="preserve">issued </w:t>
      </w:r>
      <w:r w:rsidR="00A86B59" w:rsidRPr="00F557BA">
        <w:t xml:space="preserve">50 penalty infringement notices </w:t>
      </w:r>
      <w:r w:rsidR="000962F5" w:rsidRPr="00F557BA">
        <w:t>totalling</w:t>
      </w:r>
      <w:r w:rsidR="00A86B59" w:rsidRPr="00F557BA">
        <w:t xml:space="preserve"> $52,500.</w:t>
      </w:r>
    </w:p>
    <w:p w14:paraId="42EE2406" w14:textId="77777777" w:rsidR="00F75001" w:rsidRDefault="00A86B59" w:rsidP="009D528C">
      <w:r w:rsidRPr="00F557BA">
        <w:t>Vic</w:t>
      </w:r>
      <w:r w:rsidR="000962F5">
        <w:t>toria</w:t>
      </w:r>
      <w:r w:rsidRPr="00F557BA">
        <w:t xml:space="preserve"> issued 19 penalty infringement notices during the 2022-23 water </w:t>
      </w:r>
      <w:r w:rsidR="000962F5">
        <w:t>accounting period</w:t>
      </w:r>
      <w:r w:rsidRPr="00F557BA">
        <w:t>, with a</w:t>
      </w:r>
      <w:r w:rsidR="0004332C">
        <w:t xml:space="preserve"> maximum </w:t>
      </w:r>
      <w:r w:rsidR="00A945F7">
        <w:t>penalty issue</w:t>
      </w:r>
      <w:r w:rsidR="00796F20">
        <w:t>d</w:t>
      </w:r>
      <w:r w:rsidR="00A945F7">
        <w:t xml:space="preserve"> for $2,073. </w:t>
      </w:r>
      <w:r w:rsidR="5D7F1177" w:rsidRPr="00432A83">
        <w:t>In addition</w:t>
      </w:r>
      <w:r w:rsidR="003A1383" w:rsidRPr="00432A83">
        <w:t xml:space="preserve"> to </w:t>
      </w:r>
      <w:r w:rsidR="0011604B" w:rsidRPr="00432A83">
        <w:t xml:space="preserve">these penalties, Victoria requires </w:t>
      </w:r>
      <w:r w:rsidR="0042551F" w:rsidRPr="00432A83">
        <w:t xml:space="preserve">that </w:t>
      </w:r>
      <w:r w:rsidR="001B17FD" w:rsidRPr="00432A83">
        <w:t>licensees</w:t>
      </w:r>
      <w:r w:rsidR="0042551F" w:rsidRPr="00432A83">
        <w:t xml:space="preserve"> must balance </w:t>
      </w:r>
      <w:r w:rsidR="00FF6B70" w:rsidRPr="00432A83">
        <w:t xml:space="preserve">their </w:t>
      </w:r>
      <w:r w:rsidR="009D1249" w:rsidRPr="00432A83">
        <w:t xml:space="preserve">account </w:t>
      </w:r>
      <w:r w:rsidR="00DC4096" w:rsidRPr="00432A83">
        <w:t xml:space="preserve">through their </w:t>
      </w:r>
      <w:r w:rsidR="0039360F" w:rsidRPr="00432A83">
        <w:t xml:space="preserve">permitted </w:t>
      </w:r>
      <w:r w:rsidR="000F33A1" w:rsidRPr="00432A83">
        <w:t>water allocation</w:t>
      </w:r>
      <w:r w:rsidR="00F75001">
        <w:t xml:space="preserve">, for example by purchasing water allocations on the market. This </w:t>
      </w:r>
      <w:r w:rsidR="008C7FE5">
        <w:t>ensur</w:t>
      </w:r>
      <w:r w:rsidR="00F75001">
        <w:t>es</w:t>
      </w:r>
      <w:r w:rsidR="008C7FE5">
        <w:t xml:space="preserve"> that any unauthorised take does not reduce the available water for other water users and the environment</w:t>
      </w:r>
      <w:r w:rsidR="004A27F7" w:rsidRPr="00432A83">
        <w:t xml:space="preserve">. </w:t>
      </w:r>
    </w:p>
    <w:p w14:paraId="7EFC1CFF" w14:textId="2313A002" w:rsidR="00A86B59" w:rsidRDefault="000962F5" w:rsidP="009D528C">
      <w:r>
        <w:t>Queensland</w:t>
      </w:r>
      <w:r w:rsidR="00A86B59">
        <w:t xml:space="preserve"> </w:t>
      </w:r>
      <w:r w:rsidR="00A86B59" w:rsidRPr="00F557BA">
        <w:t>issued one penalty infringement notice during the reporting period.</w:t>
      </w:r>
    </w:p>
    <w:p w14:paraId="310102FB" w14:textId="736F7072" w:rsidR="00CC5BB9" w:rsidRPr="00800D56" w:rsidRDefault="00CC5BB9" w:rsidP="00CC5BB9">
      <w:pPr>
        <w:pStyle w:val="TableHeading"/>
        <w:keepNext/>
      </w:pPr>
      <w:r>
        <w:t xml:space="preserve">Table </w:t>
      </w:r>
      <w:r w:rsidR="00061291">
        <w:t>7</w:t>
      </w:r>
      <w:r w:rsidRPr="00800D56">
        <w:t xml:space="preserve">: </w:t>
      </w:r>
      <w:r>
        <w:t>Number of financial penalties</w:t>
      </w:r>
      <w:r w:rsidR="00E23CD4">
        <w:t xml:space="preserve"> (imposed by the regulator)</w:t>
      </w:r>
    </w:p>
    <w:tbl>
      <w:tblPr>
        <w:tblStyle w:val="TableGridLight"/>
        <w:tblW w:w="0" w:type="auto"/>
        <w:tblLook w:val="04A0" w:firstRow="1" w:lastRow="0" w:firstColumn="1" w:lastColumn="0" w:noHBand="0" w:noVBand="1"/>
      </w:tblPr>
      <w:tblGrid>
        <w:gridCol w:w="2552"/>
        <w:gridCol w:w="4678"/>
      </w:tblGrid>
      <w:tr w:rsidR="00CC5BB9" w:rsidRPr="00800D56" w14:paraId="098912BB" w14:textId="77777777" w:rsidTr="00475118">
        <w:trPr>
          <w:cnfStyle w:val="100000000000" w:firstRow="1" w:lastRow="0" w:firstColumn="0" w:lastColumn="0" w:oddVBand="0" w:evenVBand="0" w:oddHBand="0" w:evenHBand="0" w:firstRowFirstColumn="0" w:firstRowLastColumn="0" w:lastRowFirstColumn="0" w:lastRowLastColumn="0"/>
          <w:tblHeader/>
        </w:trPr>
        <w:tc>
          <w:tcPr>
            <w:tcW w:w="2552" w:type="dxa"/>
          </w:tcPr>
          <w:p w14:paraId="0EDC12FB" w14:textId="31038883" w:rsidR="00CC5BB9" w:rsidRPr="00800D56" w:rsidRDefault="00CC5BB9" w:rsidP="00FA203C">
            <w:pPr>
              <w:pStyle w:val="TableHeader"/>
            </w:pPr>
            <w:r w:rsidRPr="00800D56">
              <w:t>S</w:t>
            </w:r>
            <w:r w:rsidR="0095630B">
              <w:t>tate</w:t>
            </w:r>
            <w:r w:rsidRPr="00800D56">
              <w:t xml:space="preserve"> </w:t>
            </w:r>
          </w:p>
        </w:tc>
        <w:tc>
          <w:tcPr>
            <w:tcW w:w="4678" w:type="dxa"/>
          </w:tcPr>
          <w:p w14:paraId="2BD0EFB7" w14:textId="77777777" w:rsidR="00CC5BB9" w:rsidRPr="00800D56" w:rsidRDefault="00CC5BB9" w:rsidP="00FA203C">
            <w:pPr>
              <w:pStyle w:val="TableHeader"/>
              <w:jc w:val="center"/>
            </w:pPr>
            <w:r>
              <w:t>Number</w:t>
            </w:r>
          </w:p>
        </w:tc>
      </w:tr>
      <w:tr w:rsidR="00CC5BB9" w:rsidRPr="00800D56" w14:paraId="35FD385C" w14:textId="77777777" w:rsidTr="00475118">
        <w:tc>
          <w:tcPr>
            <w:tcW w:w="2552" w:type="dxa"/>
          </w:tcPr>
          <w:p w14:paraId="6AA03BD7" w14:textId="77777777" w:rsidR="00CC5BB9" w:rsidRPr="00800D56" w:rsidRDefault="00CC5BB9" w:rsidP="00FA203C">
            <w:pPr>
              <w:pStyle w:val="TableText"/>
            </w:pPr>
            <w:r w:rsidRPr="00800D56">
              <w:t>NSW</w:t>
            </w:r>
          </w:p>
        </w:tc>
        <w:tc>
          <w:tcPr>
            <w:tcW w:w="4678" w:type="dxa"/>
          </w:tcPr>
          <w:p w14:paraId="202491E1" w14:textId="5E70BD23" w:rsidR="00CC5BB9" w:rsidRPr="00800D56" w:rsidRDefault="00FA559D" w:rsidP="00FA203C">
            <w:pPr>
              <w:pStyle w:val="TableText"/>
              <w:jc w:val="center"/>
            </w:pPr>
            <w:r>
              <w:t>51</w:t>
            </w:r>
          </w:p>
        </w:tc>
      </w:tr>
      <w:tr w:rsidR="00CC5BB9" w:rsidRPr="00800D56" w14:paraId="2F4113AA" w14:textId="77777777" w:rsidTr="00475118">
        <w:tc>
          <w:tcPr>
            <w:tcW w:w="2552" w:type="dxa"/>
          </w:tcPr>
          <w:p w14:paraId="4E67F02C" w14:textId="77777777" w:rsidR="00CC5BB9" w:rsidRPr="00800D56" w:rsidRDefault="00CC5BB9" w:rsidP="00FA203C">
            <w:pPr>
              <w:pStyle w:val="TableText"/>
            </w:pPr>
            <w:r w:rsidRPr="00800D56">
              <w:t>QLD</w:t>
            </w:r>
          </w:p>
        </w:tc>
        <w:tc>
          <w:tcPr>
            <w:tcW w:w="4678" w:type="dxa"/>
          </w:tcPr>
          <w:p w14:paraId="04759E28" w14:textId="2614CC32" w:rsidR="00CC5BB9" w:rsidRPr="00800D56" w:rsidRDefault="00FA559D" w:rsidP="00FA203C">
            <w:pPr>
              <w:pStyle w:val="TableText"/>
              <w:jc w:val="center"/>
            </w:pPr>
            <w:r>
              <w:t>1</w:t>
            </w:r>
          </w:p>
        </w:tc>
      </w:tr>
      <w:tr w:rsidR="00CC5BB9" w:rsidRPr="00800D56" w14:paraId="3F9017F4" w14:textId="77777777" w:rsidTr="00475118">
        <w:tc>
          <w:tcPr>
            <w:tcW w:w="2552" w:type="dxa"/>
          </w:tcPr>
          <w:p w14:paraId="6E9C1DE6" w14:textId="77777777" w:rsidR="00CC5BB9" w:rsidRPr="00800D56" w:rsidRDefault="00CC5BB9" w:rsidP="00FA203C">
            <w:pPr>
              <w:pStyle w:val="TableText"/>
            </w:pPr>
            <w:r w:rsidRPr="00800D56">
              <w:t>SA</w:t>
            </w:r>
          </w:p>
        </w:tc>
        <w:tc>
          <w:tcPr>
            <w:tcW w:w="4678" w:type="dxa"/>
          </w:tcPr>
          <w:p w14:paraId="7633E2C8" w14:textId="502A702A" w:rsidR="00CC5BB9" w:rsidRPr="00800D56" w:rsidRDefault="00FA559D" w:rsidP="00FA203C">
            <w:pPr>
              <w:pStyle w:val="TableText"/>
              <w:jc w:val="center"/>
            </w:pPr>
            <w:r>
              <w:t>191</w:t>
            </w:r>
          </w:p>
        </w:tc>
      </w:tr>
      <w:tr w:rsidR="00CC5BB9" w:rsidRPr="00800D56" w14:paraId="4C993193" w14:textId="77777777" w:rsidTr="00475118">
        <w:tc>
          <w:tcPr>
            <w:tcW w:w="2552" w:type="dxa"/>
          </w:tcPr>
          <w:p w14:paraId="15F3CAE1" w14:textId="77777777" w:rsidR="00CC5BB9" w:rsidRPr="0051533F" w:rsidRDefault="00CC5BB9" w:rsidP="00FA203C">
            <w:pPr>
              <w:pStyle w:val="TableText"/>
            </w:pPr>
            <w:r w:rsidRPr="0051533F">
              <w:t>VIC</w:t>
            </w:r>
          </w:p>
        </w:tc>
        <w:tc>
          <w:tcPr>
            <w:tcW w:w="4678" w:type="dxa"/>
          </w:tcPr>
          <w:p w14:paraId="44BAC80B" w14:textId="21F48A2F" w:rsidR="00CC5BB9" w:rsidRPr="0051533F" w:rsidRDefault="00FA559D" w:rsidP="00FA203C">
            <w:pPr>
              <w:pStyle w:val="TableText"/>
              <w:jc w:val="center"/>
            </w:pPr>
            <w:r>
              <w:t>19</w:t>
            </w:r>
          </w:p>
        </w:tc>
      </w:tr>
      <w:tr w:rsidR="00CC5BB9" w:rsidRPr="00800D56" w14:paraId="066CED25" w14:textId="77777777" w:rsidTr="00475118">
        <w:tc>
          <w:tcPr>
            <w:tcW w:w="2552" w:type="dxa"/>
          </w:tcPr>
          <w:p w14:paraId="2C0FBD9A" w14:textId="77777777" w:rsidR="00CC5BB9" w:rsidRPr="0051533F" w:rsidRDefault="00CC5BB9" w:rsidP="00FA203C">
            <w:pPr>
              <w:pStyle w:val="TableText"/>
            </w:pPr>
            <w:r>
              <w:t xml:space="preserve">ACT </w:t>
            </w:r>
          </w:p>
        </w:tc>
        <w:tc>
          <w:tcPr>
            <w:tcW w:w="4678" w:type="dxa"/>
          </w:tcPr>
          <w:p w14:paraId="72E997AE" w14:textId="3D65E50C" w:rsidR="00CC5BB9" w:rsidRPr="0051533F" w:rsidRDefault="00FA559D" w:rsidP="00FA203C">
            <w:pPr>
              <w:pStyle w:val="TableText"/>
              <w:jc w:val="center"/>
            </w:pPr>
            <w:r>
              <w:t>0</w:t>
            </w:r>
          </w:p>
        </w:tc>
      </w:tr>
    </w:tbl>
    <w:p w14:paraId="704E648F" w14:textId="77777777" w:rsidR="003613AB" w:rsidRDefault="003613AB" w:rsidP="00CC355E">
      <w:pPr>
        <w:pStyle w:val="TableHeading"/>
        <w:keepNext/>
      </w:pPr>
    </w:p>
    <w:p w14:paraId="5CB8F6BD" w14:textId="77777777" w:rsidR="003613AB" w:rsidRDefault="003613AB" w:rsidP="003613AB">
      <w:pPr>
        <w:pStyle w:val="NormalWhite"/>
      </w:pPr>
    </w:p>
    <w:p w14:paraId="6200D7AE" w14:textId="77777777" w:rsidR="003613AB" w:rsidRDefault="003613AB" w:rsidP="003613AB">
      <w:pPr>
        <w:pStyle w:val="NormalWhite"/>
      </w:pPr>
    </w:p>
    <w:p w14:paraId="3C6126D7" w14:textId="32616052" w:rsidR="0057502C" w:rsidRDefault="000962F5" w:rsidP="00CC355E">
      <w:pPr>
        <w:pStyle w:val="TableHeading"/>
        <w:keepNext/>
      </w:pPr>
      <w:r>
        <w:lastRenderedPageBreak/>
        <w:t xml:space="preserve">Table </w:t>
      </w:r>
      <w:r w:rsidR="007A153A">
        <w:t>8</w:t>
      </w:r>
      <w:r>
        <w:t>: Total value of financial penalties</w:t>
      </w:r>
      <w:r w:rsidR="00E23CD4">
        <w:t xml:space="preserve"> (imposed by the regulator) </w:t>
      </w:r>
    </w:p>
    <w:tbl>
      <w:tblPr>
        <w:tblStyle w:val="TableGridLight"/>
        <w:tblW w:w="7371" w:type="dxa"/>
        <w:tblLook w:val="04A0" w:firstRow="1" w:lastRow="0" w:firstColumn="1" w:lastColumn="0" w:noHBand="0" w:noVBand="1"/>
      </w:tblPr>
      <w:tblGrid>
        <w:gridCol w:w="2547"/>
        <w:gridCol w:w="4824"/>
      </w:tblGrid>
      <w:tr w:rsidR="007C03AD" w:rsidRPr="007C03AD" w14:paraId="0C103F9A" w14:textId="77777777" w:rsidTr="00E817C0">
        <w:trPr>
          <w:cnfStyle w:val="100000000000" w:firstRow="1" w:lastRow="0" w:firstColumn="0" w:lastColumn="0" w:oddVBand="0" w:evenVBand="0" w:oddHBand="0" w:evenHBand="0" w:firstRowFirstColumn="0" w:firstRowLastColumn="0" w:lastRowFirstColumn="0" w:lastRowLastColumn="0"/>
          <w:trHeight w:val="285"/>
        </w:trPr>
        <w:tc>
          <w:tcPr>
            <w:tcW w:w="2547" w:type="dxa"/>
            <w:noWrap/>
            <w:hideMark/>
          </w:tcPr>
          <w:p w14:paraId="420A157A" w14:textId="30EC7BCC" w:rsidR="007C03AD" w:rsidRPr="007C03AD" w:rsidRDefault="007C03AD" w:rsidP="0058740D">
            <w:pPr>
              <w:pStyle w:val="TableHeader"/>
              <w:rPr>
                <w:lang w:eastAsia="en-AU"/>
              </w:rPr>
            </w:pPr>
            <w:r w:rsidRPr="007C03AD">
              <w:rPr>
                <w:lang w:eastAsia="en-AU"/>
              </w:rPr>
              <w:t>S</w:t>
            </w:r>
            <w:r w:rsidR="0095630B">
              <w:rPr>
                <w:lang w:eastAsia="en-AU"/>
              </w:rPr>
              <w:t>tate</w:t>
            </w:r>
            <w:r w:rsidRPr="007C03AD">
              <w:rPr>
                <w:lang w:eastAsia="en-AU"/>
              </w:rPr>
              <w:t xml:space="preserve"> </w:t>
            </w:r>
          </w:p>
        </w:tc>
        <w:tc>
          <w:tcPr>
            <w:tcW w:w="4824" w:type="dxa"/>
            <w:noWrap/>
            <w:hideMark/>
          </w:tcPr>
          <w:p w14:paraId="17E6CB41" w14:textId="77306BE6" w:rsidR="007C03AD" w:rsidRPr="007C03AD" w:rsidRDefault="00475118" w:rsidP="00475118">
            <w:pPr>
              <w:pStyle w:val="TableHeader"/>
              <w:jc w:val="center"/>
              <w:rPr>
                <w:lang w:eastAsia="en-AU"/>
              </w:rPr>
            </w:pPr>
            <w:r>
              <w:rPr>
                <w:lang w:eastAsia="en-AU"/>
              </w:rPr>
              <w:t>Value</w:t>
            </w:r>
          </w:p>
        </w:tc>
      </w:tr>
      <w:tr w:rsidR="007C03AD" w:rsidRPr="007C03AD" w14:paraId="19B9FE06" w14:textId="77777777" w:rsidTr="00E817C0">
        <w:trPr>
          <w:trHeight w:val="285"/>
        </w:trPr>
        <w:tc>
          <w:tcPr>
            <w:tcW w:w="2547" w:type="dxa"/>
            <w:noWrap/>
            <w:hideMark/>
          </w:tcPr>
          <w:p w14:paraId="6664B941" w14:textId="77777777" w:rsidR="007C03AD" w:rsidRPr="007C03AD" w:rsidRDefault="007C03AD" w:rsidP="0058740D">
            <w:pPr>
              <w:pStyle w:val="TableText"/>
              <w:rPr>
                <w:lang w:eastAsia="en-AU"/>
              </w:rPr>
            </w:pPr>
            <w:r w:rsidRPr="007C03AD">
              <w:rPr>
                <w:lang w:eastAsia="en-AU"/>
              </w:rPr>
              <w:t>NSW</w:t>
            </w:r>
          </w:p>
        </w:tc>
        <w:tc>
          <w:tcPr>
            <w:tcW w:w="4824" w:type="dxa"/>
            <w:noWrap/>
            <w:hideMark/>
          </w:tcPr>
          <w:p w14:paraId="4123E94D" w14:textId="4467BA99" w:rsidR="007C03AD" w:rsidRPr="007C03AD" w:rsidRDefault="007C03AD" w:rsidP="00475118">
            <w:pPr>
              <w:pStyle w:val="TableText"/>
              <w:jc w:val="center"/>
              <w:rPr>
                <w:lang w:eastAsia="en-AU"/>
              </w:rPr>
            </w:pPr>
            <w:r w:rsidRPr="007C03AD">
              <w:rPr>
                <w:lang w:eastAsia="en-AU"/>
              </w:rPr>
              <w:t>$106,740</w:t>
            </w:r>
          </w:p>
        </w:tc>
      </w:tr>
      <w:tr w:rsidR="007C03AD" w:rsidRPr="007C03AD" w14:paraId="5634CA77" w14:textId="77777777" w:rsidTr="00E817C0">
        <w:trPr>
          <w:trHeight w:val="285"/>
        </w:trPr>
        <w:tc>
          <w:tcPr>
            <w:tcW w:w="2547" w:type="dxa"/>
            <w:noWrap/>
            <w:hideMark/>
          </w:tcPr>
          <w:p w14:paraId="0F52F7DC" w14:textId="77777777" w:rsidR="007C03AD" w:rsidRPr="007C03AD" w:rsidRDefault="007C03AD" w:rsidP="0058740D">
            <w:pPr>
              <w:pStyle w:val="TableText"/>
              <w:rPr>
                <w:lang w:eastAsia="en-AU"/>
              </w:rPr>
            </w:pPr>
            <w:r w:rsidRPr="007C03AD">
              <w:rPr>
                <w:lang w:eastAsia="en-AU"/>
              </w:rPr>
              <w:t>QLD</w:t>
            </w:r>
          </w:p>
        </w:tc>
        <w:tc>
          <w:tcPr>
            <w:tcW w:w="4824" w:type="dxa"/>
            <w:noWrap/>
            <w:hideMark/>
          </w:tcPr>
          <w:p w14:paraId="7CFB77ED" w14:textId="5A6E535A" w:rsidR="007C03AD" w:rsidRPr="007C03AD" w:rsidRDefault="007C03AD" w:rsidP="00475118">
            <w:pPr>
              <w:pStyle w:val="TableText"/>
              <w:jc w:val="center"/>
              <w:rPr>
                <w:lang w:eastAsia="en-AU"/>
              </w:rPr>
            </w:pPr>
            <w:r w:rsidRPr="007C03AD">
              <w:rPr>
                <w:lang w:eastAsia="en-AU"/>
              </w:rPr>
              <w:t>$2,757</w:t>
            </w:r>
          </w:p>
        </w:tc>
      </w:tr>
      <w:tr w:rsidR="007C03AD" w:rsidRPr="007C03AD" w14:paraId="6E8ACE50" w14:textId="77777777" w:rsidTr="00E817C0">
        <w:trPr>
          <w:trHeight w:val="285"/>
        </w:trPr>
        <w:tc>
          <w:tcPr>
            <w:tcW w:w="2547" w:type="dxa"/>
            <w:noWrap/>
            <w:hideMark/>
          </w:tcPr>
          <w:p w14:paraId="42480B60" w14:textId="77777777" w:rsidR="007C03AD" w:rsidRPr="007C03AD" w:rsidRDefault="007C03AD" w:rsidP="0058740D">
            <w:pPr>
              <w:pStyle w:val="TableText"/>
              <w:rPr>
                <w:lang w:eastAsia="en-AU"/>
              </w:rPr>
            </w:pPr>
            <w:r w:rsidRPr="007C03AD">
              <w:rPr>
                <w:lang w:eastAsia="en-AU"/>
              </w:rPr>
              <w:t>SA</w:t>
            </w:r>
          </w:p>
        </w:tc>
        <w:tc>
          <w:tcPr>
            <w:tcW w:w="4824" w:type="dxa"/>
            <w:noWrap/>
            <w:hideMark/>
          </w:tcPr>
          <w:p w14:paraId="60E93B0A" w14:textId="55808061" w:rsidR="007C03AD" w:rsidRPr="007C03AD" w:rsidRDefault="007C03AD" w:rsidP="00475118">
            <w:pPr>
              <w:pStyle w:val="TableText"/>
              <w:jc w:val="center"/>
              <w:rPr>
                <w:lang w:eastAsia="en-AU"/>
              </w:rPr>
            </w:pPr>
            <w:r w:rsidRPr="007C03AD">
              <w:rPr>
                <w:lang w:eastAsia="en-AU"/>
              </w:rPr>
              <w:t>$2,298,579</w:t>
            </w:r>
          </w:p>
        </w:tc>
      </w:tr>
      <w:tr w:rsidR="007C03AD" w:rsidRPr="007C03AD" w14:paraId="547D1DC7" w14:textId="77777777" w:rsidTr="00E817C0">
        <w:trPr>
          <w:trHeight w:val="285"/>
        </w:trPr>
        <w:tc>
          <w:tcPr>
            <w:tcW w:w="2547" w:type="dxa"/>
            <w:noWrap/>
            <w:hideMark/>
          </w:tcPr>
          <w:p w14:paraId="5E19D18A" w14:textId="77777777" w:rsidR="007C03AD" w:rsidRPr="007C03AD" w:rsidRDefault="007C03AD" w:rsidP="0058740D">
            <w:pPr>
              <w:pStyle w:val="TableText"/>
              <w:rPr>
                <w:lang w:eastAsia="en-AU"/>
              </w:rPr>
            </w:pPr>
            <w:r w:rsidRPr="007C03AD">
              <w:rPr>
                <w:lang w:eastAsia="en-AU"/>
              </w:rPr>
              <w:t>VIC</w:t>
            </w:r>
          </w:p>
        </w:tc>
        <w:tc>
          <w:tcPr>
            <w:tcW w:w="4824" w:type="dxa"/>
            <w:noWrap/>
            <w:hideMark/>
          </w:tcPr>
          <w:p w14:paraId="1F888C5A" w14:textId="3DC9FD87" w:rsidR="007C03AD" w:rsidRPr="007C03AD" w:rsidRDefault="007C03AD" w:rsidP="00475118">
            <w:pPr>
              <w:pStyle w:val="TableText"/>
              <w:jc w:val="center"/>
              <w:rPr>
                <w:lang w:eastAsia="en-AU"/>
              </w:rPr>
            </w:pPr>
            <w:r w:rsidRPr="007C03AD">
              <w:rPr>
                <w:lang w:eastAsia="en-AU"/>
              </w:rPr>
              <w:t>$15,493</w:t>
            </w:r>
          </w:p>
        </w:tc>
      </w:tr>
      <w:tr w:rsidR="007C03AD" w:rsidRPr="007C03AD" w14:paraId="4D72781C" w14:textId="77777777" w:rsidTr="00E817C0">
        <w:trPr>
          <w:trHeight w:val="285"/>
        </w:trPr>
        <w:tc>
          <w:tcPr>
            <w:tcW w:w="2547" w:type="dxa"/>
            <w:noWrap/>
            <w:hideMark/>
          </w:tcPr>
          <w:p w14:paraId="5EEC4743" w14:textId="77777777" w:rsidR="007C03AD" w:rsidRPr="007C03AD" w:rsidRDefault="007C03AD" w:rsidP="0058740D">
            <w:pPr>
              <w:pStyle w:val="TableText"/>
              <w:rPr>
                <w:lang w:eastAsia="en-AU"/>
              </w:rPr>
            </w:pPr>
            <w:r w:rsidRPr="007C03AD">
              <w:rPr>
                <w:lang w:eastAsia="en-AU"/>
              </w:rPr>
              <w:t>ACT</w:t>
            </w:r>
          </w:p>
        </w:tc>
        <w:tc>
          <w:tcPr>
            <w:tcW w:w="4824" w:type="dxa"/>
            <w:noWrap/>
            <w:hideMark/>
          </w:tcPr>
          <w:p w14:paraId="2976CBBA" w14:textId="2EF4D290" w:rsidR="007C03AD" w:rsidRPr="007C03AD" w:rsidRDefault="00265379" w:rsidP="00475118">
            <w:pPr>
              <w:pStyle w:val="TableText"/>
              <w:jc w:val="center"/>
              <w:rPr>
                <w:lang w:eastAsia="en-AU"/>
              </w:rPr>
            </w:pPr>
            <w:r>
              <w:rPr>
                <w:lang w:eastAsia="en-AU"/>
              </w:rPr>
              <w:t>N/A</w:t>
            </w:r>
          </w:p>
        </w:tc>
      </w:tr>
      <w:tr w:rsidR="007C03AD" w:rsidRPr="007C03AD" w14:paraId="64D55CD7" w14:textId="77777777" w:rsidTr="00E817C0">
        <w:trPr>
          <w:trHeight w:val="285"/>
        </w:trPr>
        <w:tc>
          <w:tcPr>
            <w:tcW w:w="2547" w:type="dxa"/>
            <w:noWrap/>
            <w:hideMark/>
          </w:tcPr>
          <w:p w14:paraId="3B76A656" w14:textId="77777777" w:rsidR="007C03AD" w:rsidRPr="0058740D" w:rsidRDefault="007C03AD" w:rsidP="0058740D">
            <w:pPr>
              <w:pStyle w:val="TableText"/>
              <w:rPr>
                <w:rStyle w:val="Strong"/>
              </w:rPr>
            </w:pPr>
            <w:r w:rsidRPr="0058740D">
              <w:rPr>
                <w:rStyle w:val="Strong"/>
              </w:rPr>
              <w:t>TOTAL</w:t>
            </w:r>
          </w:p>
        </w:tc>
        <w:tc>
          <w:tcPr>
            <w:tcW w:w="4824" w:type="dxa"/>
            <w:noWrap/>
            <w:hideMark/>
          </w:tcPr>
          <w:p w14:paraId="51D7F4C0" w14:textId="4B3EC086" w:rsidR="007C03AD" w:rsidRPr="0058740D" w:rsidRDefault="007C03AD" w:rsidP="00EA4913">
            <w:pPr>
              <w:pStyle w:val="TableText"/>
              <w:jc w:val="center"/>
              <w:rPr>
                <w:rStyle w:val="Strong"/>
              </w:rPr>
            </w:pPr>
            <w:r w:rsidRPr="0058740D">
              <w:rPr>
                <w:rStyle w:val="Strong"/>
              </w:rPr>
              <w:t>$2,423,569</w:t>
            </w:r>
          </w:p>
        </w:tc>
      </w:tr>
      <w:tr w:rsidR="00EA4913" w:rsidRPr="007C03AD" w14:paraId="3FCD8A48" w14:textId="77777777" w:rsidTr="00E817C0">
        <w:trPr>
          <w:trHeight w:val="285"/>
        </w:trPr>
        <w:tc>
          <w:tcPr>
            <w:tcW w:w="2547" w:type="dxa"/>
            <w:noWrap/>
          </w:tcPr>
          <w:p w14:paraId="04BEF608" w14:textId="77777777" w:rsidR="00EA4913" w:rsidRPr="0058740D" w:rsidRDefault="00EA4913" w:rsidP="0058740D">
            <w:pPr>
              <w:pStyle w:val="TableText"/>
              <w:rPr>
                <w:rStyle w:val="Strong"/>
              </w:rPr>
            </w:pPr>
          </w:p>
        </w:tc>
        <w:tc>
          <w:tcPr>
            <w:tcW w:w="4824" w:type="dxa"/>
            <w:noWrap/>
          </w:tcPr>
          <w:p w14:paraId="2CF14AC1" w14:textId="77777777" w:rsidR="00EA4913" w:rsidRPr="0058740D" w:rsidRDefault="00EA4913" w:rsidP="0058740D">
            <w:pPr>
              <w:pStyle w:val="TableText"/>
              <w:rPr>
                <w:rStyle w:val="Strong"/>
              </w:rPr>
            </w:pPr>
          </w:p>
        </w:tc>
      </w:tr>
    </w:tbl>
    <w:p w14:paraId="41079915" w14:textId="0B84D214" w:rsidR="0057502C" w:rsidRPr="00C35121" w:rsidRDefault="00150E0A" w:rsidP="0031545C">
      <w:pPr>
        <w:pStyle w:val="Heading2"/>
      </w:pPr>
      <w:bookmarkStart w:id="19" w:name="_Toc181271336"/>
      <w:r w:rsidRPr="00C35121">
        <w:t xml:space="preserve">Financial </w:t>
      </w:r>
      <w:r w:rsidR="00C35121">
        <w:t>p</w:t>
      </w:r>
      <w:r w:rsidR="00C35121" w:rsidRPr="00C35121">
        <w:t xml:space="preserve">enalties </w:t>
      </w:r>
      <w:r w:rsidRPr="00C35121">
        <w:t xml:space="preserve">imposed by a </w:t>
      </w:r>
      <w:r w:rsidR="00C35121">
        <w:t>c</w:t>
      </w:r>
      <w:r w:rsidRPr="00C35121">
        <w:t>ourt</w:t>
      </w:r>
      <w:bookmarkEnd w:id="19"/>
      <w:r w:rsidRPr="00C35121">
        <w:t xml:space="preserve"> </w:t>
      </w:r>
    </w:p>
    <w:p w14:paraId="52F2A652" w14:textId="77777777" w:rsidR="007E5E2A" w:rsidRPr="00254DD4" w:rsidRDefault="007E5E2A" w:rsidP="007E5E2A">
      <w:pPr>
        <w:pStyle w:val="TableText"/>
        <w:rPr>
          <w:rStyle w:val="Strong"/>
        </w:rPr>
      </w:pPr>
      <w:r w:rsidRPr="00254DD4">
        <w:rPr>
          <w:rStyle w:val="Strong"/>
        </w:rPr>
        <w:t xml:space="preserve">Relevance of </w:t>
      </w:r>
      <w:r>
        <w:rPr>
          <w:rStyle w:val="Strong"/>
        </w:rPr>
        <w:t>financial penalties imposed by a court to compliance performance</w:t>
      </w:r>
    </w:p>
    <w:p w14:paraId="44EA3067" w14:textId="41E38675" w:rsidR="007E5E2A" w:rsidRDefault="007E5E2A" w:rsidP="007E5E2A">
      <w:r>
        <w:t>This metric provides information on the number and value of financial penalties imposed by a court following successful prosecutions. It is linked to short term performance outcomes by helping demonstrate that the regulator is responsive to risk and that they apply consistent and transparent compliance responses.</w:t>
      </w:r>
    </w:p>
    <w:p w14:paraId="2A18CBD2" w14:textId="716EDB91" w:rsidR="007E3528" w:rsidRPr="007E3528" w:rsidRDefault="007E3528" w:rsidP="0031545C">
      <w:r w:rsidRPr="007E3528">
        <w:t xml:space="preserve">This </w:t>
      </w:r>
      <w:r w:rsidR="006E1587">
        <w:t>section sets out</w:t>
      </w:r>
      <w:r>
        <w:t xml:space="preserve"> </w:t>
      </w:r>
      <w:r w:rsidRPr="007E3528">
        <w:t>the number and value of financial penalties imposed by courts following successful prosecutions.</w:t>
      </w:r>
    </w:p>
    <w:p w14:paraId="1CE8B791" w14:textId="09A9FC18" w:rsidR="007E3528" w:rsidRPr="007E79EE" w:rsidRDefault="007E3528" w:rsidP="00C27C33">
      <w:r w:rsidRPr="007E3528">
        <w:t xml:space="preserve">In </w:t>
      </w:r>
      <w:r w:rsidR="007272C9">
        <w:t>New South Wales</w:t>
      </w:r>
      <w:r w:rsidRPr="007E3528">
        <w:t xml:space="preserve">, </w:t>
      </w:r>
      <w:r w:rsidR="007272C9">
        <w:t>4</w:t>
      </w:r>
      <w:r>
        <w:t xml:space="preserve"> </w:t>
      </w:r>
      <w:r w:rsidRPr="007E3528">
        <w:t xml:space="preserve">prosecutions led to convictions, with court-ordered penalties </w:t>
      </w:r>
      <w:r w:rsidR="0031545C" w:rsidRPr="007E3528">
        <w:t>totalling</w:t>
      </w:r>
      <w:r w:rsidRPr="007E3528">
        <w:t xml:space="preserve"> $416,250. A water holder from the Gwydir River region was fined $353,750 after pleading guilty to two counts of unauthorised water take. Vic</w:t>
      </w:r>
      <w:r w:rsidR="007272C9">
        <w:t>toria</w:t>
      </w:r>
      <w:r w:rsidRPr="007E3528">
        <w:t xml:space="preserve"> achieved two successful prosecutions related to non-compliance in the Murray System Merbein region; one for unauthorised water take and another for obstructing officers.</w:t>
      </w:r>
    </w:p>
    <w:p w14:paraId="3DE9A6E4" w14:textId="027D9E0C" w:rsidR="00250C86" w:rsidRDefault="00114726" w:rsidP="00D15C38">
      <w:r>
        <w:t xml:space="preserve">South Australia </w:t>
      </w:r>
      <w:r w:rsidR="00FB3243" w:rsidRPr="00FB3243">
        <w:t xml:space="preserve">typically does not pursue court prosecutions as its primary enforcement method. Instead, mandatory fines </w:t>
      </w:r>
      <w:r>
        <w:t xml:space="preserve">under </w:t>
      </w:r>
      <w:r w:rsidR="00FB3243" w:rsidRPr="00FB3243">
        <w:t xml:space="preserve">the </w:t>
      </w:r>
      <w:r w:rsidR="00FB3243" w:rsidRPr="00D00FF6">
        <w:rPr>
          <w:i/>
        </w:rPr>
        <w:t>Landscape South Australia Act 2019</w:t>
      </w:r>
      <w:r w:rsidR="00FB3243" w:rsidRPr="00FB3243">
        <w:t xml:space="preserve"> </w:t>
      </w:r>
      <w:r>
        <w:t xml:space="preserve">(SA) apply </w:t>
      </w:r>
      <w:r w:rsidR="00FB3243" w:rsidRPr="00FB3243">
        <w:t>to breaches of water take laws</w:t>
      </w:r>
      <w:r w:rsidR="001560B1">
        <w:t>. O</w:t>
      </w:r>
      <w:r w:rsidR="00FB3243" w:rsidRPr="00FB3243">
        <w:t>ther compliance tools, including court action, are instigated where necessary.</w:t>
      </w:r>
      <w:r w:rsidR="00FB3243">
        <w:t xml:space="preserve"> </w:t>
      </w:r>
    </w:p>
    <w:p w14:paraId="0CE7B4CD" w14:textId="0D01B758" w:rsidR="00A851DB" w:rsidRPr="00A851DB" w:rsidRDefault="00A851DB" w:rsidP="00C27C33">
      <w:r w:rsidRPr="00A851DB">
        <w:t xml:space="preserve">In </w:t>
      </w:r>
      <w:r w:rsidR="00250C86">
        <w:t xml:space="preserve">Queensland </w:t>
      </w:r>
      <w:r w:rsidRPr="00A851DB">
        <w:t xml:space="preserve">and the </w:t>
      </w:r>
      <w:r w:rsidR="00250C86">
        <w:t>Australian Cap</w:t>
      </w:r>
      <w:r w:rsidR="00CC2CC1">
        <w:t>i</w:t>
      </w:r>
      <w:r w:rsidR="00250C86">
        <w:t>tal Territory</w:t>
      </w:r>
      <w:r w:rsidRPr="00A851DB">
        <w:t>, investigations conducted did not lead to any prosecutions, resulting in no court-imposed financial penalties.</w:t>
      </w:r>
    </w:p>
    <w:p w14:paraId="3AA9C4F8" w14:textId="6A2AD8A7" w:rsidR="006A58C6" w:rsidRPr="00800D56" w:rsidRDefault="006A58C6" w:rsidP="006A58C6">
      <w:pPr>
        <w:pStyle w:val="TableHeading"/>
        <w:keepNext/>
      </w:pPr>
      <w:r>
        <w:t>Table 9</w:t>
      </w:r>
      <w:r w:rsidRPr="00800D56">
        <w:t xml:space="preserve">: </w:t>
      </w:r>
      <w:r>
        <w:t xml:space="preserve">Number </w:t>
      </w:r>
      <w:r w:rsidR="005A7631">
        <w:t xml:space="preserve">of </w:t>
      </w:r>
      <w:r w:rsidR="002478A3">
        <w:t>financial penalties</w:t>
      </w:r>
      <w:r w:rsidR="00E23CD4">
        <w:t xml:space="preserve"> (imposed by a court) </w:t>
      </w:r>
      <w:r w:rsidR="002478A3">
        <w:t xml:space="preserve"> </w:t>
      </w:r>
    </w:p>
    <w:tbl>
      <w:tblPr>
        <w:tblStyle w:val="TableGridLight"/>
        <w:tblW w:w="0" w:type="auto"/>
        <w:tblLook w:val="04A0" w:firstRow="1" w:lastRow="0" w:firstColumn="1" w:lastColumn="0" w:noHBand="0" w:noVBand="1"/>
      </w:tblPr>
      <w:tblGrid>
        <w:gridCol w:w="2835"/>
        <w:gridCol w:w="4536"/>
      </w:tblGrid>
      <w:tr w:rsidR="006A58C6" w:rsidRPr="00800D56" w14:paraId="5531B9BB" w14:textId="77777777" w:rsidTr="002E6F88">
        <w:trPr>
          <w:cnfStyle w:val="100000000000" w:firstRow="1" w:lastRow="0" w:firstColumn="0" w:lastColumn="0" w:oddVBand="0" w:evenVBand="0" w:oddHBand="0" w:evenHBand="0" w:firstRowFirstColumn="0" w:firstRowLastColumn="0" w:lastRowFirstColumn="0" w:lastRowLastColumn="0"/>
          <w:tblHeader/>
        </w:trPr>
        <w:tc>
          <w:tcPr>
            <w:tcW w:w="2835" w:type="dxa"/>
          </w:tcPr>
          <w:p w14:paraId="1DF61FCF" w14:textId="77777777" w:rsidR="006A58C6" w:rsidRPr="00800D56" w:rsidRDefault="006A58C6" w:rsidP="00FA203C">
            <w:pPr>
              <w:pStyle w:val="TableHeader"/>
            </w:pPr>
            <w:r w:rsidRPr="00800D56">
              <w:t xml:space="preserve">State </w:t>
            </w:r>
          </w:p>
        </w:tc>
        <w:tc>
          <w:tcPr>
            <w:tcW w:w="4536" w:type="dxa"/>
          </w:tcPr>
          <w:p w14:paraId="062F0725" w14:textId="77777777" w:rsidR="006A58C6" w:rsidRPr="00800D56" w:rsidRDefault="006A58C6" w:rsidP="00FA203C">
            <w:pPr>
              <w:pStyle w:val="TableHeader"/>
              <w:jc w:val="center"/>
            </w:pPr>
            <w:r>
              <w:t>Number</w:t>
            </w:r>
          </w:p>
        </w:tc>
      </w:tr>
      <w:tr w:rsidR="006A58C6" w:rsidRPr="00800D56" w14:paraId="0E331979" w14:textId="77777777" w:rsidTr="002E6F88">
        <w:tc>
          <w:tcPr>
            <w:tcW w:w="2835" w:type="dxa"/>
          </w:tcPr>
          <w:p w14:paraId="6FAF29FA" w14:textId="77777777" w:rsidR="006A58C6" w:rsidRPr="00800D56" w:rsidRDefault="006A58C6" w:rsidP="00FA203C">
            <w:pPr>
              <w:pStyle w:val="TableText"/>
            </w:pPr>
            <w:r w:rsidRPr="00800D56">
              <w:t>NSW</w:t>
            </w:r>
          </w:p>
        </w:tc>
        <w:tc>
          <w:tcPr>
            <w:tcW w:w="4536" w:type="dxa"/>
          </w:tcPr>
          <w:p w14:paraId="2DEA3D01" w14:textId="04B2D789" w:rsidR="006A58C6" w:rsidRPr="00800D56" w:rsidRDefault="00655722" w:rsidP="00FA203C">
            <w:pPr>
              <w:pStyle w:val="TableText"/>
              <w:jc w:val="center"/>
            </w:pPr>
            <w:r>
              <w:t>4</w:t>
            </w:r>
          </w:p>
        </w:tc>
      </w:tr>
      <w:tr w:rsidR="006A58C6" w:rsidRPr="00800D56" w14:paraId="469FDF09" w14:textId="77777777" w:rsidTr="002E6F88">
        <w:tc>
          <w:tcPr>
            <w:tcW w:w="2835" w:type="dxa"/>
          </w:tcPr>
          <w:p w14:paraId="5964DCB8" w14:textId="77777777" w:rsidR="006A58C6" w:rsidRPr="00800D56" w:rsidRDefault="006A58C6" w:rsidP="00FA203C">
            <w:pPr>
              <w:pStyle w:val="TableText"/>
            </w:pPr>
            <w:r w:rsidRPr="00800D56">
              <w:t>QLD</w:t>
            </w:r>
          </w:p>
        </w:tc>
        <w:tc>
          <w:tcPr>
            <w:tcW w:w="4536" w:type="dxa"/>
          </w:tcPr>
          <w:p w14:paraId="0D746DAB" w14:textId="5C034D07" w:rsidR="006A58C6" w:rsidRPr="00800D56" w:rsidRDefault="00655722" w:rsidP="00FA203C">
            <w:pPr>
              <w:pStyle w:val="TableText"/>
              <w:jc w:val="center"/>
            </w:pPr>
            <w:r>
              <w:t>0</w:t>
            </w:r>
          </w:p>
        </w:tc>
      </w:tr>
      <w:tr w:rsidR="006A58C6" w:rsidRPr="00800D56" w14:paraId="014AADE4" w14:textId="77777777" w:rsidTr="002E6F88">
        <w:tc>
          <w:tcPr>
            <w:tcW w:w="2835" w:type="dxa"/>
          </w:tcPr>
          <w:p w14:paraId="7E3C32A9" w14:textId="77777777" w:rsidR="006A58C6" w:rsidRPr="00800D56" w:rsidRDefault="006A58C6" w:rsidP="00FA203C">
            <w:pPr>
              <w:pStyle w:val="TableText"/>
            </w:pPr>
            <w:r w:rsidRPr="00800D56">
              <w:t>SA</w:t>
            </w:r>
          </w:p>
        </w:tc>
        <w:tc>
          <w:tcPr>
            <w:tcW w:w="4536" w:type="dxa"/>
          </w:tcPr>
          <w:p w14:paraId="667067CA" w14:textId="05AEF078" w:rsidR="006A58C6" w:rsidRPr="00800D56" w:rsidRDefault="00655722" w:rsidP="00FA203C">
            <w:pPr>
              <w:pStyle w:val="TableText"/>
              <w:jc w:val="center"/>
            </w:pPr>
            <w:r>
              <w:t>0</w:t>
            </w:r>
          </w:p>
        </w:tc>
      </w:tr>
      <w:tr w:rsidR="006A58C6" w:rsidRPr="00800D56" w14:paraId="537EA2BB" w14:textId="77777777" w:rsidTr="002E6F88">
        <w:tc>
          <w:tcPr>
            <w:tcW w:w="2835" w:type="dxa"/>
          </w:tcPr>
          <w:p w14:paraId="28FDC0D2" w14:textId="77777777" w:rsidR="006A58C6" w:rsidRPr="0051533F" w:rsidRDefault="006A58C6" w:rsidP="00FA203C">
            <w:pPr>
              <w:pStyle w:val="TableText"/>
            </w:pPr>
            <w:r w:rsidRPr="0051533F">
              <w:t>VIC</w:t>
            </w:r>
          </w:p>
        </w:tc>
        <w:tc>
          <w:tcPr>
            <w:tcW w:w="4536" w:type="dxa"/>
          </w:tcPr>
          <w:p w14:paraId="29DB0C96" w14:textId="234BE6CA" w:rsidR="006A58C6" w:rsidRPr="0051533F" w:rsidRDefault="00655722" w:rsidP="00FA203C">
            <w:pPr>
              <w:pStyle w:val="TableText"/>
              <w:jc w:val="center"/>
            </w:pPr>
            <w:r>
              <w:t>2</w:t>
            </w:r>
          </w:p>
        </w:tc>
      </w:tr>
      <w:tr w:rsidR="006A58C6" w:rsidRPr="00800D56" w14:paraId="2CDEA865" w14:textId="77777777" w:rsidTr="002E6F88">
        <w:tc>
          <w:tcPr>
            <w:tcW w:w="2835" w:type="dxa"/>
          </w:tcPr>
          <w:p w14:paraId="3C35C606" w14:textId="77777777" w:rsidR="006A58C6" w:rsidRPr="0051533F" w:rsidRDefault="006A58C6" w:rsidP="00FA203C">
            <w:pPr>
              <w:pStyle w:val="TableText"/>
            </w:pPr>
            <w:r>
              <w:t xml:space="preserve">ACT </w:t>
            </w:r>
          </w:p>
        </w:tc>
        <w:tc>
          <w:tcPr>
            <w:tcW w:w="4536" w:type="dxa"/>
          </w:tcPr>
          <w:p w14:paraId="75FAAD7E" w14:textId="31E199E4" w:rsidR="006A58C6" w:rsidRPr="0051533F" w:rsidRDefault="00655722" w:rsidP="00FA203C">
            <w:pPr>
              <w:pStyle w:val="TableText"/>
              <w:jc w:val="center"/>
            </w:pPr>
            <w:r>
              <w:t>0</w:t>
            </w:r>
          </w:p>
        </w:tc>
      </w:tr>
    </w:tbl>
    <w:p w14:paraId="59C676C3" w14:textId="3F30CBEC" w:rsidR="00F9534C" w:rsidRDefault="00431B08" w:rsidP="006F5563">
      <w:pPr>
        <w:pStyle w:val="TableHeading"/>
        <w:keepNext/>
      </w:pPr>
      <w:r>
        <w:lastRenderedPageBreak/>
        <w:t xml:space="preserve">Table </w:t>
      </w:r>
      <w:r w:rsidR="00477FD8">
        <w:t>10</w:t>
      </w:r>
      <w:r>
        <w:t>: Total value of financial penalties</w:t>
      </w:r>
    </w:p>
    <w:tbl>
      <w:tblPr>
        <w:tblStyle w:val="TableGridLight"/>
        <w:tblW w:w="7340" w:type="dxa"/>
        <w:tblLook w:val="04A0" w:firstRow="1" w:lastRow="0" w:firstColumn="1" w:lastColumn="0" w:noHBand="0" w:noVBand="1"/>
      </w:tblPr>
      <w:tblGrid>
        <w:gridCol w:w="3106"/>
        <w:gridCol w:w="4234"/>
      </w:tblGrid>
      <w:tr w:rsidR="00043112" w:rsidRPr="00043112" w14:paraId="3D18D7F6" w14:textId="77777777" w:rsidTr="0058740D">
        <w:trPr>
          <w:cnfStyle w:val="100000000000" w:firstRow="1" w:lastRow="0" w:firstColumn="0" w:lastColumn="0" w:oddVBand="0" w:evenVBand="0" w:oddHBand="0" w:evenHBand="0" w:firstRowFirstColumn="0" w:firstRowLastColumn="0" w:lastRowFirstColumn="0" w:lastRowLastColumn="0"/>
          <w:trHeight w:val="285"/>
        </w:trPr>
        <w:tc>
          <w:tcPr>
            <w:tcW w:w="0" w:type="dxa"/>
            <w:noWrap/>
            <w:hideMark/>
          </w:tcPr>
          <w:p w14:paraId="6273D655" w14:textId="355A3569" w:rsidR="00043112" w:rsidRPr="00043112" w:rsidRDefault="00043112" w:rsidP="0058740D">
            <w:pPr>
              <w:pStyle w:val="TableHeader"/>
              <w:rPr>
                <w:lang w:eastAsia="en-AU"/>
              </w:rPr>
            </w:pPr>
            <w:r w:rsidRPr="00043112">
              <w:rPr>
                <w:lang w:eastAsia="en-AU"/>
              </w:rPr>
              <w:t>S</w:t>
            </w:r>
            <w:r w:rsidR="0095630B">
              <w:rPr>
                <w:lang w:eastAsia="en-AU"/>
              </w:rPr>
              <w:t>tate</w:t>
            </w:r>
          </w:p>
        </w:tc>
        <w:tc>
          <w:tcPr>
            <w:tcW w:w="0" w:type="dxa"/>
            <w:noWrap/>
            <w:hideMark/>
          </w:tcPr>
          <w:p w14:paraId="10F25E50" w14:textId="0B5DA0D1" w:rsidR="00043112" w:rsidRPr="00043112" w:rsidRDefault="00BC538C" w:rsidP="00BC538C">
            <w:pPr>
              <w:pStyle w:val="TableHeader"/>
              <w:jc w:val="center"/>
              <w:rPr>
                <w:lang w:eastAsia="en-AU"/>
              </w:rPr>
            </w:pPr>
            <w:r>
              <w:rPr>
                <w:lang w:eastAsia="en-AU"/>
              </w:rPr>
              <w:t xml:space="preserve">Value </w:t>
            </w:r>
          </w:p>
        </w:tc>
      </w:tr>
      <w:tr w:rsidR="00043112" w:rsidRPr="00043112" w14:paraId="79AD3025" w14:textId="77777777" w:rsidTr="0058740D">
        <w:trPr>
          <w:trHeight w:val="285"/>
        </w:trPr>
        <w:tc>
          <w:tcPr>
            <w:tcW w:w="0" w:type="dxa"/>
            <w:noWrap/>
            <w:hideMark/>
          </w:tcPr>
          <w:p w14:paraId="7D21DB58" w14:textId="77777777" w:rsidR="00043112" w:rsidRPr="00043112" w:rsidRDefault="00043112" w:rsidP="0058740D">
            <w:pPr>
              <w:pStyle w:val="TableText"/>
              <w:rPr>
                <w:lang w:eastAsia="en-AU"/>
              </w:rPr>
            </w:pPr>
            <w:r w:rsidRPr="00043112">
              <w:rPr>
                <w:lang w:eastAsia="en-AU"/>
              </w:rPr>
              <w:t>NSW</w:t>
            </w:r>
          </w:p>
        </w:tc>
        <w:tc>
          <w:tcPr>
            <w:tcW w:w="0" w:type="dxa"/>
            <w:noWrap/>
            <w:hideMark/>
          </w:tcPr>
          <w:p w14:paraId="16E8BD27" w14:textId="792D9E83" w:rsidR="00043112" w:rsidRPr="00043112" w:rsidRDefault="00043112" w:rsidP="00BC538C">
            <w:pPr>
              <w:pStyle w:val="TableText"/>
              <w:jc w:val="center"/>
              <w:rPr>
                <w:lang w:eastAsia="en-AU"/>
              </w:rPr>
            </w:pPr>
            <w:r w:rsidRPr="00043112">
              <w:rPr>
                <w:lang w:eastAsia="en-AU"/>
              </w:rPr>
              <w:t>$416,250</w:t>
            </w:r>
          </w:p>
        </w:tc>
      </w:tr>
      <w:tr w:rsidR="00043112" w:rsidRPr="00043112" w14:paraId="61D21E65" w14:textId="77777777" w:rsidTr="0058740D">
        <w:trPr>
          <w:trHeight w:val="285"/>
        </w:trPr>
        <w:tc>
          <w:tcPr>
            <w:tcW w:w="0" w:type="dxa"/>
            <w:noWrap/>
            <w:hideMark/>
          </w:tcPr>
          <w:p w14:paraId="041CF760" w14:textId="77777777" w:rsidR="00043112" w:rsidRPr="00043112" w:rsidRDefault="00043112" w:rsidP="0058740D">
            <w:pPr>
              <w:pStyle w:val="TableText"/>
              <w:rPr>
                <w:lang w:eastAsia="en-AU"/>
              </w:rPr>
            </w:pPr>
            <w:r w:rsidRPr="00043112">
              <w:rPr>
                <w:lang w:eastAsia="en-AU"/>
              </w:rPr>
              <w:t>QLD</w:t>
            </w:r>
          </w:p>
        </w:tc>
        <w:tc>
          <w:tcPr>
            <w:tcW w:w="0" w:type="dxa"/>
            <w:noWrap/>
            <w:hideMark/>
          </w:tcPr>
          <w:p w14:paraId="664AE222" w14:textId="11F9E919" w:rsidR="00043112" w:rsidRPr="00043112" w:rsidRDefault="00265379" w:rsidP="00BC538C">
            <w:pPr>
              <w:pStyle w:val="TableText"/>
              <w:jc w:val="center"/>
              <w:rPr>
                <w:lang w:eastAsia="en-AU"/>
              </w:rPr>
            </w:pPr>
            <w:r>
              <w:rPr>
                <w:lang w:eastAsia="en-AU"/>
              </w:rPr>
              <w:t>N/A</w:t>
            </w:r>
          </w:p>
        </w:tc>
      </w:tr>
      <w:tr w:rsidR="00043112" w:rsidRPr="00043112" w14:paraId="52A0E1D4" w14:textId="77777777" w:rsidTr="0058740D">
        <w:trPr>
          <w:trHeight w:val="285"/>
        </w:trPr>
        <w:tc>
          <w:tcPr>
            <w:tcW w:w="0" w:type="dxa"/>
            <w:noWrap/>
            <w:hideMark/>
          </w:tcPr>
          <w:p w14:paraId="54E5060C" w14:textId="77777777" w:rsidR="00043112" w:rsidRPr="00043112" w:rsidRDefault="00043112" w:rsidP="0058740D">
            <w:pPr>
              <w:pStyle w:val="TableText"/>
              <w:rPr>
                <w:lang w:eastAsia="en-AU"/>
              </w:rPr>
            </w:pPr>
            <w:r w:rsidRPr="00043112">
              <w:rPr>
                <w:lang w:eastAsia="en-AU"/>
              </w:rPr>
              <w:t>SA</w:t>
            </w:r>
          </w:p>
        </w:tc>
        <w:tc>
          <w:tcPr>
            <w:tcW w:w="0" w:type="dxa"/>
            <w:noWrap/>
            <w:hideMark/>
          </w:tcPr>
          <w:p w14:paraId="7125CFC6" w14:textId="3B702DBD" w:rsidR="00043112" w:rsidRPr="00043112" w:rsidRDefault="00265379" w:rsidP="00BC538C">
            <w:pPr>
              <w:pStyle w:val="TableText"/>
              <w:jc w:val="center"/>
              <w:rPr>
                <w:lang w:eastAsia="en-AU"/>
              </w:rPr>
            </w:pPr>
            <w:r>
              <w:rPr>
                <w:lang w:eastAsia="en-AU"/>
              </w:rPr>
              <w:t>N/A</w:t>
            </w:r>
          </w:p>
        </w:tc>
      </w:tr>
      <w:tr w:rsidR="00043112" w:rsidRPr="00043112" w14:paraId="07ABD876" w14:textId="77777777" w:rsidTr="0058740D">
        <w:trPr>
          <w:trHeight w:val="285"/>
        </w:trPr>
        <w:tc>
          <w:tcPr>
            <w:tcW w:w="0" w:type="dxa"/>
            <w:noWrap/>
            <w:hideMark/>
          </w:tcPr>
          <w:p w14:paraId="01046872" w14:textId="77777777" w:rsidR="00043112" w:rsidRPr="00043112" w:rsidRDefault="00043112" w:rsidP="0058740D">
            <w:pPr>
              <w:pStyle w:val="TableText"/>
              <w:rPr>
                <w:lang w:eastAsia="en-AU"/>
              </w:rPr>
            </w:pPr>
            <w:r w:rsidRPr="00043112">
              <w:rPr>
                <w:lang w:eastAsia="en-AU"/>
              </w:rPr>
              <w:t>VIC</w:t>
            </w:r>
          </w:p>
        </w:tc>
        <w:tc>
          <w:tcPr>
            <w:tcW w:w="0" w:type="dxa"/>
            <w:noWrap/>
            <w:hideMark/>
          </w:tcPr>
          <w:p w14:paraId="21279C82" w14:textId="66270372" w:rsidR="00043112" w:rsidRPr="00043112" w:rsidRDefault="00043112" w:rsidP="00BC538C">
            <w:pPr>
              <w:pStyle w:val="TableText"/>
              <w:jc w:val="center"/>
              <w:rPr>
                <w:lang w:eastAsia="en-AU"/>
              </w:rPr>
            </w:pPr>
            <w:r w:rsidRPr="00043112">
              <w:rPr>
                <w:lang w:eastAsia="en-AU"/>
              </w:rPr>
              <w:t>$4,500</w:t>
            </w:r>
          </w:p>
        </w:tc>
      </w:tr>
      <w:tr w:rsidR="00043112" w:rsidRPr="00043112" w14:paraId="2E08394A" w14:textId="77777777" w:rsidTr="0058740D">
        <w:trPr>
          <w:trHeight w:val="285"/>
        </w:trPr>
        <w:tc>
          <w:tcPr>
            <w:tcW w:w="0" w:type="dxa"/>
            <w:noWrap/>
            <w:hideMark/>
          </w:tcPr>
          <w:p w14:paraId="669BCC71" w14:textId="77777777" w:rsidR="00043112" w:rsidRPr="00043112" w:rsidRDefault="00043112" w:rsidP="0058740D">
            <w:pPr>
              <w:pStyle w:val="TableText"/>
              <w:rPr>
                <w:lang w:eastAsia="en-AU"/>
              </w:rPr>
            </w:pPr>
            <w:r w:rsidRPr="00043112">
              <w:rPr>
                <w:lang w:eastAsia="en-AU"/>
              </w:rPr>
              <w:t>ACT</w:t>
            </w:r>
          </w:p>
        </w:tc>
        <w:tc>
          <w:tcPr>
            <w:tcW w:w="0" w:type="dxa"/>
            <w:noWrap/>
            <w:hideMark/>
          </w:tcPr>
          <w:p w14:paraId="01FEFBA2" w14:textId="22570ECA" w:rsidR="00043112" w:rsidRPr="00043112" w:rsidRDefault="00265379" w:rsidP="00BC538C">
            <w:pPr>
              <w:pStyle w:val="TableText"/>
              <w:jc w:val="center"/>
              <w:rPr>
                <w:lang w:eastAsia="en-AU"/>
              </w:rPr>
            </w:pPr>
            <w:r>
              <w:rPr>
                <w:lang w:eastAsia="en-AU"/>
              </w:rPr>
              <w:t>N/A</w:t>
            </w:r>
          </w:p>
        </w:tc>
      </w:tr>
      <w:tr w:rsidR="00043112" w:rsidRPr="00043112" w14:paraId="5ECCDDBA" w14:textId="77777777" w:rsidTr="0058740D">
        <w:trPr>
          <w:trHeight w:val="285"/>
        </w:trPr>
        <w:tc>
          <w:tcPr>
            <w:tcW w:w="0" w:type="dxa"/>
            <w:noWrap/>
            <w:hideMark/>
          </w:tcPr>
          <w:p w14:paraId="0C8A91A6" w14:textId="6CA6313D" w:rsidR="00043112" w:rsidRPr="00043112" w:rsidRDefault="00043112" w:rsidP="0058740D">
            <w:pPr>
              <w:pStyle w:val="TableText"/>
              <w:rPr>
                <w:b/>
                <w:lang w:eastAsia="en-AU"/>
              </w:rPr>
            </w:pPr>
            <w:r w:rsidRPr="00043112">
              <w:rPr>
                <w:b/>
                <w:lang w:eastAsia="en-AU"/>
              </w:rPr>
              <w:t>T</w:t>
            </w:r>
            <w:r w:rsidR="00790C74">
              <w:rPr>
                <w:b/>
                <w:lang w:eastAsia="en-AU"/>
              </w:rPr>
              <w:t>OTAL</w:t>
            </w:r>
          </w:p>
        </w:tc>
        <w:tc>
          <w:tcPr>
            <w:tcW w:w="0" w:type="dxa"/>
            <w:noWrap/>
            <w:hideMark/>
          </w:tcPr>
          <w:p w14:paraId="3B02358B" w14:textId="01BC0FFF" w:rsidR="00043112" w:rsidRPr="00043112" w:rsidRDefault="00043112" w:rsidP="00BC538C">
            <w:pPr>
              <w:pStyle w:val="TableText"/>
              <w:jc w:val="center"/>
              <w:rPr>
                <w:b/>
                <w:lang w:eastAsia="en-AU"/>
              </w:rPr>
            </w:pPr>
            <w:r w:rsidRPr="00043112">
              <w:rPr>
                <w:b/>
                <w:lang w:eastAsia="en-AU"/>
              </w:rPr>
              <w:t>$420,750</w:t>
            </w:r>
          </w:p>
        </w:tc>
      </w:tr>
    </w:tbl>
    <w:p w14:paraId="1A731551" w14:textId="77777777" w:rsidR="00213486" w:rsidRDefault="00213486" w:rsidP="00B06BC0">
      <w:pPr>
        <w:pStyle w:val="BodyText"/>
        <w:spacing w:line="297" w:lineRule="auto"/>
        <w:ind w:right="501"/>
        <w:jc w:val="both"/>
        <w:rPr>
          <w:rFonts w:ascii="Verdana" w:hAnsi="Verdana"/>
          <w:sz w:val="20"/>
          <w:szCs w:val="20"/>
        </w:rPr>
        <w:sectPr w:rsidR="00213486" w:rsidSect="001E1991">
          <w:headerReference w:type="even" r:id="rId25"/>
          <w:headerReference w:type="default" r:id="rId26"/>
          <w:footerReference w:type="even" r:id="rId27"/>
          <w:footerReference w:type="default" r:id="rId28"/>
          <w:headerReference w:type="first" r:id="rId29"/>
          <w:footerReference w:type="first" r:id="rId30"/>
          <w:pgSz w:w="11906" w:h="16838"/>
          <w:pgMar w:top="993" w:right="1134" w:bottom="816" w:left="1134" w:header="431" w:footer="999" w:gutter="0"/>
          <w:cols w:space="708"/>
          <w:titlePg/>
          <w:docGrid w:linePitch="360"/>
        </w:sectPr>
      </w:pPr>
    </w:p>
    <w:p w14:paraId="0B82DC41" w14:textId="77777777" w:rsidR="00EE0203" w:rsidRDefault="00EE0203" w:rsidP="003613AB">
      <w:pPr>
        <w:pStyle w:val="AppendicesHeading1"/>
        <w:rPr>
          <w:spacing w:val="-2"/>
          <w:w w:val="120"/>
        </w:rPr>
      </w:pPr>
      <w:bookmarkStart w:id="20" w:name="_Toc181271337"/>
      <w:r w:rsidRPr="008F7FC1">
        <w:rPr>
          <w:bCs/>
        </w:rPr>
        <w:lastRenderedPageBreak/>
        <w:t>Appendix 1:</w:t>
      </w:r>
      <w:r w:rsidRPr="00D57E80">
        <w:t xml:space="preserve"> </w:t>
      </w:r>
      <w:r w:rsidRPr="00641533">
        <w:t>Vision for the Water Compliance Performance Reporting Framework</w:t>
      </w:r>
      <w:bookmarkEnd w:id="20"/>
    </w:p>
    <w:p w14:paraId="00E1D266" w14:textId="50A80878" w:rsidR="00012035" w:rsidRPr="00664E4B" w:rsidRDefault="004A4B9E" w:rsidP="00B06BC0">
      <w:pPr>
        <w:pStyle w:val="BodyText"/>
        <w:spacing w:line="297" w:lineRule="auto"/>
        <w:ind w:right="501"/>
        <w:jc w:val="both"/>
        <w:rPr>
          <w:rFonts w:ascii="Verdana" w:hAnsi="Verdana"/>
          <w:sz w:val="20"/>
          <w:szCs w:val="20"/>
        </w:rPr>
      </w:pPr>
      <w:r w:rsidRPr="004A4B9E">
        <w:rPr>
          <w:rFonts w:ascii="Verdana" w:hAnsi="Verdana"/>
          <w:noProof/>
          <w:sz w:val="20"/>
          <w:szCs w:val="20"/>
        </w:rPr>
        <w:drawing>
          <wp:inline distT="0" distB="0" distL="0" distR="0" wp14:anchorId="005A90D6" wp14:editId="49EC3D6B">
            <wp:extent cx="7344000" cy="4885200"/>
            <wp:effectExtent l="0" t="0" r="9525" b="0"/>
            <wp:docPr id="1521772325" name="Picture 1" descr="A diagram of a workflow showing how inputs leads to activities which leads to outputs which leads to short-term outcomes which leads to long-term outcom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72325" name="Picture 1" descr="A diagram of a workflow showing how inputs leads to activities which leads to outputs which leads to short-term outcomes which leads to long-term outcomes&#10;&#10;"/>
                    <pic:cNvPicPr/>
                  </pic:nvPicPr>
                  <pic:blipFill>
                    <a:blip r:embed="rId31"/>
                    <a:stretch>
                      <a:fillRect/>
                    </a:stretch>
                  </pic:blipFill>
                  <pic:spPr>
                    <a:xfrm>
                      <a:off x="0" y="0"/>
                      <a:ext cx="7344000" cy="4885200"/>
                    </a:xfrm>
                    <a:prstGeom prst="rect">
                      <a:avLst/>
                    </a:prstGeom>
                  </pic:spPr>
                </pic:pic>
              </a:graphicData>
            </a:graphic>
          </wp:inline>
        </w:drawing>
      </w:r>
    </w:p>
    <w:sectPr w:rsidR="00012035" w:rsidRPr="00664E4B" w:rsidSect="0046075C">
      <w:pgSz w:w="16838" w:h="11906" w:orient="landscape"/>
      <w:pgMar w:top="1134" w:right="1284" w:bottom="1134" w:left="816" w:header="431" w:footer="9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7AC34" w14:textId="77777777" w:rsidR="002F53C4" w:rsidRDefault="002F53C4">
      <w:r>
        <w:separator/>
      </w:r>
    </w:p>
  </w:endnote>
  <w:endnote w:type="continuationSeparator" w:id="0">
    <w:p w14:paraId="38083132" w14:textId="77777777" w:rsidR="002F53C4" w:rsidRDefault="002F53C4">
      <w:r>
        <w:continuationSeparator/>
      </w:r>
    </w:p>
  </w:endnote>
  <w:endnote w:type="continuationNotice" w:id="1">
    <w:p w14:paraId="1098037A" w14:textId="77777777" w:rsidR="002F53C4" w:rsidRDefault="002F53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Verdana Pro">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CFCF7" w14:textId="00454475" w:rsidR="004C68DA" w:rsidRDefault="00D5773F">
    <w:pPr>
      <w:pStyle w:val="Footer"/>
    </w:pPr>
    <w:r>
      <w:rPr>
        <w:noProof/>
      </w:rPr>
      <mc:AlternateContent>
        <mc:Choice Requires="wps">
          <w:drawing>
            <wp:anchor distT="0" distB="0" distL="0" distR="0" simplePos="0" relativeHeight="251658244" behindDoc="0" locked="0" layoutInCell="1" allowOverlap="1" wp14:anchorId="7C5FEE8D" wp14:editId="6A442540">
              <wp:simplePos x="635" y="635"/>
              <wp:positionH relativeFrom="page">
                <wp:align>center</wp:align>
              </wp:positionH>
              <wp:positionV relativeFrom="page">
                <wp:align>bottom</wp:align>
              </wp:positionV>
              <wp:extent cx="551815" cy="376555"/>
              <wp:effectExtent l="0" t="0" r="635" b="0"/>
              <wp:wrapNone/>
              <wp:docPr id="32505724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5F7A7D" w14:textId="0AEAD6B2" w:rsidR="00D5773F" w:rsidRPr="00D5773F" w:rsidRDefault="00D5773F" w:rsidP="00D5773F">
                          <w:pPr>
                            <w:spacing w:after="0"/>
                            <w:rPr>
                              <w:rFonts w:ascii="Calibri" w:hAnsi="Calibri" w:cs="Calibri"/>
                              <w:noProof/>
                              <w:color w:val="000000"/>
                              <w:sz w:val="24"/>
                              <w:szCs w:val="24"/>
                            </w:rPr>
                          </w:pPr>
                          <w:r w:rsidRPr="00D5773F">
                            <w:rPr>
                              <w:rFonts w:ascii="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5FEE8D" id="_x0000_t202" coordsize="21600,21600" o:spt="202" path="m,l,21600r21600,l21600,xe">
              <v:stroke joinstyle="miter"/>
              <v:path gradientshapeok="t" o:connecttype="rect"/>
            </v:shapetype>
            <v:shape id="_x0000_s1027"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155F7A7D" w14:textId="0AEAD6B2" w:rsidR="00D5773F" w:rsidRPr="00D5773F" w:rsidRDefault="00D5773F" w:rsidP="00D5773F">
                    <w:pPr>
                      <w:spacing w:after="0"/>
                      <w:rPr>
                        <w:rFonts w:ascii="Calibri" w:hAnsi="Calibri" w:cs="Calibri"/>
                        <w:noProof/>
                        <w:color w:val="000000"/>
                        <w:sz w:val="24"/>
                        <w:szCs w:val="24"/>
                      </w:rPr>
                    </w:pPr>
                    <w:r w:rsidRPr="00D5773F">
                      <w:rPr>
                        <w:rFonts w:ascii="Calibri" w:hAnsi="Calibri" w:cs="Calibri"/>
                        <w:noProof/>
                        <w:color w:val="000000"/>
                        <w:sz w:val="24"/>
                        <w:szCs w:val="24"/>
                      </w:rPr>
                      <w:t>OFFICIAL</w:t>
                    </w:r>
                  </w:p>
                </w:txbxContent>
              </v:textbox>
              <w10:wrap anchorx="page" anchory="page"/>
            </v:shape>
          </w:pict>
        </mc:Fallback>
      </mc:AlternateContent>
    </w:r>
  </w:p>
  <w:p w14:paraId="249E2F0B" w14:textId="77777777" w:rsidR="006C7BE9" w:rsidRDefault="006C7B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58C5" w14:textId="18F27C06" w:rsidR="006C7BE9" w:rsidRDefault="007421F4" w:rsidP="001E1991">
    <w:pPr>
      <w:pStyle w:val="Footer"/>
      <w:tabs>
        <w:tab w:val="clear" w:pos="4513"/>
        <w:tab w:val="clear" w:pos="9026"/>
        <w:tab w:val="right" w:pos="9638"/>
      </w:tabs>
    </w:pPr>
    <w:r w:rsidRPr="007421F4">
      <w:t>Inspector-General of Water Compliance</w:t>
    </w:r>
    <w:r w:rsidRPr="007421F4">
      <w:tab/>
    </w:r>
    <w:r w:rsidRPr="007421F4">
      <w:fldChar w:fldCharType="begin"/>
    </w:r>
    <w:r w:rsidRPr="007421F4">
      <w:instrText xml:space="preserve"> PAGE   \* MERGEFORMAT </w:instrText>
    </w:r>
    <w:r w:rsidRPr="007421F4">
      <w:fldChar w:fldCharType="separate"/>
    </w:r>
    <w:r w:rsidRPr="007421F4">
      <w:t>1</w:t>
    </w:r>
    <w:r w:rsidRPr="007421F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4A9C" w14:textId="6A9E33D0" w:rsidR="00B25458" w:rsidRPr="002C07A5" w:rsidRDefault="00D5773F" w:rsidP="002C07A5">
    <w:pPr>
      <w:pStyle w:val="Footer"/>
      <w:tabs>
        <w:tab w:val="clear" w:pos="4513"/>
        <w:tab w:val="clear" w:pos="9026"/>
        <w:tab w:val="right" w:pos="9638"/>
      </w:tabs>
      <w:rPr>
        <w:color w:val="FFFFFF"/>
      </w:rPr>
    </w:pPr>
    <w:r>
      <w:rPr>
        <w:noProof/>
        <w:color w:val="FF0000"/>
      </w:rPr>
      <mc:AlternateContent>
        <mc:Choice Requires="wps">
          <w:drawing>
            <wp:anchor distT="0" distB="0" distL="0" distR="0" simplePos="0" relativeHeight="251658243" behindDoc="0" locked="0" layoutInCell="1" allowOverlap="1" wp14:anchorId="5236B4DD" wp14:editId="1E6E5BC5">
              <wp:simplePos x="635" y="635"/>
              <wp:positionH relativeFrom="page">
                <wp:align>center</wp:align>
              </wp:positionH>
              <wp:positionV relativeFrom="page">
                <wp:align>bottom</wp:align>
              </wp:positionV>
              <wp:extent cx="551815" cy="376555"/>
              <wp:effectExtent l="0" t="0" r="635" b="0"/>
              <wp:wrapNone/>
              <wp:docPr id="190224492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B131B5" w14:textId="10CC9F1C" w:rsidR="00D5773F" w:rsidRPr="00D5773F" w:rsidRDefault="00D5773F" w:rsidP="00D5773F">
                          <w:pPr>
                            <w:spacing w:after="0"/>
                            <w:rPr>
                              <w:rFonts w:ascii="Calibri" w:hAnsi="Calibri" w:cs="Calibri"/>
                              <w:noProof/>
                              <w:color w:val="000000"/>
                              <w:sz w:val="24"/>
                              <w:szCs w:val="24"/>
                            </w:rPr>
                          </w:pPr>
                          <w:r w:rsidRPr="00D5773F">
                            <w:rPr>
                              <w:rFonts w:ascii="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36B4DD" id="_x0000_t202" coordsize="21600,21600" o:spt="202" path="m,l,21600r21600,l21600,xe">
              <v:stroke joinstyle="miter"/>
              <v:path gradientshapeok="t" o:connecttype="rect"/>
            </v:shapetype>
            <v:shape 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8B131B5" w14:textId="10CC9F1C" w:rsidR="00D5773F" w:rsidRPr="00D5773F" w:rsidRDefault="00D5773F" w:rsidP="00D5773F">
                    <w:pPr>
                      <w:spacing w:after="0"/>
                      <w:rPr>
                        <w:rFonts w:ascii="Calibri" w:hAnsi="Calibri" w:cs="Calibri"/>
                        <w:noProof/>
                        <w:color w:val="000000"/>
                        <w:sz w:val="24"/>
                        <w:szCs w:val="24"/>
                      </w:rPr>
                    </w:pPr>
                    <w:r w:rsidRPr="00D5773F">
                      <w:rPr>
                        <w:rFonts w:ascii="Calibri" w:hAnsi="Calibri" w:cs="Calibri"/>
                        <w:noProof/>
                        <w:color w:val="000000"/>
                        <w:sz w:val="24"/>
                        <w:szCs w:val="24"/>
                      </w:rPr>
                      <w:t>OFFICIAL</w:t>
                    </w:r>
                  </w:p>
                </w:txbxContent>
              </v:textbox>
              <w10:wrap anchorx="page" anchory="page"/>
            </v:shape>
          </w:pict>
        </mc:Fallback>
      </mc:AlternateContent>
    </w:r>
    <w:r w:rsidR="00B25458" w:rsidRPr="00DA3699">
      <w:rPr>
        <w:color w:val="FF0000"/>
      </w:rPr>
      <w:t>Inspector-General of Water Compliance</w:t>
    </w:r>
    <w:r w:rsidR="00B25458" w:rsidRPr="00DA3699">
      <w:rPr>
        <w:color w:val="FF0000"/>
      </w:rPr>
      <w:tab/>
    </w:r>
    <w:r w:rsidR="00B25458" w:rsidRPr="00DA3699">
      <w:rPr>
        <w:color w:val="FF0000"/>
      </w:rPr>
      <w:fldChar w:fldCharType="begin"/>
    </w:r>
    <w:r w:rsidR="00B25458" w:rsidRPr="00DA3699">
      <w:rPr>
        <w:color w:val="FF0000"/>
      </w:rPr>
      <w:instrText xml:space="preserve"> PAGE   \* MERGEFORMAT </w:instrText>
    </w:r>
    <w:r w:rsidR="00B25458" w:rsidRPr="00DA3699">
      <w:rPr>
        <w:color w:val="FF0000"/>
      </w:rPr>
      <w:fldChar w:fldCharType="separate"/>
    </w:r>
    <w:r w:rsidR="00B25458" w:rsidRPr="00DA3699">
      <w:rPr>
        <w:color w:val="FF0000"/>
      </w:rPr>
      <w:t>3</w:t>
    </w:r>
    <w:r w:rsidR="00B25458" w:rsidRPr="00DA3699">
      <w:rPr>
        <w:noProof/>
        <w:color w:val="FF0000"/>
      </w:rPr>
      <w:fldChar w:fldCharType="end"/>
    </w:r>
  </w:p>
  <w:p w14:paraId="6A4BEFA3" w14:textId="77777777" w:rsidR="006C7BE9" w:rsidRDefault="006C7BE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34F4B" w14:textId="7DD3A1AA" w:rsidR="006C7BE9" w:rsidRDefault="00D5773F">
    <w:pPr>
      <w:pStyle w:val="Footer"/>
    </w:pPr>
    <w:r>
      <w:rPr>
        <w:noProof/>
      </w:rPr>
      <mc:AlternateContent>
        <mc:Choice Requires="wps">
          <w:drawing>
            <wp:anchor distT="0" distB="0" distL="0" distR="0" simplePos="0" relativeHeight="251658248" behindDoc="0" locked="0" layoutInCell="1" allowOverlap="1" wp14:anchorId="3AEDE4E7" wp14:editId="48D247D1">
              <wp:simplePos x="635" y="635"/>
              <wp:positionH relativeFrom="page">
                <wp:align>center</wp:align>
              </wp:positionH>
              <wp:positionV relativeFrom="page">
                <wp:align>bottom</wp:align>
              </wp:positionV>
              <wp:extent cx="551815" cy="376555"/>
              <wp:effectExtent l="0" t="0" r="635" b="0"/>
              <wp:wrapNone/>
              <wp:docPr id="102998416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45221E" w14:textId="3C3A9152" w:rsidR="00D5773F" w:rsidRPr="00D5773F" w:rsidRDefault="00D5773F" w:rsidP="00D5773F">
                          <w:pPr>
                            <w:spacing w:after="0"/>
                            <w:rPr>
                              <w:rFonts w:ascii="Calibri" w:hAnsi="Calibri" w:cs="Calibri"/>
                              <w:noProof/>
                              <w:color w:val="000000"/>
                              <w:sz w:val="24"/>
                              <w:szCs w:val="24"/>
                            </w:rPr>
                          </w:pPr>
                          <w:r w:rsidRPr="00D5773F">
                            <w:rPr>
                              <w:rFonts w:ascii="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DE4E7" id="_x0000_t202" coordsize="21600,21600" o:spt="202" path="m,l,21600r21600,l21600,xe">
              <v:stroke joinstyle="miter"/>
              <v:path gradientshapeok="t" o:connecttype="rect"/>
            </v:shapetype>
            <v:shape id="Text Box 5" o:spid="_x0000_s1031"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945221E" w14:textId="3C3A9152" w:rsidR="00D5773F" w:rsidRPr="00D5773F" w:rsidRDefault="00D5773F" w:rsidP="00D5773F">
                    <w:pPr>
                      <w:spacing w:after="0"/>
                      <w:rPr>
                        <w:rFonts w:ascii="Calibri" w:hAnsi="Calibri" w:cs="Calibri"/>
                        <w:noProof/>
                        <w:color w:val="000000"/>
                        <w:sz w:val="24"/>
                        <w:szCs w:val="24"/>
                      </w:rPr>
                    </w:pPr>
                    <w:r w:rsidRPr="00D5773F">
                      <w:rPr>
                        <w:rFonts w:ascii="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5A804" w14:textId="1AB92149" w:rsidR="006C7BE9" w:rsidRDefault="001E1991" w:rsidP="001E1991">
    <w:pPr>
      <w:pStyle w:val="Footer"/>
      <w:tabs>
        <w:tab w:val="clear" w:pos="4513"/>
        <w:tab w:val="clear" w:pos="9026"/>
        <w:tab w:val="right" w:pos="9638"/>
      </w:tabs>
      <w:rPr>
        <w:sz w:val="2"/>
      </w:rPr>
    </w:pPr>
    <w:r w:rsidRPr="007421F4">
      <w:t>Inspector-General of Water Compliance</w:t>
    </w:r>
    <w:r w:rsidRPr="007421F4">
      <w:tab/>
    </w:r>
    <w:r w:rsidRPr="007421F4">
      <w:fldChar w:fldCharType="begin"/>
    </w:r>
    <w:r w:rsidRPr="007421F4">
      <w:instrText xml:space="preserve"> PAGE   \* MERGEFORMAT </w:instrText>
    </w:r>
    <w:r w:rsidRPr="007421F4">
      <w:fldChar w:fldCharType="separate"/>
    </w:r>
    <w:r>
      <w:t>5</w:t>
    </w:r>
    <w:r w:rsidRPr="007421F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A890" w14:textId="17CC80E4" w:rsidR="006C7BE9" w:rsidRDefault="001E1991" w:rsidP="001E1991">
    <w:pPr>
      <w:pStyle w:val="Footer"/>
      <w:tabs>
        <w:tab w:val="clear" w:pos="4513"/>
        <w:tab w:val="clear" w:pos="9026"/>
        <w:tab w:val="right" w:pos="9638"/>
      </w:tabs>
    </w:pPr>
    <w:r w:rsidRPr="007421F4">
      <w:t>Inspector-General of Water Compliance</w:t>
    </w:r>
    <w:r w:rsidRPr="007421F4">
      <w:tab/>
    </w:r>
    <w:r w:rsidRPr="007421F4">
      <w:fldChar w:fldCharType="begin"/>
    </w:r>
    <w:r w:rsidRPr="007421F4">
      <w:instrText xml:space="preserve"> PAGE   \* MERGEFORMAT </w:instrText>
    </w:r>
    <w:r w:rsidRPr="007421F4">
      <w:fldChar w:fldCharType="separate"/>
    </w:r>
    <w:r>
      <w:t>5</w:t>
    </w:r>
    <w:r w:rsidRPr="007421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C82FA" w14:textId="77777777" w:rsidR="002F53C4" w:rsidRDefault="002F53C4">
      <w:r>
        <w:separator/>
      </w:r>
    </w:p>
  </w:footnote>
  <w:footnote w:type="continuationSeparator" w:id="0">
    <w:p w14:paraId="2F91D620" w14:textId="77777777" w:rsidR="002F53C4" w:rsidRDefault="002F53C4">
      <w:r>
        <w:continuationSeparator/>
      </w:r>
    </w:p>
  </w:footnote>
  <w:footnote w:type="continuationNotice" w:id="1">
    <w:p w14:paraId="3D090377" w14:textId="77777777" w:rsidR="002F53C4" w:rsidRDefault="002F53C4">
      <w:pPr>
        <w:spacing w:after="0"/>
      </w:pPr>
    </w:p>
  </w:footnote>
  <w:footnote w:id="2">
    <w:p w14:paraId="68AC9612" w14:textId="361F1672" w:rsidR="00726F26" w:rsidRPr="00662118" w:rsidRDefault="00726F26" w:rsidP="00726F26">
      <w:r>
        <w:rPr>
          <w:rStyle w:val="FootnoteReference"/>
        </w:rPr>
        <w:footnoteRef/>
      </w:r>
      <w:r>
        <w:t xml:space="preserve"> Basin States refers to N</w:t>
      </w:r>
      <w:r w:rsidR="008F55E3">
        <w:t xml:space="preserve">ew </w:t>
      </w:r>
      <w:r>
        <w:t>S</w:t>
      </w:r>
      <w:r w:rsidR="008F55E3">
        <w:t xml:space="preserve">outh </w:t>
      </w:r>
      <w:r>
        <w:t>W</w:t>
      </w:r>
      <w:r w:rsidR="008F55E3">
        <w:t>ales</w:t>
      </w:r>
      <w:r>
        <w:t xml:space="preserve">, </w:t>
      </w:r>
      <w:r w:rsidR="008F55E3">
        <w:t xml:space="preserve">Queensland, South Australia, </w:t>
      </w:r>
      <w:r>
        <w:t>V</w:t>
      </w:r>
      <w:r w:rsidR="008F55E3">
        <w:t xml:space="preserve">ictoria </w:t>
      </w:r>
      <w:r>
        <w:t xml:space="preserve">and the </w:t>
      </w:r>
      <w:r w:rsidR="008F55E3">
        <w:t>Australian Capital Territory</w:t>
      </w:r>
      <w:r w:rsidR="00D251E0">
        <w:t>.</w:t>
      </w:r>
    </w:p>
    <w:p w14:paraId="40062713" w14:textId="77777777" w:rsidR="00726F26" w:rsidRDefault="00726F26" w:rsidP="00726F26">
      <w:pPr>
        <w:pStyle w:val="FootnoteText"/>
      </w:pPr>
    </w:p>
  </w:footnote>
  <w:footnote w:id="3">
    <w:p w14:paraId="428A59EC" w14:textId="07B2E1C4" w:rsidR="009221AF" w:rsidRPr="008F7FC1" w:rsidRDefault="009221AF">
      <w:pPr>
        <w:pStyle w:val="FootnoteText"/>
        <w:rPr>
          <w:lang w:val="en-US"/>
        </w:rPr>
      </w:pPr>
      <w:r>
        <w:rPr>
          <w:rStyle w:val="FootnoteReference"/>
        </w:rPr>
        <w:footnoteRef/>
      </w:r>
      <w:r w:rsidDel="00E8360B">
        <w:t xml:space="preserve"> </w:t>
      </w:r>
      <w:hyperlink r:id="rId1" w:history="1">
        <w:r w:rsidR="002034A0" w:rsidRPr="002034A0">
          <w:rPr>
            <w:rStyle w:val="Hyperlink"/>
          </w:rPr>
          <w:t>https://webarchive.nla.gov.au/awa/20200921173818/https://www.mdba.gov.au/sites/</w:t>
        </w:r>
        <w:r w:rsidR="002034A0" w:rsidRPr="002034A0">
          <w:rPr>
            <w:rStyle w:val="Hyperlink"/>
          </w:rPr>
          <w:br/>
          <w:t>default/files/pubs/MDB-Compliance-Review-Final-Report.pdf</w:t>
        </w:r>
      </w:hyperlink>
      <w:r>
        <w:t xml:space="preserve"> </w:t>
      </w:r>
    </w:p>
  </w:footnote>
  <w:footnote w:id="4">
    <w:p w14:paraId="58F941C2" w14:textId="4D3B17B9" w:rsidR="005B49B0" w:rsidRPr="008F7FC1" w:rsidRDefault="005B49B0">
      <w:pPr>
        <w:pStyle w:val="FootnoteText"/>
        <w:rPr>
          <w:lang w:val="en-US"/>
        </w:rPr>
      </w:pPr>
      <w:r>
        <w:rPr>
          <w:rStyle w:val="FootnoteReference"/>
        </w:rPr>
        <w:footnoteRef/>
      </w:r>
      <w:r>
        <w:t xml:space="preserve"> </w:t>
      </w:r>
      <w:hyperlink r:id="rId2" w:history="1">
        <w:r w:rsidRPr="00E02A7D">
          <w:rPr>
            <w:rStyle w:val="Hyperlink"/>
          </w:rPr>
          <w:t>https://webarchive.nla.gov.au/awa/20210604024037/https://prod-origin.mdba.gov.au/node/5066</w:t>
        </w:r>
      </w:hyperlink>
      <w:r>
        <w:t xml:space="preserve"> </w:t>
      </w:r>
    </w:p>
  </w:footnote>
  <w:footnote w:id="5">
    <w:p w14:paraId="032F0627" w14:textId="51BC6A50" w:rsidR="007930B0" w:rsidRPr="008F7FC1" w:rsidRDefault="007930B0">
      <w:pPr>
        <w:pStyle w:val="FootnoteText"/>
        <w:rPr>
          <w:lang w:val="en-US"/>
        </w:rPr>
      </w:pPr>
      <w:r>
        <w:rPr>
          <w:rStyle w:val="FootnoteReference"/>
        </w:rPr>
        <w:footnoteRef/>
      </w:r>
      <w:r>
        <w:t xml:space="preserve"> </w:t>
      </w:r>
      <w:r w:rsidR="009E5A99">
        <w:rPr>
          <w:lang w:val="en-US"/>
        </w:rPr>
        <w:t xml:space="preserve">Accessed through </w:t>
      </w:r>
      <w:hyperlink r:id="rId3" w:history="1">
        <w:r w:rsidR="009E5A99" w:rsidRPr="00E02A7D">
          <w:rPr>
            <w:rStyle w:val="Hyperlink"/>
            <w:lang w:val="en-US"/>
          </w:rPr>
          <w:t>https://www.igwc.gov.au/publications/reviews-reports</w:t>
        </w:r>
      </w:hyperlink>
      <w:r w:rsidR="009E5A99">
        <w:rPr>
          <w:lang w:val="en-US"/>
        </w:rPr>
        <w:t xml:space="preserve"> </w:t>
      </w:r>
    </w:p>
  </w:footnote>
  <w:footnote w:id="6">
    <w:p w14:paraId="0FCC8E71" w14:textId="77777777" w:rsidR="00E71CD4" w:rsidRPr="008F7FC1" w:rsidRDefault="00E71CD4" w:rsidP="00E71CD4">
      <w:pPr>
        <w:pStyle w:val="FootnoteText"/>
        <w:rPr>
          <w:lang w:val="en-US"/>
        </w:rPr>
      </w:pPr>
      <w:r>
        <w:rPr>
          <w:rStyle w:val="FootnoteReference"/>
        </w:rPr>
        <w:footnoteRef/>
      </w:r>
      <w:r>
        <w:t xml:space="preserve"> </w:t>
      </w:r>
      <w:hyperlink r:id="rId4" w:history="1">
        <w:r w:rsidRPr="00E02A7D">
          <w:rPr>
            <w:rStyle w:val="Hyperlink"/>
          </w:rPr>
          <w:t>https://www.igwc.gov.au/publications/annual-survey</w:t>
        </w:r>
      </w:hyperlink>
      <w:r>
        <w:t xml:space="preserve"> </w:t>
      </w:r>
    </w:p>
  </w:footnote>
  <w:footnote w:id="7">
    <w:p w14:paraId="384D2F5D" w14:textId="76F360E4" w:rsidR="00BD7566" w:rsidRDefault="00BD7566">
      <w:pPr>
        <w:pStyle w:val="FootnoteText"/>
      </w:pPr>
      <w:r>
        <w:rPr>
          <w:rStyle w:val="FootnoteReference"/>
        </w:rPr>
        <w:footnoteRef/>
      </w:r>
      <w:r>
        <w:t xml:space="preserve"> Noting these laws largely existed</w:t>
      </w:r>
      <w:r w:rsidR="00D40A7E">
        <w:t xml:space="preserve"> before the commencement of the </w:t>
      </w:r>
      <w:r w:rsidR="00D40A7E" w:rsidRPr="00B12830">
        <w:rPr>
          <w:i/>
        </w:rPr>
        <w:t>Water Act</w:t>
      </w:r>
      <w:r w:rsidR="0082711F" w:rsidRPr="00B12830">
        <w:rPr>
          <w:i/>
          <w:iCs/>
        </w:rPr>
        <w:t xml:space="preserve"> 2007</w:t>
      </w:r>
      <w:r w:rsidR="0082711F">
        <w:t xml:space="preserve"> (Cth)</w:t>
      </w:r>
      <w:r w:rsidR="00D40A7E">
        <w:t>.</w:t>
      </w:r>
    </w:p>
  </w:footnote>
  <w:footnote w:id="8">
    <w:p w14:paraId="60958EDA" w14:textId="77777777" w:rsidR="00A70F5F" w:rsidRPr="00A77B86" w:rsidRDefault="00A70F5F" w:rsidP="00A70F5F">
      <w:pPr>
        <w:pStyle w:val="FootnoteText"/>
        <w:rPr>
          <w:lang w:val="en-US"/>
        </w:rPr>
      </w:pPr>
      <w:r>
        <w:rPr>
          <w:rStyle w:val="FootnoteReference"/>
        </w:rPr>
        <w:footnoteRef/>
      </w:r>
      <w:r>
        <w:t xml:space="preserve"> </w:t>
      </w:r>
      <w:r>
        <w:rPr>
          <w:lang w:val="en-US"/>
        </w:rPr>
        <w:t xml:space="preserve">For 2022-23 data, see </w:t>
      </w:r>
      <w:hyperlink r:id="rId5" w:history="1">
        <w:r w:rsidRPr="005B0162">
          <w:rPr>
            <w:rStyle w:val="Hyperlink"/>
            <w:lang w:val="en-US"/>
          </w:rPr>
          <w:t>https://www.igwc.gov.au/sites/default/files/2024-04/murray-darling-basin-metering-report-card-2023.pdf</w:t>
        </w:r>
      </w:hyperlink>
    </w:p>
  </w:footnote>
  <w:footnote w:id="9">
    <w:p w14:paraId="6E3612D3" w14:textId="77777777" w:rsidR="00A70F5F" w:rsidRPr="008F7FC1" w:rsidRDefault="00A70F5F" w:rsidP="00A70F5F">
      <w:pPr>
        <w:pStyle w:val="FootnoteText"/>
        <w:rPr>
          <w:lang w:val="en-US"/>
        </w:rPr>
      </w:pPr>
      <w:r>
        <w:rPr>
          <w:rStyle w:val="FootnoteReference"/>
        </w:rPr>
        <w:footnoteRef/>
      </w:r>
      <w:r>
        <w:t xml:space="preserve"> </w:t>
      </w:r>
      <w:hyperlink r:id="rId6" w:history="1">
        <w:r w:rsidRPr="005B0162">
          <w:rPr>
            <w:rStyle w:val="Hyperlink"/>
          </w:rPr>
          <w:t>https://www.rdmw.qld.gov.au/__data/assets/pdf_file/0011/1630784/regulatory-strategy-wrm-2022-24.pdf</w:t>
        </w:r>
      </w:hyperlink>
      <w:r>
        <w:t xml:space="preserve"> </w:t>
      </w:r>
    </w:p>
  </w:footnote>
  <w:footnote w:id="10">
    <w:p w14:paraId="2B7D2BEE" w14:textId="748BCFFA" w:rsidR="00A70F5F" w:rsidRDefault="00A70F5F" w:rsidP="00A70F5F">
      <w:pPr>
        <w:pStyle w:val="FootnoteText"/>
      </w:pPr>
      <w:r>
        <w:rPr>
          <w:rStyle w:val="FootnoteReference"/>
        </w:rPr>
        <w:footnoteRef/>
      </w:r>
      <w:r w:rsidDel="00FD15B9">
        <w:t xml:space="preserve"> </w:t>
      </w:r>
      <w:hyperlink r:id="rId7" w:history="1">
        <w:r w:rsidR="00BE03E9" w:rsidRPr="00BE03E9">
          <w:rPr>
            <w:rStyle w:val="Hyperlink"/>
            <w:szCs w:val="22"/>
          </w:rPr>
          <w:t>https://qldgov.softlinkhosting.com.au:443/liberty/OpacLogin?mode=BASIC&amp;openDetail=</w:t>
        </w:r>
        <w:r w:rsidR="00BE03E9" w:rsidRPr="00BE03E9">
          <w:rPr>
            <w:rStyle w:val="Hyperlink"/>
            <w:szCs w:val="22"/>
          </w:rPr>
          <w:br/>
          <w:t>true&amp;corporation=DERM&amp;action=search&amp;queryTerm=uuid%3D%224ec479500a0200f04402ee4700201762%22&amp;editionUuid=4ec479500a0200f04402ee4700201762&amp;operator=OR&amp;url=%2Fopac%2Fsearch.do</w:t>
        </w:r>
      </w:hyperlink>
      <w:r>
        <w:rPr>
          <w:color w:val="0000FF"/>
          <w:szCs w:val="22"/>
          <w:u w:val="single"/>
        </w:rPr>
        <w:t xml:space="preserve"> </w:t>
      </w:r>
    </w:p>
  </w:footnote>
  <w:footnote w:id="11">
    <w:p w14:paraId="5F053FB5" w14:textId="77777777" w:rsidR="0095193D" w:rsidRPr="008F7FC1" w:rsidRDefault="0095193D" w:rsidP="0095193D">
      <w:pPr>
        <w:pStyle w:val="FootnoteText"/>
        <w:rPr>
          <w:lang w:val="en-US"/>
        </w:rPr>
      </w:pPr>
      <w:r>
        <w:rPr>
          <w:rStyle w:val="FootnoteReference"/>
        </w:rPr>
        <w:footnoteRef/>
      </w:r>
      <w:r>
        <w:t xml:space="preserve"> </w:t>
      </w:r>
      <w:hyperlink r:id="rId8" w:history="1">
        <w:r w:rsidRPr="00E02A7D">
          <w:rPr>
            <w:rStyle w:val="Hyperlink"/>
          </w:rPr>
          <w:t>https://www.water.vic.gov.au/__data/assets/pdf_file/0038/667991/victorian-non-urban-water-policy-2020.pdf</w:t>
        </w:r>
      </w:hyperlink>
      <w:r>
        <w:t xml:space="preserve"> </w:t>
      </w:r>
    </w:p>
  </w:footnote>
  <w:footnote w:id="12">
    <w:p w14:paraId="7C0B05ED" w14:textId="2329E243" w:rsidR="00A70F5F" w:rsidRPr="008F7FC1" w:rsidRDefault="00A70F5F" w:rsidP="00A70F5F">
      <w:pPr>
        <w:pStyle w:val="FootnoteText"/>
        <w:rPr>
          <w:lang w:val="en-US"/>
        </w:rPr>
      </w:pPr>
      <w:r>
        <w:rPr>
          <w:rStyle w:val="FootnoteReference"/>
        </w:rPr>
        <w:footnoteRef/>
      </w:r>
      <w:r w:rsidR="0037665B">
        <w:t xml:space="preserve"> </w:t>
      </w:r>
      <w:hyperlink r:id="rId9" w:history="1">
        <w:r w:rsidR="001E1991" w:rsidRPr="002371C8">
          <w:rPr>
            <w:rStyle w:val="Hyperlink"/>
          </w:rPr>
          <w:t>https://www.accesscanberra.act.gov.au/__data/assets/pdf_file/0020/2303570/</w:t>
        </w:r>
        <w:r w:rsidR="001E1991" w:rsidRPr="002371C8">
          <w:rPr>
            <w:rStyle w:val="Hyperlink"/>
          </w:rPr>
          <w:br/>
          <w:t>Environment-protection-compliance-framework.pdf</w:t>
        </w:r>
      </w:hyperlink>
      <w:r w:rsidR="001E199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F14E" w14:textId="67DB594B" w:rsidR="004C68DA" w:rsidRDefault="004C68DA">
    <w:pPr>
      <w:pStyle w:val="Header"/>
    </w:pPr>
    <w:r>
      <w:rPr>
        <w:noProof/>
      </w:rPr>
      <mc:AlternateContent>
        <mc:Choice Requires="wps">
          <w:drawing>
            <wp:anchor distT="0" distB="0" distL="0" distR="0" simplePos="0" relativeHeight="251658241" behindDoc="0" locked="0" layoutInCell="1" allowOverlap="1" wp14:anchorId="64FD730D" wp14:editId="7AE4D76E">
              <wp:simplePos x="635" y="635"/>
              <wp:positionH relativeFrom="page">
                <wp:align>center</wp:align>
              </wp:positionH>
              <wp:positionV relativeFrom="page">
                <wp:align>top</wp:align>
              </wp:positionV>
              <wp:extent cx="551815" cy="376555"/>
              <wp:effectExtent l="0" t="0" r="635" b="4445"/>
              <wp:wrapNone/>
              <wp:docPr id="8005615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6CAAE4" w14:textId="0FE4A3FB" w:rsidR="004C68DA" w:rsidRPr="004C68DA" w:rsidRDefault="004C68DA" w:rsidP="004C68DA">
                          <w:pPr>
                            <w:spacing w:after="0"/>
                            <w:rPr>
                              <w:rFonts w:ascii="Calibri" w:hAnsi="Calibri" w:cs="Calibri"/>
                              <w:noProof/>
                              <w:color w:val="FF0000"/>
                              <w:sz w:val="24"/>
                              <w:szCs w:val="24"/>
                            </w:rPr>
                          </w:pPr>
                          <w:r w:rsidRPr="004C68DA">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FD730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C6CAAE4" w14:textId="0FE4A3FB" w:rsidR="004C68DA" w:rsidRPr="004C68DA" w:rsidRDefault="004C68DA" w:rsidP="004C68DA">
                    <w:pPr>
                      <w:spacing w:after="0"/>
                      <w:rPr>
                        <w:rFonts w:ascii="Calibri" w:hAnsi="Calibri" w:cs="Calibri"/>
                        <w:noProof/>
                        <w:color w:val="FF0000"/>
                        <w:sz w:val="24"/>
                        <w:szCs w:val="24"/>
                      </w:rPr>
                    </w:pPr>
                    <w:r w:rsidRPr="004C68DA">
                      <w:rPr>
                        <w:rFonts w:ascii="Calibri" w:hAnsi="Calibri" w:cs="Calibri"/>
                        <w:noProof/>
                        <w:color w:val="FF0000"/>
                        <w:sz w:val="24"/>
                        <w:szCs w:val="24"/>
                      </w:rPr>
                      <w:t>OFFICIAL</w:t>
                    </w:r>
                  </w:p>
                </w:txbxContent>
              </v:textbox>
              <w10:wrap anchorx="page" anchory="page"/>
            </v:shape>
          </w:pict>
        </mc:Fallback>
      </mc:AlternateContent>
    </w:r>
  </w:p>
  <w:p w14:paraId="466DAAD8" w14:textId="77777777" w:rsidR="006C7BE9" w:rsidRDefault="006C7B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ED78D" w14:textId="605E33B4" w:rsidR="004C68DA" w:rsidRDefault="004C68DA">
    <w:pPr>
      <w:pStyle w:val="Header"/>
    </w:pPr>
  </w:p>
  <w:p w14:paraId="34B6E027" w14:textId="77777777" w:rsidR="006C7BE9" w:rsidRDefault="006C7B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BE3D" w14:textId="4D6E1E02" w:rsidR="00090D27" w:rsidRDefault="004C68DA">
    <w:pPr>
      <w:pStyle w:val="Header"/>
    </w:pPr>
    <w:r>
      <w:rPr>
        <w:noProof/>
      </w:rPr>
      <mc:AlternateContent>
        <mc:Choice Requires="wps">
          <w:drawing>
            <wp:anchor distT="0" distB="0" distL="0" distR="0" simplePos="0" relativeHeight="251658240" behindDoc="0" locked="0" layoutInCell="1" allowOverlap="1" wp14:anchorId="14822299" wp14:editId="59F84D1D">
              <wp:simplePos x="723900" y="276225"/>
              <wp:positionH relativeFrom="page">
                <wp:align>center</wp:align>
              </wp:positionH>
              <wp:positionV relativeFrom="page">
                <wp:align>top</wp:align>
              </wp:positionV>
              <wp:extent cx="551815" cy="376555"/>
              <wp:effectExtent l="0" t="0" r="635" b="4445"/>
              <wp:wrapNone/>
              <wp:docPr id="8478188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AFDE0C" w14:textId="40E63E90" w:rsidR="004C68DA" w:rsidRPr="004C68DA" w:rsidRDefault="004C68DA" w:rsidP="004C68DA">
                          <w:pPr>
                            <w:spacing w:after="0"/>
                            <w:rPr>
                              <w:rFonts w:ascii="Calibri" w:hAnsi="Calibri" w:cs="Calibri"/>
                              <w:noProof/>
                              <w:color w:val="FF0000"/>
                              <w:sz w:val="24"/>
                              <w:szCs w:val="24"/>
                            </w:rPr>
                          </w:pPr>
                          <w:r w:rsidRPr="004C68DA">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822299"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7AFDE0C" w14:textId="40E63E90" w:rsidR="004C68DA" w:rsidRPr="004C68DA" w:rsidRDefault="004C68DA" w:rsidP="004C68DA">
                    <w:pPr>
                      <w:spacing w:after="0"/>
                      <w:rPr>
                        <w:rFonts w:ascii="Calibri" w:hAnsi="Calibri" w:cs="Calibri"/>
                        <w:noProof/>
                        <w:color w:val="FF0000"/>
                        <w:sz w:val="24"/>
                        <w:szCs w:val="24"/>
                      </w:rPr>
                    </w:pPr>
                    <w:r w:rsidRPr="004C68DA">
                      <w:rPr>
                        <w:rFonts w:ascii="Calibri" w:hAnsi="Calibri" w:cs="Calibri"/>
                        <w:noProof/>
                        <w:color w:val="FF0000"/>
                        <w:sz w:val="24"/>
                        <w:szCs w:val="24"/>
                      </w:rPr>
                      <w:t>OFFICIAL</w:t>
                    </w:r>
                  </w:p>
                </w:txbxContent>
              </v:textbox>
              <w10:wrap anchorx="page" anchory="page"/>
            </v:shape>
          </w:pict>
        </mc:Fallback>
      </mc:AlternateContent>
    </w:r>
  </w:p>
  <w:p w14:paraId="0EA288ED" w14:textId="77777777" w:rsidR="00090D27" w:rsidRDefault="00090D27">
    <w:pPr>
      <w:pStyle w:val="Header"/>
    </w:pPr>
  </w:p>
  <w:p w14:paraId="650E3E13" w14:textId="77777777" w:rsidR="00090D27" w:rsidRDefault="00090D27">
    <w:pPr>
      <w:pStyle w:val="Header"/>
    </w:pPr>
  </w:p>
  <w:p w14:paraId="671A4AB2" w14:textId="77777777" w:rsidR="00090D27" w:rsidRDefault="00090D27">
    <w:pPr>
      <w:pStyle w:val="Header"/>
    </w:pPr>
  </w:p>
  <w:p w14:paraId="6B634EFA" w14:textId="77777777" w:rsidR="00090D27" w:rsidRDefault="00090D27">
    <w:pPr>
      <w:pStyle w:val="Header"/>
    </w:pPr>
  </w:p>
  <w:p w14:paraId="4C593F69" w14:textId="77777777" w:rsidR="00090D27" w:rsidRDefault="00090D27">
    <w:pPr>
      <w:pStyle w:val="Header"/>
    </w:pPr>
  </w:p>
  <w:p w14:paraId="0A703FE7" w14:textId="77777777" w:rsidR="00090D27" w:rsidRDefault="00090D27">
    <w:pPr>
      <w:pStyle w:val="Header"/>
    </w:pPr>
  </w:p>
  <w:p w14:paraId="1286BD69" w14:textId="77777777" w:rsidR="00090D27" w:rsidRDefault="00090D27">
    <w:pPr>
      <w:pStyle w:val="Header"/>
    </w:pPr>
  </w:p>
  <w:p w14:paraId="364BF1AA" w14:textId="77777777" w:rsidR="00090D27" w:rsidRDefault="00090D27">
    <w:pPr>
      <w:pStyle w:val="Header"/>
    </w:pPr>
  </w:p>
  <w:p w14:paraId="2B287129" w14:textId="77777777" w:rsidR="00090D27" w:rsidRDefault="00090D27">
    <w:pPr>
      <w:pStyle w:val="Header"/>
    </w:pPr>
  </w:p>
  <w:p w14:paraId="4BCC4CB1" w14:textId="77777777" w:rsidR="00090D27" w:rsidRDefault="00090D27">
    <w:pPr>
      <w:pStyle w:val="Header"/>
    </w:pPr>
  </w:p>
  <w:p w14:paraId="59FEBB73" w14:textId="77777777" w:rsidR="00090D27" w:rsidRDefault="00090D27">
    <w:pPr>
      <w:pStyle w:val="Header"/>
    </w:pPr>
  </w:p>
  <w:p w14:paraId="2D2B5172" w14:textId="77777777" w:rsidR="00090D27" w:rsidRDefault="00090D27">
    <w:pPr>
      <w:pStyle w:val="Header"/>
    </w:pPr>
  </w:p>
  <w:p w14:paraId="47963768" w14:textId="77777777" w:rsidR="00090D27" w:rsidRDefault="00090D27">
    <w:pPr>
      <w:pStyle w:val="Header"/>
    </w:pPr>
  </w:p>
  <w:p w14:paraId="502636F4" w14:textId="77777777" w:rsidR="00090D27" w:rsidRDefault="00090D27">
    <w:pPr>
      <w:pStyle w:val="Header"/>
    </w:pPr>
  </w:p>
  <w:p w14:paraId="06B4BA6E" w14:textId="77777777" w:rsidR="006C7BE9" w:rsidRDefault="006C7BE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6FDC" w14:textId="77777777" w:rsidR="006C7BE9" w:rsidRDefault="006C7BE9">
    <w:pPr>
      <w:pStyle w:val="Header"/>
    </w:pPr>
    <w:r>
      <w:rPr>
        <w:noProof/>
      </w:rPr>
      <mc:AlternateContent>
        <mc:Choice Requires="wps">
          <w:drawing>
            <wp:anchor distT="0" distB="0" distL="0" distR="0" simplePos="0" relativeHeight="251658246" behindDoc="0" locked="0" layoutInCell="1" allowOverlap="1" wp14:anchorId="2A1BCB34" wp14:editId="074F5B57">
              <wp:simplePos x="635" y="635"/>
              <wp:positionH relativeFrom="page">
                <wp:align>center</wp:align>
              </wp:positionH>
              <wp:positionV relativeFrom="page">
                <wp:align>top</wp:align>
              </wp:positionV>
              <wp:extent cx="551815" cy="376555"/>
              <wp:effectExtent l="0" t="0" r="635" b="4445"/>
              <wp:wrapNone/>
              <wp:docPr id="129397273"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9BC881" w14:textId="77777777" w:rsidR="006C7BE9" w:rsidRPr="0048303B" w:rsidRDefault="006C7BE9" w:rsidP="00A77B86">
                          <w:pPr>
                            <w:rPr>
                              <w:rFonts w:ascii="Calibri" w:hAnsi="Calibri" w:cs="Calibri"/>
                              <w:noProof/>
                              <w:color w:val="FF0000"/>
                              <w:sz w:val="24"/>
                              <w:szCs w:val="24"/>
                            </w:rPr>
                          </w:pPr>
                          <w:r w:rsidRPr="0048303B">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BCB34" id="_x0000_t202" coordsize="21600,21600" o:spt="202" path="m,l,21600r21600,l21600,xe">
              <v:stroke joinstyle="miter"/>
              <v:path gradientshapeok="t" o:connecttype="rect"/>
            </v:shapetype>
            <v:shape id="Text Box 14" o:spid="_x0000_s1030"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49BC881" w14:textId="77777777" w:rsidR="006C7BE9" w:rsidRPr="0048303B" w:rsidRDefault="006C7BE9" w:rsidP="00A77B86">
                    <w:pPr>
                      <w:rPr>
                        <w:rFonts w:ascii="Calibri" w:hAnsi="Calibri" w:cs="Calibri"/>
                        <w:noProof/>
                        <w:color w:val="FF0000"/>
                        <w:sz w:val="24"/>
                        <w:szCs w:val="24"/>
                      </w:rPr>
                    </w:pPr>
                    <w:r w:rsidRPr="0048303B">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399A" w14:textId="194F8CAF" w:rsidR="006C7BE9" w:rsidRDefault="006C7B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B9EC4" w14:textId="6731C649" w:rsidR="006C7BE9" w:rsidRDefault="006C7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A7200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280106"/>
    <w:multiLevelType w:val="hybridMultilevel"/>
    <w:tmpl w:val="CF848EE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DDA0BDB"/>
    <w:multiLevelType w:val="multilevel"/>
    <w:tmpl w:val="E59076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5" w15:restartNumberingAfterBreak="0">
    <w:nsid w:val="1F745BC2"/>
    <w:multiLevelType w:val="multilevel"/>
    <w:tmpl w:val="E5E89F92"/>
    <w:numStyleLink w:val="BulletList"/>
  </w:abstractNum>
  <w:abstractNum w:abstractNumId="6" w15:restartNumberingAfterBreak="0">
    <w:nsid w:val="219A4020"/>
    <w:multiLevelType w:val="hybridMultilevel"/>
    <w:tmpl w:val="757A4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196ABC"/>
    <w:multiLevelType w:val="hybridMultilevel"/>
    <w:tmpl w:val="F59C1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2C461D"/>
    <w:multiLevelType w:val="hybridMultilevel"/>
    <w:tmpl w:val="0168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854838"/>
    <w:multiLevelType w:val="hybridMultilevel"/>
    <w:tmpl w:val="93BAF27E"/>
    <w:lvl w:ilvl="0" w:tplc="0C090001">
      <w:start w:val="1"/>
      <w:numFmt w:val="bullet"/>
      <w:lvlText w:val=""/>
      <w:lvlJc w:val="left"/>
      <w:pPr>
        <w:ind w:left="72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81403BA"/>
    <w:multiLevelType w:val="hybridMultilevel"/>
    <w:tmpl w:val="722687BC"/>
    <w:lvl w:ilvl="0" w:tplc="9B5EDC26">
      <w:numFmt w:val="bullet"/>
      <w:lvlText w:val="•"/>
      <w:lvlJc w:val="left"/>
      <w:pPr>
        <w:ind w:left="397" w:hanging="284"/>
      </w:pPr>
      <w:rPr>
        <w:rFonts w:ascii="Trebuchet MS" w:eastAsia="Trebuchet MS" w:hAnsi="Trebuchet MS" w:cs="Trebuchet MS" w:hint="default"/>
        <w:b w:val="0"/>
        <w:bCs w:val="0"/>
        <w:i w:val="0"/>
        <w:iCs w:val="0"/>
        <w:spacing w:val="0"/>
        <w:w w:val="71"/>
        <w:sz w:val="18"/>
        <w:szCs w:val="18"/>
        <w:lang w:val="en-US" w:eastAsia="en-US" w:bidi="ar-SA"/>
      </w:rPr>
    </w:lvl>
    <w:lvl w:ilvl="1" w:tplc="18AE1BFC">
      <w:numFmt w:val="bullet"/>
      <w:lvlText w:val="•"/>
      <w:lvlJc w:val="left"/>
      <w:pPr>
        <w:ind w:left="840" w:hanging="284"/>
      </w:pPr>
      <w:rPr>
        <w:rFonts w:hint="default"/>
        <w:lang w:val="en-US" w:eastAsia="en-US" w:bidi="ar-SA"/>
      </w:rPr>
    </w:lvl>
    <w:lvl w:ilvl="2" w:tplc="E1AE6656">
      <w:numFmt w:val="bullet"/>
      <w:lvlText w:val="•"/>
      <w:lvlJc w:val="left"/>
      <w:pPr>
        <w:ind w:left="1280" w:hanging="284"/>
      </w:pPr>
      <w:rPr>
        <w:rFonts w:hint="default"/>
        <w:lang w:val="en-US" w:eastAsia="en-US" w:bidi="ar-SA"/>
      </w:rPr>
    </w:lvl>
    <w:lvl w:ilvl="3" w:tplc="6004DFDE">
      <w:numFmt w:val="bullet"/>
      <w:lvlText w:val="•"/>
      <w:lvlJc w:val="left"/>
      <w:pPr>
        <w:ind w:left="1720" w:hanging="284"/>
      </w:pPr>
      <w:rPr>
        <w:rFonts w:hint="default"/>
        <w:lang w:val="en-US" w:eastAsia="en-US" w:bidi="ar-SA"/>
      </w:rPr>
    </w:lvl>
    <w:lvl w:ilvl="4" w:tplc="D66CA4D4">
      <w:numFmt w:val="bullet"/>
      <w:lvlText w:val="•"/>
      <w:lvlJc w:val="left"/>
      <w:pPr>
        <w:ind w:left="2161" w:hanging="284"/>
      </w:pPr>
      <w:rPr>
        <w:rFonts w:hint="default"/>
        <w:lang w:val="en-US" w:eastAsia="en-US" w:bidi="ar-SA"/>
      </w:rPr>
    </w:lvl>
    <w:lvl w:ilvl="5" w:tplc="FAC4B952">
      <w:numFmt w:val="bullet"/>
      <w:lvlText w:val="•"/>
      <w:lvlJc w:val="left"/>
      <w:pPr>
        <w:ind w:left="2601" w:hanging="284"/>
      </w:pPr>
      <w:rPr>
        <w:rFonts w:hint="default"/>
        <w:lang w:val="en-US" w:eastAsia="en-US" w:bidi="ar-SA"/>
      </w:rPr>
    </w:lvl>
    <w:lvl w:ilvl="6" w:tplc="03C87C8E">
      <w:numFmt w:val="bullet"/>
      <w:lvlText w:val="•"/>
      <w:lvlJc w:val="left"/>
      <w:pPr>
        <w:ind w:left="3041" w:hanging="284"/>
      </w:pPr>
      <w:rPr>
        <w:rFonts w:hint="default"/>
        <w:lang w:val="en-US" w:eastAsia="en-US" w:bidi="ar-SA"/>
      </w:rPr>
    </w:lvl>
    <w:lvl w:ilvl="7" w:tplc="C57A7036">
      <w:numFmt w:val="bullet"/>
      <w:lvlText w:val="•"/>
      <w:lvlJc w:val="left"/>
      <w:pPr>
        <w:ind w:left="3482" w:hanging="284"/>
      </w:pPr>
      <w:rPr>
        <w:rFonts w:hint="default"/>
        <w:lang w:val="en-US" w:eastAsia="en-US" w:bidi="ar-SA"/>
      </w:rPr>
    </w:lvl>
    <w:lvl w:ilvl="8" w:tplc="35F8C6E4">
      <w:numFmt w:val="bullet"/>
      <w:lvlText w:val="•"/>
      <w:lvlJc w:val="left"/>
      <w:pPr>
        <w:ind w:left="3922" w:hanging="284"/>
      </w:pPr>
      <w:rPr>
        <w:rFonts w:hint="default"/>
        <w:lang w:val="en-US" w:eastAsia="en-US" w:bidi="ar-SA"/>
      </w:rPr>
    </w:lvl>
  </w:abstractNum>
  <w:abstractNum w:abstractNumId="13" w15:restartNumberingAfterBreak="0">
    <w:nsid w:val="40577DD5"/>
    <w:multiLevelType w:val="multilevel"/>
    <w:tmpl w:val="C3D434D8"/>
    <w:lvl w:ilvl="0">
      <w:start w:val="1"/>
      <w:numFmt w:val="bullet"/>
      <w:lvlText w:val=""/>
      <w:lvlJc w:val="left"/>
      <w:pPr>
        <w:ind w:left="369" w:hanging="369"/>
      </w:pPr>
      <w:rPr>
        <w:rFonts w:ascii="Symbol" w:hAnsi="Symbol" w:hint="default"/>
        <w:sz w:val="22"/>
        <w:szCs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4251538B"/>
    <w:multiLevelType w:val="hybridMultilevel"/>
    <w:tmpl w:val="47BC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257C14"/>
    <w:multiLevelType w:val="hybridMultilevel"/>
    <w:tmpl w:val="44561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50843"/>
    <w:multiLevelType w:val="hybridMultilevel"/>
    <w:tmpl w:val="6380BE76"/>
    <w:lvl w:ilvl="0" w:tplc="5094AA20">
      <w:numFmt w:val="bullet"/>
      <w:lvlText w:val="•"/>
      <w:lvlJc w:val="left"/>
      <w:pPr>
        <w:ind w:left="397" w:hanging="284"/>
      </w:pPr>
      <w:rPr>
        <w:rFonts w:ascii="Calibri" w:eastAsia="Calibri" w:hAnsi="Calibri" w:cs="Calibri" w:hint="default"/>
        <w:b/>
        <w:bCs/>
        <w:i w:val="0"/>
        <w:iCs w:val="0"/>
        <w:spacing w:val="0"/>
        <w:w w:val="75"/>
        <w:sz w:val="18"/>
        <w:szCs w:val="18"/>
        <w:lang w:val="en-US" w:eastAsia="en-US" w:bidi="ar-SA"/>
      </w:rPr>
    </w:lvl>
    <w:lvl w:ilvl="1" w:tplc="2B12DDFC">
      <w:numFmt w:val="bullet"/>
      <w:lvlText w:val="•"/>
      <w:lvlJc w:val="left"/>
      <w:pPr>
        <w:ind w:left="828" w:hanging="284"/>
      </w:pPr>
      <w:rPr>
        <w:rFonts w:hint="default"/>
        <w:lang w:val="en-US" w:eastAsia="en-US" w:bidi="ar-SA"/>
      </w:rPr>
    </w:lvl>
    <w:lvl w:ilvl="2" w:tplc="9F0AE8AC">
      <w:numFmt w:val="bullet"/>
      <w:lvlText w:val="•"/>
      <w:lvlJc w:val="left"/>
      <w:pPr>
        <w:ind w:left="1257" w:hanging="284"/>
      </w:pPr>
      <w:rPr>
        <w:rFonts w:hint="default"/>
        <w:lang w:val="en-US" w:eastAsia="en-US" w:bidi="ar-SA"/>
      </w:rPr>
    </w:lvl>
    <w:lvl w:ilvl="3" w:tplc="A2840CE8">
      <w:numFmt w:val="bullet"/>
      <w:lvlText w:val="•"/>
      <w:lvlJc w:val="left"/>
      <w:pPr>
        <w:ind w:left="1686" w:hanging="284"/>
      </w:pPr>
      <w:rPr>
        <w:rFonts w:hint="default"/>
        <w:lang w:val="en-US" w:eastAsia="en-US" w:bidi="ar-SA"/>
      </w:rPr>
    </w:lvl>
    <w:lvl w:ilvl="4" w:tplc="88CC8628">
      <w:numFmt w:val="bullet"/>
      <w:lvlText w:val="•"/>
      <w:lvlJc w:val="left"/>
      <w:pPr>
        <w:ind w:left="2115" w:hanging="284"/>
      </w:pPr>
      <w:rPr>
        <w:rFonts w:hint="default"/>
        <w:lang w:val="en-US" w:eastAsia="en-US" w:bidi="ar-SA"/>
      </w:rPr>
    </w:lvl>
    <w:lvl w:ilvl="5" w:tplc="5260BD16">
      <w:numFmt w:val="bullet"/>
      <w:lvlText w:val="•"/>
      <w:lvlJc w:val="left"/>
      <w:pPr>
        <w:ind w:left="2544" w:hanging="284"/>
      </w:pPr>
      <w:rPr>
        <w:rFonts w:hint="default"/>
        <w:lang w:val="en-US" w:eastAsia="en-US" w:bidi="ar-SA"/>
      </w:rPr>
    </w:lvl>
    <w:lvl w:ilvl="6" w:tplc="7BA012B8">
      <w:numFmt w:val="bullet"/>
      <w:lvlText w:val="•"/>
      <w:lvlJc w:val="left"/>
      <w:pPr>
        <w:ind w:left="2973" w:hanging="284"/>
      </w:pPr>
      <w:rPr>
        <w:rFonts w:hint="default"/>
        <w:lang w:val="en-US" w:eastAsia="en-US" w:bidi="ar-SA"/>
      </w:rPr>
    </w:lvl>
    <w:lvl w:ilvl="7" w:tplc="A12C9D02">
      <w:numFmt w:val="bullet"/>
      <w:lvlText w:val="•"/>
      <w:lvlJc w:val="left"/>
      <w:pPr>
        <w:ind w:left="3402" w:hanging="284"/>
      </w:pPr>
      <w:rPr>
        <w:rFonts w:hint="default"/>
        <w:lang w:val="en-US" w:eastAsia="en-US" w:bidi="ar-SA"/>
      </w:rPr>
    </w:lvl>
    <w:lvl w:ilvl="8" w:tplc="EC02BE58">
      <w:numFmt w:val="bullet"/>
      <w:lvlText w:val="•"/>
      <w:lvlJc w:val="left"/>
      <w:pPr>
        <w:ind w:left="3831" w:hanging="284"/>
      </w:pPr>
      <w:rPr>
        <w:rFonts w:hint="default"/>
        <w:lang w:val="en-US" w:eastAsia="en-US" w:bidi="ar-SA"/>
      </w:rPr>
    </w:lvl>
  </w:abstractNum>
  <w:abstractNum w:abstractNumId="17"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4F52666"/>
    <w:multiLevelType w:val="hybridMultilevel"/>
    <w:tmpl w:val="B0CC1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766F5016"/>
    <w:multiLevelType w:val="hybridMultilevel"/>
    <w:tmpl w:val="58287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578559">
    <w:abstractNumId w:val="19"/>
  </w:num>
  <w:num w:numId="2" w16cid:durableId="1695494793">
    <w:abstractNumId w:val="1"/>
  </w:num>
  <w:num w:numId="3" w16cid:durableId="1193498152">
    <w:abstractNumId w:val="10"/>
  </w:num>
  <w:num w:numId="4" w16cid:durableId="741562954">
    <w:abstractNumId w:val="9"/>
  </w:num>
  <w:num w:numId="5" w16cid:durableId="328093727">
    <w:abstractNumId w:val="17"/>
  </w:num>
  <w:num w:numId="6" w16cid:durableId="904608017">
    <w:abstractNumId w:val="5"/>
  </w:num>
  <w:num w:numId="7" w16cid:durableId="1636716221">
    <w:abstractNumId w:val="4"/>
  </w:num>
  <w:num w:numId="8" w16cid:durableId="1563101622">
    <w:abstractNumId w:val="17"/>
  </w:num>
  <w:num w:numId="9" w16cid:durableId="605307491">
    <w:abstractNumId w:val="16"/>
  </w:num>
  <w:num w:numId="10" w16cid:durableId="181359454">
    <w:abstractNumId w:val="3"/>
  </w:num>
  <w:num w:numId="11" w16cid:durableId="772825653">
    <w:abstractNumId w:val="13"/>
  </w:num>
  <w:num w:numId="12" w16cid:durableId="2041397506">
    <w:abstractNumId w:val="12"/>
  </w:num>
  <w:num w:numId="13" w16cid:durableId="812059267">
    <w:abstractNumId w:val="2"/>
  </w:num>
  <w:num w:numId="14" w16cid:durableId="1240092625">
    <w:abstractNumId w:val="14"/>
  </w:num>
  <w:num w:numId="15" w16cid:durableId="1488327051">
    <w:abstractNumId w:val="7"/>
  </w:num>
  <w:num w:numId="16" w16cid:durableId="365132695">
    <w:abstractNumId w:val="8"/>
  </w:num>
  <w:num w:numId="17" w16cid:durableId="1107624353">
    <w:abstractNumId w:val="6"/>
  </w:num>
  <w:num w:numId="18" w16cid:durableId="1437677263">
    <w:abstractNumId w:val="18"/>
  </w:num>
  <w:num w:numId="19" w16cid:durableId="1136947659">
    <w:abstractNumId w:val="15"/>
  </w:num>
  <w:num w:numId="20" w16cid:durableId="11840516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491847">
    <w:abstractNumId w:val="11"/>
  </w:num>
  <w:num w:numId="22" w16cid:durableId="1385829470">
    <w:abstractNumId w:val="0"/>
  </w:num>
  <w:num w:numId="23" w16cid:durableId="175269548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0B5"/>
    <w:rsid w:val="000001A1"/>
    <w:rsid w:val="00000CB6"/>
    <w:rsid w:val="00002287"/>
    <w:rsid w:val="000032A0"/>
    <w:rsid w:val="00004B3D"/>
    <w:rsid w:val="0000612D"/>
    <w:rsid w:val="00007DE1"/>
    <w:rsid w:val="000101A4"/>
    <w:rsid w:val="0001188A"/>
    <w:rsid w:val="00012035"/>
    <w:rsid w:val="00012085"/>
    <w:rsid w:val="000131EE"/>
    <w:rsid w:val="000132E8"/>
    <w:rsid w:val="0001425B"/>
    <w:rsid w:val="000147A3"/>
    <w:rsid w:val="00015ACF"/>
    <w:rsid w:val="0001764D"/>
    <w:rsid w:val="00020505"/>
    <w:rsid w:val="00021330"/>
    <w:rsid w:val="00021888"/>
    <w:rsid w:val="00021D81"/>
    <w:rsid w:val="00022359"/>
    <w:rsid w:val="000230DB"/>
    <w:rsid w:val="000233B3"/>
    <w:rsid w:val="00023A5D"/>
    <w:rsid w:val="0002667E"/>
    <w:rsid w:val="00027643"/>
    <w:rsid w:val="00027864"/>
    <w:rsid w:val="00030AEC"/>
    <w:rsid w:val="00032673"/>
    <w:rsid w:val="0003433E"/>
    <w:rsid w:val="0003439E"/>
    <w:rsid w:val="00036685"/>
    <w:rsid w:val="00036ADC"/>
    <w:rsid w:val="00036F47"/>
    <w:rsid w:val="0003711B"/>
    <w:rsid w:val="0004048D"/>
    <w:rsid w:val="00042025"/>
    <w:rsid w:val="00042754"/>
    <w:rsid w:val="00042E1A"/>
    <w:rsid w:val="00043112"/>
    <w:rsid w:val="00043139"/>
    <w:rsid w:val="0004332C"/>
    <w:rsid w:val="00043948"/>
    <w:rsid w:val="000456FB"/>
    <w:rsid w:val="00045CDD"/>
    <w:rsid w:val="00046D4F"/>
    <w:rsid w:val="0004715A"/>
    <w:rsid w:val="0004746C"/>
    <w:rsid w:val="00047998"/>
    <w:rsid w:val="00047C04"/>
    <w:rsid w:val="000507AE"/>
    <w:rsid w:val="000514BD"/>
    <w:rsid w:val="0005181B"/>
    <w:rsid w:val="0005201C"/>
    <w:rsid w:val="0005366D"/>
    <w:rsid w:val="0005395C"/>
    <w:rsid w:val="0005494D"/>
    <w:rsid w:val="00055589"/>
    <w:rsid w:val="00055D8A"/>
    <w:rsid w:val="00056D65"/>
    <w:rsid w:val="000575BD"/>
    <w:rsid w:val="00057F48"/>
    <w:rsid w:val="00060681"/>
    <w:rsid w:val="00060EAC"/>
    <w:rsid w:val="00061291"/>
    <w:rsid w:val="000613B1"/>
    <w:rsid w:val="00061B1A"/>
    <w:rsid w:val="00062BE3"/>
    <w:rsid w:val="00062F4D"/>
    <w:rsid w:val="0006502A"/>
    <w:rsid w:val="000664A4"/>
    <w:rsid w:val="00067194"/>
    <w:rsid w:val="00070981"/>
    <w:rsid w:val="00071327"/>
    <w:rsid w:val="0007210F"/>
    <w:rsid w:val="0007253D"/>
    <w:rsid w:val="00072A02"/>
    <w:rsid w:val="00074251"/>
    <w:rsid w:val="00074289"/>
    <w:rsid w:val="00075402"/>
    <w:rsid w:val="00077A58"/>
    <w:rsid w:val="00077C60"/>
    <w:rsid w:val="00077D07"/>
    <w:rsid w:val="00077DCE"/>
    <w:rsid w:val="00081066"/>
    <w:rsid w:val="00081166"/>
    <w:rsid w:val="00081F58"/>
    <w:rsid w:val="00082E59"/>
    <w:rsid w:val="00083C05"/>
    <w:rsid w:val="00085816"/>
    <w:rsid w:val="000859A6"/>
    <w:rsid w:val="000904EB"/>
    <w:rsid w:val="00090D27"/>
    <w:rsid w:val="0009153D"/>
    <w:rsid w:val="00091B06"/>
    <w:rsid w:val="00091B73"/>
    <w:rsid w:val="00093FCA"/>
    <w:rsid w:val="000940EA"/>
    <w:rsid w:val="00094431"/>
    <w:rsid w:val="000947CF"/>
    <w:rsid w:val="00094CD4"/>
    <w:rsid w:val="000962F5"/>
    <w:rsid w:val="0009653F"/>
    <w:rsid w:val="0009707B"/>
    <w:rsid w:val="00097946"/>
    <w:rsid w:val="00097E09"/>
    <w:rsid w:val="000A048E"/>
    <w:rsid w:val="000A08DF"/>
    <w:rsid w:val="000A0A47"/>
    <w:rsid w:val="000A40F3"/>
    <w:rsid w:val="000A45AD"/>
    <w:rsid w:val="000A545D"/>
    <w:rsid w:val="000A6DAA"/>
    <w:rsid w:val="000A7860"/>
    <w:rsid w:val="000A7F17"/>
    <w:rsid w:val="000B118E"/>
    <w:rsid w:val="000B2905"/>
    <w:rsid w:val="000B326B"/>
    <w:rsid w:val="000B364F"/>
    <w:rsid w:val="000B3899"/>
    <w:rsid w:val="000B3BEC"/>
    <w:rsid w:val="000B487C"/>
    <w:rsid w:val="000B59F0"/>
    <w:rsid w:val="000B613A"/>
    <w:rsid w:val="000B6E97"/>
    <w:rsid w:val="000B78A3"/>
    <w:rsid w:val="000B7F85"/>
    <w:rsid w:val="000C00DC"/>
    <w:rsid w:val="000C0212"/>
    <w:rsid w:val="000C0238"/>
    <w:rsid w:val="000C0E86"/>
    <w:rsid w:val="000C10C9"/>
    <w:rsid w:val="000C13A0"/>
    <w:rsid w:val="000C1C6B"/>
    <w:rsid w:val="000C1C79"/>
    <w:rsid w:val="000C2665"/>
    <w:rsid w:val="000C4A8B"/>
    <w:rsid w:val="000C7112"/>
    <w:rsid w:val="000C78D6"/>
    <w:rsid w:val="000D0266"/>
    <w:rsid w:val="000D06D9"/>
    <w:rsid w:val="000D0DF9"/>
    <w:rsid w:val="000D1751"/>
    <w:rsid w:val="000D29A0"/>
    <w:rsid w:val="000D33DE"/>
    <w:rsid w:val="000D3854"/>
    <w:rsid w:val="000D4CBA"/>
    <w:rsid w:val="000D5C0E"/>
    <w:rsid w:val="000D6789"/>
    <w:rsid w:val="000D6812"/>
    <w:rsid w:val="000D7872"/>
    <w:rsid w:val="000D7F49"/>
    <w:rsid w:val="000E077D"/>
    <w:rsid w:val="000E1E4F"/>
    <w:rsid w:val="000E27A2"/>
    <w:rsid w:val="000E44FE"/>
    <w:rsid w:val="000E53DC"/>
    <w:rsid w:val="000E5C12"/>
    <w:rsid w:val="000E60B4"/>
    <w:rsid w:val="000F060A"/>
    <w:rsid w:val="000F0CA6"/>
    <w:rsid w:val="000F0DCB"/>
    <w:rsid w:val="000F1124"/>
    <w:rsid w:val="000F28A2"/>
    <w:rsid w:val="000F33A1"/>
    <w:rsid w:val="000F55E7"/>
    <w:rsid w:val="000F72DA"/>
    <w:rsid w:val="000F7394"/>
    <w:rsid w:val="00101B0B"/>
    <w:rsid w:val="00102EF9"/>
    <w:rsid w:val="00105033"/>
    <w:rsid w:val="00105C5F"/>
    <w:rsid w:val="00106CFC"/>
    <w:rsid w:val="00106D65"/>
    <w:rsid w:val="00110382"/>
    <w:rsid w:val="001119AB"/>
    <w:rsid w:val="00111D85"/>
    <w:rsid w:val="00114429"/>
    <w:rsid w:val="00114480"/>
    <w:rsid w:val="00114726"/>
    <w:rsid w:val="00114BA0"/>
    <w:rsid w:val="0011604B"/>
    <w:rsid w:val="001174D9"/>
    <w:rsid w:val="0011788E"/>
    <w:rsid w:val="00117D92"/>
    <w:rsid w:val="00120BA7"/>
    <w:rsid w:val="00121416"/>
    <w:rsid w:val="001228AC"/>
    <w:rsid w:val="0012341E"/>
    <w:rsid w:val="00124E70"/>
    <w:rsid w:val="00126580"/>
    <w:rsid w:val="00130228"/>
    <w:rsid w:val="00130313"/>
    <w:rsid w:val="0013120A"/>
    <w:rsid w:val="0013156A"/>
    <w:rsid w:val="001316EC"/>
    <w:rsid w:val="00132CE5"/>
    <w:rsid w:val="00134159"/>
    <w:rsid w:val="001344DA"/>
    <w:rsid w:val="0013454F"/>
    <w:rsid w:val="001345C9"/>
    <w:rsid w:val="0013463C"/>
    <w:rsid w:val="00134A75"/>
    <w:rsid w:val="0013587C"/>
    <w:rsid w:val="00141318"/>
    <w:rsid w:val="00141523"/>
    <w:rsid w:val="0014182C"/>
    <w:rsid w:val="00142D08"/>
    <w:rsid w:val="00142E0B"/>
    <w:rsid w:val="001459B8"/>
    <w:rsid w:val="00146349"/>
    <w:rsid w:val="0014672D"/>
    <w:rsid w:val="001467BC"/>
    <w:rsid w:val="0014717D"/>
    <w:rsid w:val="00150D97"/>
    <w:rsid w:val="00150E0A"/>
    <w:rsid w:val="001518A6"/>
    <w:rsid w:val="00152379"/>
    <w:rsid w:val="0015282B"/>
    <w:rsid w:val="00153DDB"/>
    <w:rsid w:val="0015401E"/>
    <w:rsid w:val="001560B1"/>
    <w:rsid w:val="00156132"/>
    <w:rsid w:val="00156570"/>
    <w:rsid w:val="00156928"/>
    <w:rsid w:val="0015695F"/>
    <w:rsid w:val="00156E25"/>
    <w:rsid w:val="001578C8"/>
    <w:rsid w:val="001600CA"/>
    <w:rsid w:val="001600ED"/>
    <w:rsid w:val="00162286"/>
    <w:rsid w:val="00162422"/>
    <w:rsid w:val="001632C5"/>
    <w:rsid w:val="00163F9B"/>
    <w:rsid w:val="00165513"/>
    <w:rsid w:val="00170251"/>
    <w:rsid w:val="001702B0"/>
    <w:rsid w:val="0017077A"/>
    <w:rsid w:val="0017089A"/>
    <w:rsid w:val="00170D66"/>
    <w:rsid w:val="00170DC6"/>
    <w:rsid w:val="00171EB4"/>
    <w:rsid w:val="00172CA6"/>
    <w:rsid w:val="0017351A"/>
    <w:rsid w:val="0017426A"/>
    <w:rsid w:val="00174C5F"/>
    <w:rsid w:val="00175658"/>
    <w:rsid w:val="0017716D"/>
    <w:rsid w:val="001771BE"/>
    <w:rsid w:val="001827C2"/>
    <w:rsid w:val="0018607D"/>
    <w:rsid w:val="001865BF"/>
    <w:rsid w:val="00186E6F"/>
    <w:rsid w:val="00187E9D"/>
    <w:rsid w:val="001916C6"/>
    <w:rsid w:val="001965EF"/>
    <w:rsid w:val="0019720A"/>
    <w:rsid w:val="00197633"/>
    <w:rsid w:val="00197789"/>
    <w:rsid w:val="00197857"/>
    <w:rsid w:val="001A0152"/>
    <w:rsid w:val="001A0783"/>
    <w:rsid w:val="001A0BC9"/>
    <w:rsid w:val="001A1D39"/>
    <w:rsid w:val="001A2F51"/>
    <w:rsid w:val="001A5247"/>
    <w:rsid w:val="001A5C23"/>
    <w:rsid w:val="001A5F85"/>
    <w:rsid w:val="001A77F8"/>
    <w:rsid w:val="001A7BC1"/>
    <w:rsid w:val="001A7F95"/>
    <w:rsid w:val="001B024F"/>
    <w:rsid w:val="001B037E"/>
    <w:rsid w:val="001B0501"/>
    <w:rsid w:val="001B069D"/>
    <w:rsid w:val="001B0E9F"/>
    <w:rsid w:val="001B17FD"/>
    <w:rsid w:val="001B3D75"/>
    <w:rsid w:val="001B3E13"/>
    <w:rsid w:val="001B6176"/>
    <w:rsid w:val="001B73A1"/>
    <w:rsid w:val="001B782E"/>
    <w:rsid w:val="001C0255"/>
    <w:rsid w:val="001C0F11"/>
    <w:rsid w:val="001C175F"/>
    <w:rsid w:val="001C1ABF"/>
    <w:rsid w:val="001C2020"/>
    <w:rsid w:val="001C203C"/>
    <w:rsid w:val="001C2C4B"/>
    <w:rsid w:val="001C305F"/>
    <w:rsid w:val="001C3629"/>
    <w:rsid w:val="001C3807"/>
    <w:rsid w:val="001C431F"/>
    <w:rsid w:val="001C4441"/>
    <w:rsid w:val="001C58D4"/>
    <w:rsid w:val="001D03FB"/>
    <w:rsid w:val="001D24F4"/>
    <w:rsid w:val="001D3231"/>
    <w:rsid w:val="001D3B69"/>
    <w:rsid w:val="001D4DE1"/>
    <w:rsid w:val="001D6B13"/>
    <w:rsid w:val="001D6D43"/>
    <w:rsid w:val="001E098E"/>
    <w:rsid w:val="001E0F37"/>
    <w:rsid w:val="001E17FB"/>
    <w:rsid w:val="001E1991"/>
    <w:rsid w:val="001E1ACA"/>
    <w:rsid w:val="001E1CE1"/>
    <w:rsid w:val="001E434A"/>
    <w:rsid w:val="001E552C"/>
    <w:rsid w:val="001E58A5"/>
    <w:rsid w:val="001E6FB5"/>
    <w:rsid w:val="001E7AD0"/>
    <w:rsid w:val="001F0CAF"/>
    <w:rsid w:val="001F19A8"/>
    <w:rsid w:val="001F1DE7"/>
    <w:rsid w:val="001F2A15"/>
    <w:rsid w:val="001F303A"/>
    <w:rsid w:val="001F323A"/>
    <w:rsid w:val="001F4E81"/>
    <w:rsid w:val="00201AB1"/>
    <w:rsid w:val="0020287A"/>
    <w:rsid w:val="002034A0"/>
    <w:rsid w:val="00203C28"/>
    <w:rsid w:val="00204B6F"/>
    <w:rsid w:val="00204E35"/>
    <w:rsid w:val="0021006B"/>
    <w:rsid w:val="0021103E"/>
    <w:rsid w:val="002125AD"/>
    <w:rsid w:val="00213486"/>
    <w:rsid w:val="00214C79"/>
    <w:rsid w:val="002151C6"/>
    <w:rsid w:val="00215A6B"/>
    <w:rsid w:val="00220B14"/>
    <w:rsid w:val="00220F2D"/>
    <w:rsid w:val="00221662"/>
    <w:rsid w:val="00221747"/>
    <w:rsid w:val="002223AE"/>
    <w:rsid w:val="00222CB5"/>
    <w:rsid w:val="00222DCF"/>
    <w:rsid w:val="00222F5C"/>
    <w:rsid w:val="00223D12"/>
    <w:rsid w:val="00223EBF"/>
    <w:rsid w:val="00224C02"/>
    <w:rsid w:val="0022500E"/>
    <w:rsid w:val="00226F53"/>
    <w:rsid w:val="002306E2"/>
    <w:rsid w:val="00230C4C"/>
    <w:rsid w:val="00230F46"/>
    <w:rsid w:val="00231110"/>
    <w:rsid w:val="0023183A"/>
    <w:rsid w:val="002318F2"/>
    <w:rsid w:val="00231A97"/>
    <w:rsid w:val="00232134"/>
    <w:rsid w:val="0023320B"/>
    <w:rsid w:val="00233749"/>
    <w:rsid w:val="0023381A"/>
    <w:rsid w:val="00233990"/>
    <w:rsid w:val="00234917"/>
    <w:rsid w:val="00235477"/>
    <w:rsid w:val="00235660"/>
    <w:rsid w:val="0023609B"/>
    <w:rsid w:val="00237D03"/>
    <w:rsid w:val="00240754"/>
    <w:rsid w:val="00242A2D"/>
    <w:rsid w:val="0024340F"/>
    <w:rsid w:val="00245BE8"/>
    <w:rsid w:val="002473FE"/>
    <w:rsid w:val="002478A3"/>
    <w:rsid w:val="0025077E"/>
    <w:rsid w:val="00250C86"/>
    <w:rsid w:val="00250CB7"/>
    <w:rsid w:val="002534B8"/>
    <w:rsid w:val="00254162"/>
    <w:rsid w:val="00254367"/>
    <w:rsid w:val="00254DD4"/>
    <w:rsid w:val="002553DB"/>
    <w:rsid w:val="002561B9"/>
    <w:rsid w:val="0025667A"/>
    <w:rsid w:val="00256854"/>
    <w:rsid w:val="0025691B"/>
    <w:rsid w:val="002600F5"/>
    <w:rsid w:val="002608B2"/>
    <w:rsid w:val="0026271B"/>
    <w:rsid w:val="002628EE"/>
    <w:rsid w:val="00264130"/>
    <w:rsid w:val="00265379"/>
    <w:rsid w:val="00265DC9"/>
    <w:rsid w:val="002669F3"/>
    <w:rsid w:val="00270F1C"/>
    <w:rsid w:val="00272ABC"/>
    <w:rsid w:val="00272B0B"/>
    <w:rsid w:val="00272CBB"/>
    <w:rsid w:val="00272E47"/>
    <w:rsid w:val="002747CA"/>
    <w:rsid w:val="00276733"/>
    <w:rsid w:val="00280050"/>
    <w:rsid w:val="00280ED4"/>
    <w:rsid w:val="00280EE8"/>
    <w:rsid w:val="00281596"/>
    <w:rsid w:val="0028179F"/>
    <w:rsid w:val="00281ACD"/>
    <w:rsid w:val="0028253F"/>
    <w:rsid w:val="00282A45"/>
    <w:rsid w:val="00282A5C"/>
    <w:rsid w:val="00284953"/>
    <w:rsid w:val="00284EB8"/>
    <w:rsid w:val="00296907"/>
    <w:rsid w:val="002A1971"/>
    <w:rsid w:val="002A356E"/>
    <w:rsid w:val="002A4422"/>
    <w:rsid w:val="002A579C"/>
    <w:rsid w:val="002A5A1E"/>
    <w:rsid w:val="002A72AB"/>
    <w:rsid w:val="002A7384"/>
    <w:rsid w:val="002B24C0"/>
    <w:rsid w:val="002B2E10"/>
    <w:rsid w:val="002B2F05"/>
    <w:rsid w:val="002B37EA"/>
    <w:rsid w:val="002B3E77"/>
    <w:rsid w:val="002B3EDA"/>
    <w:rsid w:val="002B41C1"/>
    <w:rsid w:val="002B4251"/>
    <w:rsid w:val="002B49C4"/>
    <w:rsid w:val="002B6737"/>
    <w:rsid w:val="002B7395"/>
    <w:rsid w:val="002B795A"/>
    <w:rsid w:val="002C07A5"/>
    <w:rsid w:val="002C086E"/>
    <w:rsid w:val="002C1573"/>
    <w:rsid w:val="002C165E"/>
    <w:rsid w:val="002C3FB5"/>
    <w:rsid w:val="002C421C"/>
    <w:rsid w:val="002C4527"/>
    <w:rsid w:val="002C4972"/>
    <w:rsid w:val="002C4A68"/>
    <w:rsid w:val="002C4AD1"/>
    <w:rsid w:val="002C58AC"/>
    <w:rsid w:val="002C5D57"/>
    <w:rsid w:val="002C5E0E"/>
    <w:rsid w:val="002C6C13"/>
    <w:rsid w:val="002C6CF7"/>
    <w:rsid w:val="002D084C"/>
    <w:rsid w:val="002D0B63"/>
    <w:rsid w:val="002D1C7A"/>
    <w:rsid w:val="002D2E35"/>
    <w:rsid w:val="002D3EC0"/>
    <w:rsid w:val="002D5A36"/>
    <w:rsid w:val="002D6AC3"/>
    <w:rsid w:val="002D71B3"/>
    <w:rsid w:val="002D77AE"/>
    <w:rsid w:val="002D7EFF"/>
    <w:rsid w:val="002E1431"/>
    <w:rsid w:val="002E177E"/>
    <w:rsid w:val="002E17BA"/>
    <w:rsid w:val="002E208F"/>
    <w:rsid w:val="002E351B"/>
    <w:rsid w:val="002E4B99"/>
    <w:rsid w:val="002E4CCA"/>
    <w:rsid w:val="002E4CD7"/>
    <w:rsid w:val="002E5422"/>
    <w:rsid w:val="002E5A71"/>
    <w:rsid w:val="002E5BB9"/>
    <w:rsid w:val="002E65B0"/>
    <w:rsid w:val="002E6A19"/>
    <w:rsid w:val="002E6F88"/>
    <w:rsid w:val="002E712A"/>
    <w:rsid w:val="002F1818"/>
    <w:rsid w:val="002F1898"/>
    <w:rsid w:val="002F1944"/>
    <w:rsid w:val="002F1DCB"/>
    <w:rsid w:val="002F268C"/>
    <w:rsid w:val="002F3754"/>
    <w:rsid w:val="002F46B8"/>
    <w:rsid w:val="002F534C"/>
    <w:rsid w:val="002F53C4"/>
    <w:rsid w:val="002F5965"/>
    <w:rsid w:val="003005B5"/>
    <w:rsid w:val="00301221"/>
    <w:rsid w:val="003034E9"/>
    <w:rsid w:val="00303D1F"/>
    <w:rsid w:val="003040CC"/>
    <w:rsid w:val="003045C1"/>
    <w:rsid w:val="00310C1D"/>
    <w:rsid w:val="00311B9C"/>
    <w:rsid w:val="00311C71"/>
    <w:rsid w:val="00311EFE"/>
    <w:rsid w:val="003126B6"/>
    <w:rsid w:val="003128F9"/>
    <w:rsid w:val="003150C5"/>
    <w:rsid w:val="0031545C"/>
    <w:rsid w:val="00315B7B"/>
    <w:rsid w:val="003162B8"/>
    <w:rsid w:val="00316D75"/>
    <w:rsid w:val="0032356E"/>
    <w:rsid w:val="003247C1"/>
    <w:rsid w:val="003268F7"/>
    <w:rsid w:val="00326E71"/>
    <w:rsid w:val="00327C06"/>
    <w:rsid w:val="003317E0"/>
    <w:rsid w:val="00331EF1"/>
    <w:rsid w:val="00332011"/>
    <w:rsid w:val="00332698"/>
    <w:rsid w:val="003344B0"/>
    <w:rsid w:val="00334F52"/>
    <w:rsid w:val="00335559"/>
    <w:rsid w:val="00335BB8"/>
    <w:rsid w:val="0034004A"/>
    <w:rsid w:val="0034319F"/>
    <w:rsid w:val="00344D7D"/>
    <w:rsid w:val="0034562D"/>
    <w:rsid w:val="00346595"/>
    <w:rsid w:val="003465FB"/>
    <w:rsid w:val="00350E5E"/>
    <w:rsid w:val="0035128A"/>
    <w:rsid w:val="003517E5"/>
    <w:rsid w:val="003522E8"/>
    <w:rsid w:val="00352A23"/>
    <w:rsid w:val="00352BB1"/>
    <w:rsid w:val="00352E78"/>
    <w:rsid w:val="00354A0B"/>
    <w:rsid w:val="0035633C"/>
    <w:rsid w:val="00356FF4"/>
    <w:rsid w:val="00357AC5"/>
    <w:rsid w:val="00360B68"/>
    <w:rsid w:val="003613AB"/>
    <w:rsid w:val="00361726"/>
    <w:rsid w:val="00361A48"/>
    <w:rsid w:val="00361C36"/>
    <w:rsid w:val="003630B3"/>
    <w:rsid w:val="00363152"/>
    <w:rsid w:val="003634E9"/>
    <w:rsid w:val="00364BBA"/>
    <w:rsid w:val="0036565C"/>
    <w:rsid w:val="003662D9"/>
    <w:rsid w:val="00366DD8"/>
    <w:rsid w:val="003716A1"/>
    <w:rsid w:val="00371760"/>
    <w:rsid w:val="00371808"/>
    <w:rsid w:val="00371FFC"/>
    <w:rsid w:val="00372DF4"/>
    <w:rsid w:val="00374588"/>
    <w:rsid w:val="0037482E"/>
    <w:rsid w:val="00374903"/>
    <w:rsid w:val="003751D1"/>
    <w:rsid w:val="0037587B"/>
    <w:rsid w:val="00375982"/>
    <w:rsid w:val="0037665B"/>
    <w:rsid w:val="00376A5A"/>
    <w:rsid w:val="003813D6"/>
    <w:rsid w:val="00383521"/>
    <w:rsid w:val="00383F10"/>
    <w:rsid w:val="003843D7"/>
    <w:rsid w:val="00384EC2"/>
    <w:rsid w:val="003860E7"/>
    <w:rsid w:val="003875BC"/>
    <w:rsid w:val="0038788E"/>
    <w:rsid w:val="003900D6"/>
    <w:rsid w:val="00390DB8"/>
    <w:rsid w:val="00391E79"/>
    <w:rsid w:val="003926FC"/>
    <w:rsid w:val="0039360F"/>
    <w:rsid w:val="0039416C"/>
    <w:rsid w:val="003944A0"/>
    <w:rsid w:val="00394EB2"/>
    <w:rsid w:val="003A1358"/>
    <w:rsid w:val="003A1383"/>
    <w:rsid w:val="003A1DC8"/>
    <w:rsid w:val="003A2C8B"/>
    <w:rsid w:val="003A39E1"/>
    <w:rsid w:val="003A39FE"/>
    <w:rsid w:val="003A3CD2"/>
    <w:rsid w:val="003A473D"/>
    <w:rsid w:val="003A4E7E"/>
    <w:rsid w:val="003A592C"/>
    <w:rsid w:val="003A6454"/>
    <w:rsid w:val="003A6733"/>
    <w:rsid w:val="003A7927"/>
    <w:rsid w:val="003A7EB4"/>
    <w:rsid w:val="003B0919"/>
    <w:rsid w:val="003B10AF"/>
    <w:rsid w:val="003B321A"/>
    <w:rsid w:val="003B3811"/>
    <w:rsid w:val="003B45F1"/>
    <w:rsid w:val="003B4F94"/>
    <w:rsid w:val="003B523D"/>
    <w:rsid w:val="003B549C"/>
    <w:rsid w:val="003B5C85"/>
    <w:rsid w:val="003B64C4"/>
    <w:rsid w:val="003B7501"/>
    <w:rsid w:val="003B7A4E"/>
    <w:rsid w:val="003B7B80"/>
    <w:rsid w:val="003B7C5E"/>
    <w:rsid w:val="003C464C"/>
    <w:rsid w:val="003C52A4"/>
    <w:rsid w:val="003C5491"/>
    <w:rsid w:val="003D31CC"/>
    <w:rsid w:val="003D32AF"/>
    <w:rsid w:val="003D450C"/>
    <w:rsid w:val="003D5711"/>
    <w:rsid w:val="003D63BD"/>
    <w:rsid w:val="003D68C0"/>
    <w:rsid w:val="003D6984"/>
    <w:rsid w:val="003D7A59"/>
    <w:rsid w:val="003D7EF5"/>
    <w:rsid w:val="003D7F1A"/>
    <w:rsid w:val="003E039C"/>
    <w:rsid w:val="003E16DA"/>
    <w:rsid w:val="003E1F26"/>
    <w:rsid w:val="003E1F32"/>
    <w:rsid w:val="003E4EDB"/>
    <w:rsid w:val="003E5B29"/>
    <w:rsid w:val="003E65D9"/>
    <w:rsid w:val="003E6B33"/>
    <w:rsid w:val="003E74AE"/>
    <w:rsid w:val="003E7554"/>
    <w:rsid w:val="003E75B5"/>
    <w:rsid w:val="003E779B"/>
    <w:rsid w:val="003F20E1"/>
    <w:rsid w:val="003F29E9"/>
    <w:rsid w:val="003F2B8F"/>
    <w:rsid w:val="003F4257"/>
    <w:rsid w:val="003F463D"/>
    <w:rsid w:val="003F7DA8"/>
    <w:rsid w:val="004006C3"/>
    <w:rsid w:val="004019E1"/>
    <w:rsid w:val="00401F79"/>
    <w:rsid w:val="00402EF9"/>
    <w:rsid w:val="004036BC"/>
    <w:rsid w:val="00403A49"/>
    <w:rsid w:val="00403D80"/>
    <w:rsid w:val="0040469A"/>
    <w:rsid w:val="00405002"/>
    <w:rsid w:val="00406DCC"/>
    <w:rsid w:val="004077B9"/>
    <w:rsid w:val="00407D3B"/>
    <w:rsid w:val="004101E6"/>
    <w:rsid w:val="00410870"/>
    <w:rsid w:val="00410A72"/>
    <w:rsid w:val="004111F5"/>
    <w:rsid w:val="0041237F"/>
    <w:rsid w:val="00412531"/>
    <w:rsid w:val="00413CC1"/>
    <w:rsid w:val="004144F9"/>
    <w:rsid w:val="004144FB"/>
    <w:rsid w:val="00414A3C"/>
    <w:rsid w:val="00414E61"/>
    <w:rsid w:val="0041656D"/>
    <w:rsid w:val="00416656"/>
    <w:rsid w:val="004166F0"/>
    <w:rsid w:val="004201BD"/>
    <w:rsid w:val="00420ADB"/>
    <w:rsid w:val="00422236"/>
    <w:rsid w:val="0042551F"/>
    <w:rsid w:val="00431B08"/>
    <w:rsid w:val="0043250D"/>
    <w:rsid w:val="00432A83"/>
    <w:rsid w:val="00432F84"/>
    <w:rsid w:val="00433379"/>
    <w:rsid w:val="00433B59"/>
    <w:rsid w:val="00435004"/>
    <w:rsid w:val="004369B7"/>
    <w:rsid w:val="00436F36"/>
    <w:rsid w:val="00436FB4"/>
    <w:rsid w:val="00437EF9"/>
    <w:rsid w:val="00440C49"/>
    <w:rsid w:val="00443CE9"/>
    <w:rsid w:val="00443E0E"/>
    <w:rsid w:val="00444154"/>
    <w:rsid w:val="00444292"/>
    <w:rsid w:val="00445720"/>
    <w:rsid w:val="00446545"/>
    <w:rsid w:val="00446646"/>
    <w:rsid w:val="00446F4D"/>
    <w:rsid w:val="00447D96"/>
    <w:rsid w:val="00450D1A"/>
    <w:rsid w:val="00451D9D"/>
    <w:rsid w:val="00451F1B"/>
    <w:rsid w:val="00451F45"/>
    <w:rsid w:val="004520D0"/>
    <w:rsid w:val="00452BEC"/>
    <w:rsid w:val="00453031"/>
    <w:rsid w:val="0045392F"/>
    <w:rsid w:val="00453B09"/>
    <w:rsid w:val="00454E19"/>
    <w:rsid w:val="00455651"/>
    <w:rsid w:val="0046075C"/>
    <w:rsid w:val="00460B80"/>
    <w:rsid w:val="00460BAE"/>
    <w:rsid w:val="00460F10"/>
    <w:rsid w:val="00463619"/>
    <w:rsid w:val="00463BE8"/>
    <w:rsid w:val="0046450A"/>
    <w:rsid w:val="00464CAB"/>
    <w:rsid w:val="004659CA"/>
    <w:rsid w:val="00465C94"/>
    <w:rsid w:val="00465CD3"/>
    <w:rsid w:val="004672F3"/>
    <w:rsid w:val="00471168"/>
    <w:rsid w:val="00471E69"/>
    <w:rsid w:val="00472CC9"/>
    <w:rsid w:val="004730E7"/>
    <w:rsid w:val="00473F5B"/>
    <w:rsid w:val="00474D5B"/>
    <w:rsid w:val="00475118"/>
    <w:rsid w:val="004752AF"/>
    <w:rsid w:val="0047568C"/>
    <w:rsid w:val="00476519"/>
    <w:rsid w:val="0047748C"/>
    <w:rsid w:val="004776FE"/>
    <w:rsid w:val="00477FD8"/>
    <w:rsid w:val="004806FB"/>
    <w:rsid w:val="00480F38"/>
    <w:rsid w:val="00480F7F"/>
    <w:rsid w:val="00482A8E"/>
    <w:rsid w:val="00482C73"/>
    <w:rsid w:val="004863A6"/>
    <w:rsid w:val="004864D4"/>
    <w:rsid w:val="00490047"/>
    <w:rsid w:val="004902C6"/>
    <w:rsid w:val="004924B3"/>
    <w:rsid w:val="00492AC6"/>
    <w:rsid w:val="00492AE6"/>
    <w:rsid w:val="00493903"/>
    <w:rsid w:val="00494D55"/>
    <w:rsid w:val="00495A95"/>
    <w:rsid w:val="00495FE3"/>
    <w:rsid w:val="004961A1"/>
    <w:rsid w:val="00497090"/>
    <w:rsid w:val="0049733C"/>
    <w:rsid w:val="004A0515"/>
    <w:rsid w:val="004A0B95"/>
    <w:rsid w:val="004A120B"/>
    <w:rsid w:val="004A1669"/>
    <w:rsid w:val="004A19BB"/>
    <w:rsid w:val="004A1D0B"/>
    <w:rsid w:val="004A27F7"/>
    <w:rsid w:val="004A3264"/>
    <w:rsid w:val="004A3CEE"/>
    <w:rsid w:val="004A4B9E"/>
    <w:rsid w:val="004A4E59"/>
    <w:rsid w:val="004A686C"/>
    <w:rsid w:val="004B010F"/>
    <w:rsid w:val="004B05C1"/>
    <w:rsid w:val="004B17D8"/>
    <w:rsid w:val="004B4E10"/>
    <w:rsid w:val="004B5600"/>
    <w:rsid w:val="004B6AB8"/>
    <w:rsid w:val="004B6E1E"/>
    <w:rsid w:val="004B782F"/>
    <w:rsid w:val="004B785E"/>
    <w:rsid w:val="004B7EEA"/>
    <w:rsid w:val="004C0187"/>
    <w:rsid w:val="004C2069"/>
    <w:rsid w:val="004C2235"/>
    <w:rsid w:val="004C243D"/>
    <w:rsid w:val="004C3CD8"/>
    <w:rsid w:val="004C4BA6"/>
    <w:rsid w:val="004C561D"/>
    <w:rsid w:val="004C68DA"/>
    <w:rsid w:val="004C6F9D"/>
    <w:rsid w:val="004C7E0D"/>
    <w:rsid w:val="004D00DD"/>
    <w:rsid w:val="004D025C"/>
    <w:rsid w:val="004D343C"/>
    <w:rsid w:val="004D3AC0"/>
    <w:rsid w:val="004D3B7B"/>
    <w:rsid w:val="004D556D"/>
    <w:rsid w:val="004D5646"/>
    <w:rsid w:val="004D665A"/>
    <w:rsid w:val="004D7688"/>
    <w:rsid w:val="004D7B63"/>
    <w:rsid w:val="004E0957"/>
    <w:rsid w:val="004E09A7"/>
    <w:rsid w:val="004E13DC"/>
    <w:rsid w:val="004E30CC"/>
    <w:rsid w:val="004E30DB"/>
    <w:rsid w:val="004E3668"/>
    <w:rsid w:val="004E3B65"/>
    <w:rsid w:val="004E4512"/>
    <w:rsid w:val="004E4FD8"/>
    <w:rsid w:val="004E7BFE"/>
    <w:rsid w:val="004F071C"/>
    <w:rsid w:val="004F0980"/>
    <w:rsid w:val="004F0A11"/>
    <w:rsid w:val="004F0DB1"/>
    <w:rsid w:val="004F26FE"/>
    <w:rsid w:val="004F33A8"/>
    <w:rsid w:val="004F3EDE"/>
    <w:rsid w:val="004F4AA6"/>
    <w:rsid w:val="004F4CA7"/>
    <w:rsid w:val="004F560A"/>
    <w:rsid w:val="004F5A16"/>
    <w:rsid w:val="004F5BB5"/>
    <w:rsid w:val="004F64E0"/>
    <w:rsid w:val="004F6EF0"/>
    <w:rsid w:val="004F7CFF"/>
    <w:rsid w:val="00501554"/>
    <w:rsid w:val="00501580"/>
    <w:rsid w:val="00501EEB"/>
    <w:rsid w:val="00502127"/>
    <w:rsid w:val="00503D17"/>
    <w:rsid w:val="00503E62"/>
    <w:rsid w:val="00504A1C"/>
    <w:rsid w:val="00504B6B"/>
    <w:rsid w:val="005061D4"/>
    <w:rsid w:val="00507883"/>
    <w:rsid w:val="005102AB"/>
    <w:rsid w:val="00510A9F"/>
    <w:rsid w:val="00510BCE"/>
    <w:rsid w:val="0051102E"/>
    <w:rsid w:val="00511412"/>
    <w:rsid w:val="0051191F"/>
    <w:rsid w:val="005126F7"/>
    <w:rsid w:val="005128AA"/>
    <w:rsid w:val="00512C8F"/>
    <w:rsid w:val="005135E2"/>
    <w:rsid w:val="00513B98"/>
    <w:rsid w:val="00513CE1"/>
    <w:rsid w:val="0051533F"/>
    <w:rsid w:val="005163C6"/>
    <w:rsid w:val="0051651D"/>
    <w:rsid w:val="0051695F"/>
    <w:rsid w:val="005177E4"/>
    <w:rsid w:val="0052062C"/>
    <w:rsid w:val="00521431"/>
    <w:rsid w:val="00521A1A"/>
    <w:rsid w:val="00522D98"/>
    <w:rsid w:val="00523E75"/>
    <w:rsid w:val="005242BD"/>
    <w:rsid w:val="0052494D"/>
    <w:rsid w:val="00525193"/>
    <w:rsid w:val="00525AA2"/>
    <w:rsid w:val="00525FC6"/>
    <w:rsid w:val="005268BF"/>
    <w:rsid w:val="00527628"/>
    <w:rsid w:val="005278D2"/>
    <w:rsid w:val="005314E7"/>
    <w:rsid w:val="005319AC"/>
    <w:rsid w:val="00533447"/>
    <w:rsid w:val="005343A7"/>
    <w:rsid w:val="005359F0"/>
    <w:rsid w:val="0053628B"/>
    <w:rsid w:val="00536A07"/>
    <w:rsid w:val="00537674"/>
    <w:rsid w:val="00537CA1"/>
    <w:rsid w:val="00541679"/>
    <w:rsid w:val="0054215F"/>
    <w:rsid w:val="00542890"/>
    <w:rsid w:val="00542EB4"/>
    <w:rsid w:val="005434D7"/>
    <w:rsid w:val="005458E9"/>
    <w:rsid w:val="00545945"/>
    <w:rsid w:val="00545D1D"/>
    <w:rsid w:val="00545E0B"/>
    <w:rsid w:val="00546E3C"/>
    <w:rsid w:val="00547221"/>
    <w:rsid w:val="005478BC"/>
    <w:rsid w:val="0055136D"/>
    <w:rsid w:val="005545DD"/>
    <w:rsid w:val="00554A28"/>
    <w:rsid w:val="00555077"/>
    <w:rsid w:val="005603E2"/>
    <w:rsid w:val="005611DF"/>
    <w:rsid w:val="00563E8A"/>
    <w:rsid w:val="00564EB8"/>
    <w:rsid w:val="00564FB9"/>
    <w:rsid w:val="00565846"/>
    <w:rsid w:val="00565AD1"/>
    <w:rsid w:val="00565CBB"/>
    <w:rsid w:val="00566C07"/>
    <w:rsid w:val="00567EE1"/>
    <w:rsid w:val="0057127F"/>
    <w:rsid w:val="00571FCD"/>
    <w:rsid w:val="0057289E"/>
    <w:rsid w:val="00572DDE"/>
    <w:rsid w:val="00573753"/>
    <w:rsid w:val="005740D2"/>
    <w:rsid w:val="005742E0"/>
    <w:rsid w:val="00574EF1"/>
    <w:rsid w:val="0057502C"/>
    <w:rsid w:val="00577BEC"/>
    <w:rsid w:val="00577C46"/>
    <w:rsid w:val="00580F94"/>
    <w:rsid w:val="0058296F"/>
    <w:rsid w:val="00582A0B"/>
    <w:rsid w:val="00583423"/>
    <w:rsid w:val="005836BE"/>
    <w:rsid w:val="0058389B"/>
    <w:rsid w:val="00583C02"/>
    <w:rsid w:val="00584DDB"/>
    <w:rsid w:val="00584E9E"/>
    <w:rsid w:val="00585BCF"/>
    <w:rsid w:val="00585E41"/>
    <w:rsid w:val="00585E98"/>
    <w:rsid w:val="00585FD1"/>
    <w:rsid w:val="0058740D"/>
    <w:rsid w:val="00587CF7"/>
    <w:rsid w:val="0059001F"/>
    <w:rsid w:val="00590360"/>
    <w:rsid w:val="00590953"/>
    <w:rsid w:val="00590BEB"/>
    <w:rsid w:val="005914BA"/>
    <w:rsid w:val="00592172"/>
    <w:rsid w:val="00592B42"/>
    <w:rsid w:val="00592DB6"/>
    <w:rsid w:val="0059369A"/>
    <w:rsid w:val="005938C0"/>
    <w:rsid w:val="00595ED5"/>
    <w:rsid w:val="00596ACD"/>
    <w:rsid w:val="005A073A"/>
    <w:rsid w:val="005A0AFB"/>
    <w:rsid w:val="005A1319"/>
    <w:rsid w:val="005A1751"/>
    <w:rsid w:val="005A2BC8"/>
    <w:rsid w:val="005A399E"/>
    <w:rsid w:val="005A43E0"/>
    <w:rsid w:val="005A4A99"/>
    <w:rsid w:val="005A5840"/>
    <w:rsid w:val="005A5FBC"/>
    <w:rsid w:val="005A7631"/>
    <w:rsid w:val="005B14AD"/>
    <w:rsid w:val="005B15B1"/>
    <w:rsid w:val="005B18FD"/>
    <w:rsid w:val="005B1F51"/>
    <w:rsid w:val="005B2F67"/>
    <w:rsid w:val="005B342B"/>
    <w:rsid w:val="005B49B0"/>
    <w:rsid w:val="005B5765"/>
    <w:rsid w:val="005B641E"/>
    <w:rsid w:val="005B6C9D"/>
    <w:rsid w:val="005B6E13"/>
    <w:rsid w:val="005B760E"/>
    <w:rsid w:val="005C0A0B"/>
    <w:rsid w:val="005C0D5E"/>
    <w:rsid w:val="005C20D1"/>
    <w:rsid w:val="005C29C5"/>
    <w:rsid w:val="005C3BDF"/>
    <w:rsid w:val="005C3DAD"/>
    <w:rsid w:val="005C4C34"/>
    <w:rsid w:val="005C5D99"/>
    <w:rsid w:val="005C6113"/>
    <w:rsid w:val="005C69D2"/>
    <w:rsid w:val="005C6B45"/>
    <w:rsid w:val="005D1A5D"/>
    <w:rsid w:val="005D3CB7"/>
    <w:rsid w:val="005D4054"/>
    <w:rsid w:val="005D4425"/>
    <w:rsid w:val="005D5A94"/>
    <w:rsid w:val="005D67C5"/>
    <w:rsid w:val="005D6DA8"/>
    <w:rsid w:val="005E09BC"/>
    <w:rsid w:val="005E0B48"/>
    <w:rsid w:val="005E19BC"/>
    <w:rsid w:val="005E2BCA"/>
    <w:rsid w:val="005E3364"/>
    <w:rsid w:val="005E355D"/>
    <w:rsid w:val="005E38CF"/>
    <w:rsid w:val="005E3F3F"/>
    <w:rsid w:val="005E7086"/>
    <w:rsid w:val="005F07D8"/>
    <w:rsid w:val="005F0B50"/>
    <w:rsid w:val="005F114D"/>
    <w:rsid w:val="005F1E5D"/>
    <w:rsid w:val="005F2369"/>
    <w:rsid w:val="005F25C6"/>
    <w:rsid w:val="005F2850"/>
    <w:rsid w:val="005F4732"/>
    <w:rsid w:val="005F4DB0"/>
    <w:rsid w:val="005F4F28"/>
    <w:rsid w:val="005F581D"/>
    <w:rsid w:val="005F65E5"/>
    <w:rsid w:val="005F7063"/>
    <w:rsid w:val="005F78E8"/>
    <w:rsid w:val="005F7DFC"/>
    <w:rsid w:val="00600141"/>
    <w:rsid w:val="006018D1"/>
    <w:rsid w:val="006020BA"/>
    <w:rsid w:val="00603859"/>
    <w:rsid w:val="00606C45"/>
    <w:rsid w:val="006108EB"/>
    <w:rsid w:val="00610BDC"/>
    <w:rsid w:val="00610EBE"/>
    <w:rsid w:val="00611353"/>
    <w:rsid w:val="00611F83"/>
    <w:rsid w:val="00612CE6"/>
    <w:rsid w:val="006132B2"/>
    <w:rsid w:val="00613391"/>
    <w:rsid w:val="006139F6"/>
    <w:rsid w:val="00613AEC"/>
    <w:rsid w:val="006148AB"/>
    <w:rsid w:val="00614D59"/>
    <w:rsid w:val="006164A7"/>
    <w:rsid w:val="006166D8"/>
    <w:rsid w:val="00617D03"/>
    <w:rsid w:val="00617D67"/>
    <w:rsid w:val="00617FA7"/>
    <w:rsid w:val="006210A8"/>
    <w:rsid w:val="0062167C"/>
    <w:rsid w:val="006217E9"/>
    <w:rsid w:val="00621D07"/>
    <w:rsid w:val="00622053"/>
    <w:rsid w:val="0062357F"/>
    <w:rsid w:val="00623749"/>
    <w:rsid w:val="006249A4"/>
    <w:rsid w:val="00624A26"/>
    <w:rsid w:val="00625BF6"/>
    <w:rsid w:val="0062680A"/>
    <w:rsid w:val="006279C4"/>
    <w:rsid w:val="00627DA7"/>
    <w:rsid w:val="006310C1"/>
    <w:rsid w:val="00631449"/>
    <w:rsid w:val="006318A8"/>
    <w:rsid w:val="00634F85"/>
    <w:rsid w:val="0063648A"/>
    <w:rsid w:val="00636B13"/>
    <w:rsid w:val="00640CEB"/>
    <w:rsid w:val="006413FA"/>
    <w:rsid w:val="00641533"/>
    <w:rsid w:val="00642B66"/>
    <w:rsid w:val="00645985"/>
    <w:rsid w:val="00645CAE"/>
    <w:rsid w:val="00646211"/>
    <w:rsid w:val="0064652A"/>
    <w:rsid w:val="00647738"/>
    <w:rsid w:val="00647F4D"/>
    <w:rsid w:val="0065066C"/>
    <w:rsid w:val="00650FE5"/>
    <w:rsid w:val="00651165"/>
    <w:rsid w:val="006515FE"/>
    <w:rsid w:val="006517D7"/>
    <w:rsid w:val="0065199B"/>
    <w:rsid w:val="00651A9D"/>
    <w:rsid w:val="00651F6B"/>
    <w:rsid w:val="00653283"/>
    <w:rsid w:val="00653471"/>
    <w:rsid w:val="006535B7"/>
    <w:rsid w:val="006537FD"/>
    <w:rsid w:val="00654635"/>
    <w:rsid w:val="00655722"/>
    <w:rsid w:val="00656095"/>
    <w:rsid w:val="00656C46"/>
    <w:rsid w:val="00656F42"/>
    <w:rsid w:val="00656F47"/>
    <w:rsid w:val="0065736E"/>
    <w:rsid w:val="0066016F"/>
    <w:rsid w:val="00660247"/>
    <w:rsid w:val="00660499"/>
    <w:rsid w:val="00661AE4"/>
    <w:rsid w:val="00662118"/>
    <w:rsid w:val="0066217F"/>
    <w:rsid w:val="006625D8"/>
    <w:rsid w:val="00663C7D"/>
    <w:rsid w:val="00664E4B"/>
    <w:rsid w:val="00665004"/>
    <w:rsid w:val="00665C57"/>
    <w:rsid w:val="00665CD1"/>
    <w:rsid w:val="006701E1"/>
    <w:rsid w:val="0067184D"/>
    <w:rsid w:val="00672A68"/>
    <w:rsid w:val="00674B86"/>
    <w:rsid w:val="00677653"/>
    <w:rsid w:val="00681E37"/>
    <w:rsid w:val="00683581"/>
    <w:rsid w:val="00683A32"/>
    <w:rsid w:val="00684313"/>
    <w:rsid w:val="006845FD"/>
    <w:rsid w:val="006848A1"/>
    <w:rsid w:val="00684AE3"/>
    <w:rsid w:val="006860F5"/>
    <w:rsid w:val="006862EF"/>
    <w:rsid w:val="00686F17"/>
    <w:rsid w:val="00687C38"/>
    <w:rsid w:val="00690360"/>
    <w:rsid w:val="006930AC"/>
    <w:rsid w:val="00693995"/>
    <w:rsid w:val="00695BC1"/>
    <w:rsid w:val="00695FF7"/>
    <w:rsid w:val="00697F3F"/>
    <w:rsid w:val="006A054E"/>
    <w:rsid w:val="006A2463"/>
    <w:rsid w:val="006A295F"/>
    <w:rsid w:val="006A4BCD"/>
    <w:rsid w:val="006A53F8"/>
    <w:rsid w:val="006A58C6"/>
    <w:rsid w:val="006A6E80"/>
    <w:rsid w:val="006B0DF1"/>
    <w:rsid w:val="006B2140"/>
    <w:rsid w:val="006B2B83"/>
    <w:rsid w:val="006B2ECD"/>
    <w:rsid w:val="006B31FF"/>
    <w:rsid w:val="006B3758"/>
    <w:rsid w:val="006B43B8"/>
    <w:rsid w:val="006B5335"/>
    <w:rsid w:val="006B5CA1"/>
    <w:rsid w:val="006B6D46"/>
    <w:rsid w:val="006B7D82"/>
    <w:rsid w:val="006C0CD6"/>
    <w:rsid w:val="006C1244"/>
    <w:rsid w:val="006C1621"/>
    <w:rsid w:val="006C1C96"/>
    <w:rsid w:val="006C2DC2"/>
    <w:rsid w:val="006C2F95"/>
    <w:rsid w:val="006C346D"/>
    <w:rsid w:val="006C4849"/>
    <w:rsid w:val="006C5856"/>
    <w:rsid w:val="006C7582"/>
    <w:rsid w:val="006C7649"/>
    <w:rsid w:val="006C7BE9"/>
    <w:rsid w:val="006C7DC6"/>
    <w:rsid w:val="006D01B3"/>
    <w:rsid w:val="006D164F"/>
    <w:rsid w:val="006D29B4"/>
    <w:rsid w:val="006E0EC3"/>
    <w:rsid w:val="006E1587"/>
    <w:rsid w:val="006E2192"/>
    <w:rsid w:val="006E242E"/>
    <w:rsid w:val="006E2B5F"/>
    <w:rsid w:val="006E315B"/>
    <w:rsid w:val="006E3F4A"/>
    <w:rsid w:val="006E763B"/>
    <w:rsid w:val="006E7B4A"/>
    <w:rsid w:val="006F0CCF"/>
    <w:rsid w:val="006F13E8"/>
    <w:rsid w:val="006F19EA"/>
    <w:rsid w:val="006F260C"/>
    <w:rsid w:val="006F2C1D"/>
    <w:rsid w:val="006F3470"/>
    <w:rsid w:val="006F39A3"/>
    <w:rsid w:val="006F5160"/>
    <w:rsid w:val="006F5563"/>
    <w:rsid w:val="006F5E69"/>
    <w:rsid w:val="006F6825"/>
    <w:rsid w:val="006F6B83"/>
    <w:rsid w:val="006F6C9E"/>
    <w:rsid w:val="007019F6"/>
    <w:rsid w:val="00702411"/>
    <w:rsid w:val="0070351F"/>
    <w:rsid w:val="00704844"/>
    <w:rsid w:val="00704AC4"/>
    <w:rsid w:val="00704B39"/>
    <w:rsid w:val="00705025"/>
    <w:rsid w:val="007053F8"/>
    <w:rsid w:val="00706435"/>
    <w:rsid w:val="00710673"/>
    <w:rsid w:val="007110DE"/>
    <w:rsid w:val="00711B59"/>
    <w:rsid w:val="00715EB4"/>
    <w:rsid w:val="00715F19"/>
    <w:rsid w:val="00715F44"/>
    <w:rsid w:val="0072020C"/>
    <w:rsid w:val="00720BA3"/>
    <w:rsid w:val="0072201E"/>
    <w:rsid w:val="007233F9"/>
    <w:rsid w:val="00723BDE"/>
    <w:rsid w:val="00724350"/>
    <w:rsid w:val="00724BBE"/>
    <w:rsid w:val="0072571A"/>
    <w:rsid w:val="00725B2A"/>
    <w:rsid w:val="00726031"/>
    <w:rsid w:val="007265AB"/>
    <w:rsid w:val="00726F26"/>
    <w:rsid w:val="007272C9"/>
    <w:rsid w:val="00727592"/>
    <w:rsid w:val="0073114A"/>
    <w:rsid w:val="00732B0A"/>
    <w:rsid w:val="00732FAB"/>
    <w:rsid w:val="007337C9"/>
    <w:rsid w:val="00733CDD"/>
    <w:rsid w:val="0073423E"/>
    <w:rsid w:val="00736348"/>
    <w:rsid w:val="00736ACC"/>
    <w:rsid w:val="00737540"/>
    <w:rsid w:val="0073756F"/>
    <w:rsid w:val="00737E41"/>
    <w:rsid w:val="00740749"/>
    <w:rsid w:val="00741927"/>
    <w:rsid w:val="007421F4"/>
    <w:rsid w:val="00742259"/>
    <w:rsid w:val="007428A8"/>
    <w:rsid w:val="00743107"/>
    <w:rsid w:val="007431C4"/>
    <w:rsid w:val="00743ABB"/>
    <w:rsid w:val="00743F56"/>
    <w:rsid w:val="007440F7"/>
    <w:rsid w:val="0074454B"/>
    <w:rsid w:val="00744D46"/>
    <w:rsid w:val="00745D1E"/>
    <w:rsid w:val="00745D4F"/>
    <w:rsid w:val="00747575"/>
    <w:rsid w:val="00750BAB"/>
    <w:rsid w:val="00750BCD"/>
    <w:rsid w:val="007511A8"/>
    <w:rsid w:val="007512A6"/>
    <w:rsid w:val="0075174B"/>
    <w:rsid w:val="007527D7"/>
    <w:rsid w:val="00753567"/>
    <w:rsid w:val="00754ED9"/>
    <w:rsid w:val="00756CCD"/>
    <w:rsid w:val="00756FD8"/>
    <w:rsid w:val="00757108"/>
    <w:rsid w:val="00757A25"/>
    <w:rsid w:val="00760D41"/>
    <w:rsid w:val="0076113A"/>
    <w:rsid w:val="0076187E"/>
    <w:rsid w:val="00761CD5"/>
    <w:rsid w:val="00761FD1"/>
    <w:rsid w:val="007623D7"/>
    <w:rsid w:val="007633E9"/>
    <w:rsid w:val="00765F5C"/>
    <w:rsid w:val="00766BBF"/>
    <w:rsid w:val="00770940"/>
    <w:rsid w:val="00770DD9"/>
    <w:rsid w:val="00771FB4"/>
    <w:rsid w:val="00772B01"/>
    <w:rsid w:val="00772B11"/>
    <w:rsid w:val="00772F13"/>
    <w:rsid w:val="00773226"/>
    <w:rsid w:val="007737F8"/>
    <w:rsid w:val="00774673"/>
    <w:rsid w:val="00774B4C"/>
    <w:rsid w:val="00774CC1"/>
    <w:rsid w:val="007752FA"/>
    <w:rsid w:val="0077560D"/>
    <w:rsid w:val="007758ED"/>
    <w:rsid w:val="00775A0E"/>
    <w:rsid w:val="00775A36"/>
    <w:rsid w:val="00776498"/>
    <w:rsid w:val="00777189"/>
    <w:rsid w:val="00777F04"/>
    <w:rsid w:val="007801BD"/>
    <w:rsid w:val="00780A01"/>
    <w:rsid w:val="00780C21"/>
    <w:rsid w:val="00781D67"/>
    <w:rsid w:val="00781EF2"/>
    <w:rsid w:val="00783454"/>
    <w:rsid w:val="00783A93"/>
    <w:rsid w:val="00784526"/>
    <w:rsid w:val="00784F28"/>
    <w:rsid w:val="0078510C"/>
    <w:rsid w:val="00785D81"/>
    <w:rsid w:val="00785F01"/>
    <w:rsid w:val="0078745C"/>
    <w:rsid w:val="00790C74"/>
    <w:rsid w:val="00791400"/>
    <w:rsid w:val="00792822"/>
    <w:rsid w:val="007930B0"/>
    <w:rsid w:val="007935B6"/>
    <w:rsid w:val="00794822"/>
    <w:rsid w:val="007955D8"/>
    <w:rsid w:val="007963FD"/>
    <w:rsid w:val="00796DAE"/>
    <w:rsid w:val="00796F20"/>
    <w:rsid w:val="0079786E"/>
    <w:rsid w:val="007A153A"/>
    <w:rsid w:val="007A1E2C"/>
    <w:rsid w:val="007A1F3C"/>
    <w:rsid w:val="007A29DB"/>
    <w:rsid w:val="007A344E"/>
    <w:rsid w:val="007A45EC"/>
    <w:rsid w:val="007A4EB6"/>
    <w:rsid w:val="007A5A03"/>
    <w:rsid w:val="007A5B19"/>
    <w:rsid w:val="007A73EA"/>
    <w:rsid w:val="007A7641"/>
    <w:rsid w:val="007A79D6"/>
    <w:rsid w:val="007A7E80"/>
    <w:rsid w:val="007A7E92"/>
    <w:rsid w:val="007B03BC"/>
    <w:rsid w:val="007B130D"/>
    <w:rsid w:val="007B2026"/>
    <w:rsid w:val="007B24E3"/>
    <w:rsid w:val="007B2727"/>
    <w:rsid w:val="007B3552"/>
    <w:rsid w:val="007B381A"/>
    <w:rsid w:val="007B47EF"/>
    <w:rsid w:val="007B5190"/>
    <w:rsid w:val="007B5FB2"/>
    <w:rsid w:val="007B7422"/>
    <w:rsid w:val="007C03AD"/>
    <w:rsid w:val="007C0FC2"/>
    <w:rsid w:val="007C1500"/>
    <w:rsid w:val="007C255E"/>
    <w:rsid w:val="007C2670"/>
    <w:rsid w:val="007C2CD1"/>
    <w:rsid w:val="007C329B"/>
    <w:rsid w:val="007C39BF"/>
    <w:rsid w:val="007C3F00"/>
    <w:rsid w:val="007C3FB5"/>
    <w:rsid w:val="007C67CA"/>
    <w:rsid w:val="007C6CCD"/>
    <w:rsid w:val="007C761A"/>
    <w:rsid w:val="007C7800"/>
    <w:rsid w:val="007C7D35"/>
    <w:rsid w:val="007D0897"/>
    <w:rsid w:val="007D0B52"/>
    <w:rsid w:val="007D1EB5"/>
    <w:rsid w:val="007D2C00"/>
    <w:rsid w:val="007D38D4"/>
    <w:rsid w:val="007D41E5"/>
    <w:rsid w:val="007D4C8E"/>
    <w:rsid w:val="007D5410"/>
    <w:rsid w:val="007D5815"/>
    <w:rsid w:val="007D5B8D"/>
    <w:rsid w:val="007D6CA4"/>
    <w:rsid w:val="007E0334"/>
    <w:rsid w:val="007E087A"/>
    <w:rsid w:val="007E17AB"/>
    <w:rsid w:val="007E3528"/>
    <w:rsid w:val="007E5407"/>
    <w:rsid w:val="007E5B26"/>
    <w:rsid w:val="007E5E2A"/>
    <w:rsid w:val="007E60B7"/>
    <w:rsid w:val="007E6694"/>
    <w:rsid w:val="007E6CD0"/>
    <w:rsid w:val="007E79EE"/>
    <w:rsid w:val="007F201E"/>
    <w:rsid w:val="007F61BA"/>
    <w:rsid w:val="007F73F9"/>
    <w:rsid w:val="007F7D0B"/>
    <w:rsid w:val="00800D56"/>
    <w:rsid w:val="008015ED"/>
    <w:rsid w:val="008016C0"/>
    <w:rsid w:val="0080319E"/>
    <w:rsid w:val="00803E82"/>
    <w:rsid w:val="00804115"/>
    <w:rsid w:val="0080436F"/>
    <w:rsid w:val="0080536E"/>
    <w:rsid w:val="00806E9D"/>
    <w:rsid w:val="00807426"/>
    <w:rsid w:val="00807B69"/>
    <w:rsid w:val="008103FF"/>
    <w:rsid w:val="00810ACA"/>
    <w:rsid w:val="00810E90"/>
    <w:rsid w:val="008114C0"/>
    <w:rsid w:val="00811AF7"/>
    <w:rsid w:val="0081226F"/>
    <w:rsid w:val="008122B1"/>
    <w:rsid w:val="0081242C"/>
    <w:rsid w:val="008142C7"/>
    <w:rsid w:val="00814945"/>
    <w:rsid w:val="00814BE6"/>
    <w:rsid w:val="00816352"/>
    <w:rsid w:val="008172B1"/>
    <w:rsid w:val="00820AEC"/>
    <w:rsid w:val="00820C63"/>
    <w:rsid w:val="00820D01"/>
    <w:rsid w:val="00821424"/>
    <w:rsid w:val="00823762"/>
    <w:rsid w:val="00824372"/>
    <w:rsid w:val="00825EBF"/>
    <w:rsid w:val="00825F89"/>
    <w:rsid w:val="0082711F"/>
    <w:rsid w:val="0082712F"/>
    <w:rsid w:val="008308F3"/>
    <w:rsid w:val="0083174F"/>
    <w:rsid w:val="00831765"/>
    <w:rsid w:val="00832E4F"/>
    <w:rsid w:val="00833530"/>
    <w:rsid w:val="00833B3C"/>
    <w:rsid w:val="00834086"/>
    <w:rsid w:val="00834088"/>
    <w:rsid w:val="008341D4"/>
    <w:rsid w:val="00835477"/>
    <w:rsid w:val="008362D1"/>
    <w:rsid w:val="00837020"/>
    <w:rsid w:val="00837347"/>
    <w:rsid w:val="00840865"/>
    <w:rsid w:val="008409C7"/>
    <w:rsid w:val="00841844"/>
    <w:rsid w:val="00842235"/>
    <w:rsid w:val="00842FFA"/>
    <w:rsid w:val="00843C1C"/>
    <w:rsid w:val="008460F1"/>
    <w:rsid w:val="008461F8"/>
    <w:rsid w:val="00846968"/>
    <w:rsid w:val="00847795"/>
    <w:rsid w:val="00850081"/>
    <w:rsid w:val="00850559"/>
    <w:rsid w:val="00850FD2"/>
    <w:rsid w:val="00851E2C"/>
    <w:rsid w:val="00852318"/>
    <w:rsid w:val="00852979"/>
    <w:rsid w:val="00853265"/>
    <w:rsid w:val="00854106"/>
    <w:rsid w:val="008544AE"/>
    <w:rsid w:val="008554C3"/>
    <w:rsid w:val="008560C4"/>
    <w:rsid w:val="008570EF"/>
    <w:rsid w:val="00857113"/>
    <w:rsid w:val="00857287"/>
    <w:rsid w:val="00861038"/>
    <w:rsid w:val="00861326"/>
    <w:rsid w:val="00862BE4"/>
    <w:rsid w:val="00862EBD"/>
    <w:rsid w:val="008632BB"/>
    <w:rsid w:val="00864247"/>
    <w:rsid w:val="008644A8"/>
    <w:rsid w:val="0086494F"/>
    <w:rsid w:val="008650AF"/>
    <w:rsid w:val="00866A61"/>
    <w:rsid w:val="00866D50"/>
    <w:rsid w:val="00867137"/>
    <w:rsid w:val="008710C7"/>
    <w:rsid w:val="00871777"/>
    <w:rsid w:val="00872030"/>
    <w:rsid w:val="0087312F"/>
    <w:rsid w:val="00873644"/>
    <w:rsid w:val="00873F06"/>
    <w:rsid w:val="00875D52"/>
    <w:rsid w:val="00875E60"/>
    <w:rsid w:val="00875EF5"/>
    <w:rsid w:val="00876909"/>
    <w:rsid w:val="00876FEF"/>
    <w:rsid w:val="008773E5"/>
    <w:rsid w:val="0088073F"/>
    <w:rsid w:val="00881259"/>
    <w:rsid w:val="00881714"/>
    <w:rsid w:val="00881E12"/>
    <w:rsid w:val="00882855"/>
    <w:rsid w:val="00883E85"/>
    <w:rsid w:val="00886B8A"/>
    <w:rsid w:val="00890E0E"/>
    <w:rsid w:val="008910F4"/>
    <w:rsid w:val="008910F6"/>
    <w:rsid w:val="008917BB"/>
    <w:rsid w:val="00892B80"/>
    <w:rsid w:val="00893E2F"/>
    <w:rsid w:val="008977AB"/>
    <w:rsid w:val="008977B8"/>
    <w:rsid w:val="008A0665"/>
    <w:rsid w:val="008A1523"/>
    <w:rsid w:val="008A1B16"/>
    <w:rsid w:val="008A1F90"/>
    <w:rsid w:val="008A2AB3"/>
    <w:rsid w:val="008A2B6F"/>
    <w:rsid w:val="008A3B1C"/>
    <w:rsid w:val="008A5DC6"/>
    <w:rsid w:val="008A6262"/>
    <w:rsid w:val="008A6BDC"/>
    <w:rsid w:val="008A7199"/>
    <w:rsid w:val="008A72C0"/>
    <w:rsid w:val="008A7636"/>
    <w:rsid w:val="008A7948"/>
    <w:rsid w:val="008B08EA"/>
    <w:rsid w:val="008B1653"/>
    <w:rsid w:val="008B1BA2"/>
    <w:rsid w:val="008B3D68"/>
    <w:rsid w:val="008B4ABC"/>
    <w:rsid w:val="008B599A"/>
    <w:rsid w:val="008B5F58"/>
    <w:rsid w:val="008B6603"/>
    <w:rsid w:val="008B6A46"/>
    <w:rsid w:val="008B6D1D"/>
    <w:rsid w:val="008B7140"/>
    <w:rsid w:val="008B739A"/>
    <w:rsid w:val="008B7664"/>
    <w:rsid w:val="008B78A9"/>
    <w:rsid w:val="008B7E56"/>
    <w:rsid w:val="008B7EF7"/>
    <w:rsid w:val="008B7EFF"/>
    <w:rsid w:val="008C0252"/>
    <w:rsid w:val="008C182C"/>
    <w:rsid w:val="008C18EF"/>
    <w:rsid w:val="008C19FC"/>
    <w:rsid w:val="008C25CB"/>
    <w:rsid w:val="008C2731"/>
    <w:rsid w:val="008C288C"/>
    <w:rsid w:val="008C3BD5"/>
    <w:rsid w:val="008C3DEE"/>
    <w:rsid w:val="008C4F51"/>
    <w:rsid w:val="008C7081"/>
    <w:rsid w:val="008C7FE5"/>
    <w:rsid w:val="008D03BE"/>
    <w:rsid w:val="008D20CB"/>
    <w:rsid w:val="008D3982"/>
    <w:rsid w:val="008D49C5"/>
    <w:rsid w:val="008D4CD1"/>
    <w:rsid w:val="008D5099"/>
    <w:rsid w:val="008D5555"/>
    <w:rsid w:val="008D5C4F"/>
    <w:rsid w:val="008D5EF9"/>
    <w:rsid w:val="008E0561"/>
    <w:rsid w:val="008E093A"/>
    <w:rsid w:val="008E0DFF"/>
    <w:rsid w:val="008E1707"/>
    <w:rsid w:val="008E2CB8"/>
    <w:rsid w:val="008E5813"/>
    <w:rsid w:val="008E7138"/>
    <w:rsid w:val="008E7A42"/>
    <w:rsid w:val="008F17C2"/>
    <w:rsid w:val="008F1E81"/>
    <w:rsid w:val="008F1EC3"/>
    <w:rsid w:val="008F202F"/>
    <w:rsid w:val="008F3E0B"/>
    <w:rsid w:val="008F3F34"/>
    <w:rsid w:val="008F4186"/>
    <w:rsid w:val="008F55E3"/>
    <w:rsid w:val="008F5D09"/>
    <w:rsid w:val="008F6CF4"/>
    <w:rsid w:val="008F730E"/>
    <w:rsid w:val="008F7AD5"/>
    <w:rsid w:val="008F7FC1"/>
    <w:rsid w:val="00900286"/>
    <w:rsid w:val="0090141F"/>
    <w:rsid w:val="00901597"/>
    <w:rsid w:val="00901F66"/>
    <w:rsid w:val="00902E58"/>
    <w:rsid w:val="009032D5"/>
    <w:rsid w:val="00904183"/>
    <w:rsid w:val="009045AB"/>
    <w:rsid w:val="00904853"/>
    <w:rsid w:val="0090490C"/>
    <w:rsid w:val="00904C75"/>
    <w:rsid w:val="00905566"/>
    <w:rsid w:val="009067DC"/>
    <w:rsid w:val="009114B8"/>
    <w:rsid w:val="009125C0"/>
    <w:rsid w:val="00912B42"/>
    <w:rsid w:val="00912BFD"/>
    <w:rsid w:val="0091317B"/>
    <w:rsid w:val="00913585"/>
    <w:rsid w:val="00913FB2"/>
    <w:rsid w:val="00914222"/>
    <w:rsid w:val="009148B8"/>
    <w:rsid w:val="009169D4"/>
    <w:rsid w:val="00916F45"/>
    <w:rsid w:val="00920C16"/>
    <w:rsid w:val="00921658"/>
    <w:rsid w:val="009216F6"/>
    <w:rsid w:val="009221AF"/>
    <w:rsid w:val="00923DF7"/>
    <w:rsid w:val="00923DFF"/>
    <w:rsid w:val="00924BD2"/>
    <w:rsid w:val="0092509B"/>
    <w:rsid w:val="00925D12"/>
    <w:rsid w:val="009303C4"/>
    <w:rsid w:val="00932F03"/>
    <w:rsid w:val="00932F53"/>
    <w:rsid w:val="00933A0F"/>
    <w:rsid w:val="009353B1"/>
    <w:rsid w:val="00937356"/>
    <w:rsid w:val="009376D5"/>
    <w:rsid w:val="0093781B"/>
    <w:rsid w:val="00937F03"/>
    <w:rsid w:val="009406C0"/>
    <w:rsid w:val="00940832"/>
    <w:rsid w:val="00940BAA"/>
    <w:rsid w:val="009424FA"/>
    <w:rsid w:val="009426B5"/>
    <w:rsid w:val="009427AA"/>
    <w:rsid w:val="00942C06"/>
    <w:rsid w:val="0094320E"/>
    <w:rsid w:val="0094685A"/>
    <w:rsid w:val="00947697"/>
    <w:rsid w:val="009479DE"/>
    <w:rsid w:val="0095095B"/>
    <w:rsid w:val="0095193D"/>
    <w:rsid w:val="00951AD8"/>
    <w:rsid w:val="00951EB3"/>
    <w:rsid w:val="0095460A"/>
    <w:rsid w:val="00955B23"/>
    <w:rsid w:val="0095630B"/>
    <w:rsid w:val="009564A9"/>
    <w:rsid w:val="00956F61"/>
    <w:rsid w:val="00960BAD"/>
    <w:rsid w:val="00960E7B"/>
    <w:rsid w:val="009616BD"/>
    <w:rsid w:val="00962514"/>
    <w:rsid w:val="009629DA"/>
    <w:rsid w:val="00962EEB"/>
    <w:rsid w:val="00964512"/>
    <w:rsid w:val="00965EAD"/>
    <w:rsid w:val="009663BA"/>
    <w:rsid w:val="00966459"/>
    <w:rsid w:val="00966FF3"/>
    <w:rsid w:val="00967342"/>
    <w:rsid w:val="0096740A"/>
    <w:rsid w:val="0097075D"/>
    <w:rsid w:val="00970762"/>
    <w:rsid w:val="009714E9"/>
    <w:rsid w:val="009717F6"/>
    <w:rsid w:val="0097517E"/>
    <w:rsid w:val="00975DAF"/>
    <w:rsid w:val="00976B78"/>
    <w:rsid w:val="00976C8A"/>
    <w:rsid w:val="009804EE"/>
    <w:rsid w:val="00980836"/>
    <w:rsid w:val="009808A4"/>
    <w:rsid w:val="0098129B"/>
    <w:rsid w:val="009816A5"/>
    <w:rsid w:val="0098342D"/>
    <w:rsid w:val="00984097"/>
    <w:rsid w:val="0098590D"/>
    <w:rsid w:val="0098619D"/>
    <w:rsid w:val="00986753"/>
    <w:rsid w:val="00990617"/>
    <w:rsid w:val="00990884"/>
    <w:rsid w:val="009909E2"/>
    <w:rsid w:val="00990DBB"/>
    <w:rsid w:val="00991AC7"/>
    <w:rsid w:val="00991F1C"/>
    <w:rsid w:val="009942B0"/>
    <w:rsid w:val="009943E3"/>
    <w:rsid w:val="00994A4F"/>
    <w:rsid w:val="00994C1F"/>
    <w:rsid w:val="00994E53"/>
    <w:rsid w:val="0099546A"/>
    <w:rsid w:val="00995B64"/>
    <w:rsid w:val="00996DFC"/>
    <w:rsid w:val="009A1EED"/>
    <w:rsid w:val="009A2BE1"/>
    <w:rsid w:val="009A2DFA"/>
    <w:rsid w:val="009A3677"/>
    <w:rsid w:val="009A3AC2"/>
    <w:rsid w:val="009A412F"/>
    <w:rsid w:val="009A5991"/>
    <w:rsid w:val="009A650D"/>
    <w:rsid w:val="009A74DE"/>
    <w:rsid w:val="009A7699"/>
    <w:rsid w:val="009B0111"/>
    <w:rsid w:val="009B11D6"/>
    <w:rsid w:val="009B247D"/>
    <w:rsid w:val="009B44CF"/>
    <w:rsid w:val="009B557F"/>
    <w:rsid w:val="009B5675"/>
    <w:rsid w:val="009B5F60"/>
    <w:rsid w:val="009B6017"/>
    <w:rsid w:val="009B64E5"/>
    <w:rsid w:val="009B68A8"/>
    <w:rsid w:val="009C03D7"/>
    <w:rsid w:val="009C1746"/>
    <w:rsid w:val="009C2032"/>
    <w:rsid w:val="009C3510"/>
    <w:rsid w:val="009C3D9F"/>
    <w:rsid w:val="009C3F3B"/>
    <w:rsid w:val="009C47DF"/>
    <w:rsid w:val="009C5D6D"/>
    <w:rsid w:val="009D1249"/>
    <w:rsid w:val="009D1809"/>
    <w:rsid w:val="009D1F84"/>
    <w:rsid w:val="009D2461"/>
    <w:rsid w:val="009D25D9"/>
    <w:rsid w:val="009D27A5"/>
    <w:rsid w:val="009D2B37"/>
    <w:rsid w:val="009D2BC8"/>
    <w:rsid w:val="009D2D9E"/>
    <w:rsid w:val="009D4607"/>
    <w:rsid w:val="009D5062"/>
    <w:rsid w:val="009D528C"/>
    <w:rsid w:val="009D5EFE"/>
    <w:rsid w:val="009D6081"/>
    <w:rsid w:val="009D6C9B"/>
    <w:rsid w:val="009D7497"/>
    <w:rsid w:val="009E078F"/>
    <w:rsid w:val="009E217C"/>
    <w:rsid w:val="009E2969"/>
    <w:rsid w:val="009E2D71"/>
    <w:rsid w:val="009E42BB"/>
    <w:rsid w:val="009E4C07"/>
    <w:rsid w:val="009E52F1"/>
    <w:rsid w:val="009E5A99"/>
    <w:rsid w:val="009E66D2"/>
    <w:rsid w:val="009E7125"/>
    <w:rsid w:val="009E7FB4"/>
    <w:rsid w:val="009F0367"/>
    <w:rsid w:val="009F0F44"/>
    <w:rsid w:val="009F140E"/>
    <w:rsid w:val="009F3753"/>
    <w:rsid w:val="009F3DDA"/>
    <w:rsid w:val="009F4926"/>
    <w:rsid w:val="009F4D17"/>
    <w:rsid w:val="009F5249"/>
    <w:rsid w:val="009F5C53"/>
    <w:rsid w:val="009F674C"/>
    <w:rsid w:val="009F75A4"/>
    <w:rsid w:val="00A0033E"/>
    <w:rsid w:val="00A0041E"/>
    <w:rsid w:val="00A0076F"/>
    <w:rsid w:val="00A00847"/>
    <w:rsid w:val="00A014C1"/>
    <w:rsid w:val="00A0158B"/>
    <w:rsid w:val="00A01A7C"/>
    <w:rsid w:val="00A01EF0"/>
    <w:rsid w:val="00A01F39"/>
    <w:rsid w:val="00A0463B"/>
    <w:rsid w:val="00A05BED"/>
    <w:rsid w:val="00A05DF3"/>
    <w:rsid w:val="00A1160B"/>
    <w:rsid w:val="00A11CDF"/>
    <w:rsid w:val="00A122AB"/>
    <w:rsid w:val="00A13907"/>
    <w:rsid w:val="00A13CD7"/>
    <w:rsid w:val="00A145CF"/>
    <w:rsid w:val="00A153F7"/>
    <w:rsid w:val="00A15DE1"/>
    <w:rsid w:val="00A16736"/>
    <w:rsid w:val="00A16FAD"/>
    <w:rsid w:val="00A24320"/>
    <w:rsid w:val="00A248E9"/>
    <w:rsid w:val="00A24F98"/>
    <w:rsid w:val="00A2526F"/>
    <w:rsid w:val="00A269AE"/>
    <w:rsid w:val="00A26C2C"/>
    <w:rsid w:val="00A27E49"/>
    <w:rsid w:val="00A300F8"/>
    <w:rsid w:val="00A31A1A"/>
    <w:rsid w:val="00A325A9"/>
    <w:rsid w:val="00A32892"/>
    <w:rsid w:val="00A3296E"/>
    <w:rsid w:val="00A34565"/>
    <w:rsid w:val="00A366B3"/>
    <w:rsid w:val="00A3675A"/>
    <w:rsid w:val="00A40014"/>
    <w:rsid w:val="00A40298"/>
    <w:rsid w:val="00A42224"/>
    <w:rsid w:val="00A4261E"/>
    <w:rsid w:val="00A4291F"/>
    <w:rsid w:val="00A42984"/>
    <w:rsid w:val="00A4335A"/>
    <w:rsid w:val="00A43571"/>
    <w:rsid w:val="00A4369A"/>
    <w:rsid w:val="00A4370E"/>
    <w:rsid w:val="00A447CB"/>
    <w:rsid w:val="00A45096"/>
    <w:rsid w:val="00A45573"/>
    <w:rsid w:val="00A50DB3"/>
    <w:rsid w:val="00A5117D"/>
    <w:rsid w:val="00A517DC"/>
    <w:rsid w:val="00A529E7"/>
    <w:rsid w:val="00A52CEA"/>
    <w:rsid w:val="00A5423C"/>
    <w:rsid w:val="00A55054"/>
    <w:rsid w:val="00A5516F"/>
    <w:rsid w:val="00A5545C"/>
    <w:rsid w:val="00A55882"/>
    <w:rsid w:val="00A57F98"/>
    <w:rsid w:val="00A613C6"/>
    <w:rsid w:val="00A61F94"/>
    <w:rsid w:val="00A63D1B"/>
    <w:rsid w:val="00A640C6"/>
    <w:rsid w:val="00A645E5"/>
    <w:rsid w:val="00A647D3"/>
    <w:rsid w:val="00A648C8"/>
    <w:rsid w:val="00A65AB3"/>
    <w:rsid w:val="00A65B83"/>
    <w:rsid w:val="00A65F89"/>
    <w:rsid w:val="00A660B5"/>
    <w:rsid w:val="00A6667C"/>
    <w:rsid w:val="00A66860"/>
    <w:rsid w:val="00A674E5"/>
    <w:rsid w:val="00A7048D"/>
    <w:rsid w:val="00A70AFA"/>
    <w:rsid w:val="00A70F5F"/>
    <w:rsid w:val="00A72C55"/>
    <w:rsid w:val="00A72F55"/>
    <w:rsid w:val="00A73611"/>
    <w:rsid w:val="00A74736"/>
    <w:rsid w:val="00A74C3E"/>
    <w:rsid w:val="00A74C64"/>
    <w:rsid w:val="00A75103"/>
    <w:rsid w:val="00A75A2B"/>
    <w:rsid w:val="00A767A8"/>
    <w:rsid w:val="00A77B86"/>
    <w:rsid w:val="00A80129"/>
    <w:rsid w:val="00A84E0A"/>
    <w:rsid w:val="00A851DB"/>
    <w:rsid w:val="00A856BC"/>
    <w:rsid w:val="00A85FE9"/>
    <w:rsid w:val="00A86B59"/>
    <w:rsid w:val="00A86FD5"/>
    <w:rsid w:val="00A879DC"/>
    <w:rsid w:val="00A87B87"/>
    <w:rsid w:val="00A90141"/>
    <w:rsid w:val="00A91C3A"/>
    <w:rsid w:val="00A92284"/>
    <w:rsid w:val="00A92ECE"/>
    <w:rsid w:val="00A92F82"/>
    <w:rsid w:val="00A92F91"/>
    <w:rsid w:val="00A930B7"/>
    <w:rsid w:val="00A944F7"/>
    <w:rsid w:val="00A945F7"/>
    <w:rsid w:val="00A94BCC"/>
    <w:rsid w:val="00A952A9"/>
    <w:rsid w:val="00A952D2"/>
    <w:rsid w:val="00A958E1"/>
    <w:rsid w:val="00AA00B9"/>
    <w:rsid w:val="00AA1649"/>
    <w:rsid w:val="00AA1D25"/>
    <w:rsid w:val="00AA2167"/>
    <w:rsid w:val="00AA237D"/>
    <w:rsid w:val="00AA44B4"/>
    <w:rsid w:val="00AA46A2"/>
    <w:rsid w:val="00AA7CB2"/>
    <w:rsid w:val="00AB1A32"/>
    <w:rsid w:val="00AB2628"/>
    <w:rsid w:val="00AB3BEE"/>
    <w:rsid w:val="00AB4804"/>
    <w:rsid w:val="00AB5BB0"/>
    <w:rsid w:val="00AB6721"/>
    <w:rsid w:val="00AB7AE2"/>
    <w:rsid w:val="00AC0B97"/>
    <w:rsid w:val="00AC1E44"/>
    <w:rsid w:val="00AC33B4"/>
    <w:rsid w:val="00AC3D7D"/>
    <w:rsid w:val="00AC418F"/>
    <w:rsid w:val="00AC4678"/>
    <w:rsid w:val="00AC5834"/>
    <w:rsid w:val="00AD3576"/>
    <w:rsid w:val="00AD3672"/>
    <w:rsid w:val="00AD36AE"/>
    <w:rsid w:val="00AD4DA8"/>
    <w:rsid w:val="00AD639E"/>
    <w:rsid w:val="00AD6533"/>
    <w:rsid w:val="00AD696D"/>
    <w:rsid w:val="00AD6D2E"/>
    <w:rsid w:val="00AD71B4"/>
    <w:rsid w:val="00AD7FCA"/>
    <w:rsid w:val="00AE0455"/>
    <w:rsid w:val="00AE17E1"/>
    <w:rsid w:val="00AE1B65"/>
    <w:rsid w:val="00AE275D"/>
    <w:rsid w:val="00AE2B86"/>
    <w:rsid w:val="00AE3244"/>
    <w:rsid w:val="00AE3AFA"/>
    <w:rsid w:val="00AE3BA3"/>
    <w:rsid w:val="00AE42E7"/>
    <w:rsid w:val="00AE44F4"/>
    <w:rsid w:val="00AE5202"/>
    <w:rsid w:val="00AE56EA"/>
    <w:rsid w:val="00AE59EC"/>
    <w:rsid w:val="00AE7D06"/>
    <w:rsid w:val="00AF0AF6"/>
    <w:rsid w:val="00AF2879"/>
    <w:rsid w:val="00AF2E55"/>
    <w:rsid w:val="00AF49AB"/>
    <w:rsid w:val="00AF63BF"/>
    <w:rsid w:val="00AF76C3"/>
    <w:rsid w:val="00B00DE4"/>
    <w:rsid w:val="00B0132E"/>
    <w:rsid w:val="00B015FE"/>
    <w:rsid w:val="00B018F2"/>
    <w:rsid w:val="00B0207A"/>
    <w:rsid w:val="00B025A0"/>
    <w:rsid w:val="00B06BC0"/>
    <w:rsid w:val="00B06CB6"/>
    <w:rsid w:val="00B07AAF"/>
    <w:rsid w:val="00B10710"/>
    <w:rsid w:val="00B1156A"/>
    <w:rsid w:val="00B115A2"/>
    <w:rsid w:val="00B11AFA"/>
    <w:rsid w:val="00B11DD5"/>
    <w:rsid w:val="00B12041"/>
    <w:rsid w:val="00B12830"/>
    <w:rsid w:val="00B12EFE"/>
    <w:rsid w:val="00B16E37"/>
    <w:rsid w:val="00B179CB"/>
    <w:rsid w:val="00B17BBE"/>
    <w:rsid w:val="00B17DB1"/>
    <w:rsid w:val="00B17E17"/>
    <w:rsid w:val="00B209F3"/>
    <w:rsid w:val="00B22230"/>
    <w:rsid w:val="00B22778"/>
    <w:rsid w:val="00B22DF0"/>
    <w:rsid w:val="00B22FDF"/>
    <w:rsid w:val="00B244EC"/>
    <w:rsid w:val="00B24BB9"/>
    <w:rsid w:val="00B25458"/>
    <w:rsid w:val="00B26C32"/>
    <w:rsid w:val="00B26CA9"/>
    <w:rsid w:val="00B30B5E"/>
    <w:rsid w:val="00B31132"/>
    <w:rsid w:val="00B31CD2"/>
    <w:rsid w:val="00B33C7F"/>
    <w:rsid w:val="00B35912"/>
    <w:rsid w:val="00B370B7"/>
    <w:rsid w:val="00B40A28"/>
    <w:rsid w:val="00B42C01"/>
    <w:rsid w:val="00B45EAF"/>
    <w:rsid w:val="00B4644D"/>
    <w:rsid w:val="00B46C19"/>
    <w:rsid w:val="00B46F3C"/>
    <w:rsid w:val="00B478DE"/>
    <w:rsid w:val="00B47C3B"/>
    <w:rsid w:val="00B516AF"/>
    <w:rsid w:val="00B51968"/>
    <w:rsid w:val="00B51E7D"/>
    <w:rsid w:val="00B52D59"/>
    <w:rsid w:val="00B52F68"/>
    <w:rsid w:val="00B54B09"/>
    <w:rsid w:val="00B572BC"/>
    <w:rsid w:val="00B574F3"/>
    <w:rsid w:val="00B57B57"/>
    <w:rsid w:val="00B60380"/>
    <w:rsid w:val="00B60F15"/>
    <w:rsid w:val="00B614B1"/>
    <w:rsid w:val="00B62B0C"/>
    <w:rsid w:val="00B64B7C"/>
    <w:rsid w:val="00B64DF2"/>
    <w:rsid w:val="00B6556B"/>
    <w:rsid w:val="00B65A01"/>
    <w:rsid w:val="00B66A46"/>
    <w:rsid w:val="00B66CF4"/>
    <w:rsid w:val="00B66EC4"/>
    <w:rsid w:val="00B716DC"/>
    <w:rsid w:val="00B721A6"/>
    <w:rsid w:val="00B72DB0"/>
    <w:rsid w:val="00B74C3F"/>
    <w:rsid w:val="00B7698C"/>
    <w:rsid w:val="00B770B7"/>
    <w:rsid w:val="00B850B1"/>
    <w:rsid w:val="00B858CF"/>
    <w:rsid w:val="00B86445"/>
    <w:rsid w:val="00B86AEC"/>
    <w:rsid w:val="00B9020C"/>
    <w:rsid w:val="00B9072F"/>
    <w:rsid w:val="00B924B6"/>
    <w:rsid w:val="00B9434A"/>
    <w:rsid w:val="00B948D4"/>
    <w:rsid w:val="00B95FFA"/>
    <w:rsid w:val="00B9676B"/>
    <w:rsid w:val="00B96EF0"/>
    <w:rsid w:val="00B97021"/>
    <w:rsid w:val="00BA0557"/>
    <w:rsid w:val="00BA0F24"/>
    <w:rsid w:val="00BA11CB"/>
    <w:rsid w:val="00BA1C1B"/>
    <w:rsid w:val="00BA2715"/>
    <w:rsid w:val="00BA2A4B"/>
    <w:rsid w:val="00BA35F3"/>
    <w:rsid w:val="00BA43EF"/>
    <w:rsid w:val="00BA4EBD"/>
    <w:rsid w:val="00BA5C24"/>
    <w:rsid w:val="00BA5CE2"/>
    <w:rsid w:val="00BA5F82"/>
    <w:rsid w:val="00BA6B80"/>
    <w:rsid w:val="00BA7881"/>
    <w:rsid w:val="00BB08BA"/>
    <w:rsid w:val="00BB25C0"/>
    <w:rsid w:val="00BB27EF"/>
    <w:rsid w:val="00BB2B4B"/>
    <w:rsid w:val="00BB59FF"/>
    <w:rsid w:val="00BB5BB0"/>
    <w:rsid w:val="00BB6C2F"/>
    <w:rsid w:val="00BB7886"/>
    <w:rsid w:val="00BC10DB"/>
    <w:rsid w:val="00BC31CE"/>
    <w:rsid w:val="00BC3329"/>
    <w:rsid w:val="00BC3F82"/>
    <w:rsid w:val="00BC497C"/>
    <w:rsid w:val="00BC52E2"/>
    <w:rsid w:val="00BC537D"/>
    <w:rsid w:val="00BC538C"/>
    <w:rsid w:val="00BC67FD"/>
    <w:rsid w:val="00BD1FA6"/>
    <w:rsid w:val="00BD33B7"/>
    <w:rsid w:val="00BD33D6"/>
    <w:rsid w:val="00BD3408"/>
    <w:rsid w:val="00BD49FD"/>
    <w:rsid w:val="00BD4AE0"/>
    <w:rsid w:val="00BD586E"/>
    <w:rsid w:val="00BD6A9B"/>
    <w:rsid w:val="00BD6CF8"/>
    <w:rsid w:val="00BD70B9"/>
    <w:rsid w:val="00BD7566"/>
    <w:rsid w:val="00BD7832"/>
    <w:rsid w:val="00BD7BAE"/>
    <w:rsid w:val="00BE03E9"/>
    <w:rsid w:val="00BE05C6"/>
    <w:rsid w:val="00BE0CDF"/>
    <w:rsid w:val="00BE135A"/>
    <w:rsid w:val="00BE14F1"/>
    <w:rsid w:val="00BE170E"/>
    <w:rsid w:val="00BE1CE4"/>
    <w:rsid w:val="00BE1D32"/>
    <w:rsid w:val="00BE224E"/>
    <w:rsid w:val="00BE2F9C"/>
    <w:rsid w:val="00BE32E6"/>
    <w:rsid w:val="00BE6046"/>
    <w:rsid w:val="00BE6346"/>
    <w:rsid w:val="00BE74BB"/>
    <w:rsid w:val="00BE76F0"/>
    <w:rsid w:val="00BF00B9"/>
    <w:rsid w:val="00BF12E1"/>
    <w:rsid w:val="00BF1BE1"/>
    <w:rsid w:val="00BF237F"/>
    <w:rsid w:val="00BF266D"/>
    <w:rsid w:val="00BF2C95"/>
    <w:rsid w:val="00BF31A6"/>
    <w:rsid w:val="00BF369D"/>
    <w:rsid w:val="00BF4D94"/>
    <w:rsid w:val="00BF5000"/>
    <w:rsid w:val="00BF56A1"/>
    <w:rsid w:val="00BF5723"/>
    <w:rsid w:val="00BF7140"/>
    <w:rsid w:val="00BF7526"/>
    <w:rsid w:val="00BF7940"/>
    <w:rsid w:val="00C0103F"/>
    <w:rsid w:val="00C0150F"/>
    <w:rsid w:val="00C046BC"/>
    <w:rsid w:val="00C05968"/>
    <w:rsid w:val="00C05DCF"/>
    <w:rsid w:val="00C061F5"/>
    <w:rsid w:val="00C10378"/>
    <w:rsid w:val="00C105A0"/>
    <w:rsid w:val="00C118DE"/>
    <w:rsid w:val="00C120C5"/>
    <w:rsid w:val="00C121AF"/>
    <w:rsid w:val="00C12345"/>
    <w:rsid w:val="00C12A08"/>
    <w:rsid w:val="00C15833"/>
    <w:rsid w:val="00C15E2C"/>
    <w:rsid w:val="00C172BF"/>
    <w:rsid w:val="00C2244D"/>
    <w:rsid w:val="00C2264C"/>
    <w:rsid w:val="00C22B92"/>
    <w:rsid w:val="00C23941"/>
    <w:rsid w:val="00C23A57"/>
    <w:rsid w:val="00C2507D"/>
    <w:rsid w:val="00C250B2"/>
    <w:rsid w:val="00C259ED"/>
    <w:rsid w:val="00C27B9F"/>
    <w:rsid w:val="00C27C33"/>
    <w:rsid w:val="00C27CD9"/>
    <w:rsid w:val="00C31E8E"/>
    <w:rsid w:val="00C322D8"/>
    <w:rsid w:val="00C33B3A"/>
    <w:rsid w:val="00C33FDA"/>
    <w:rsid w:val="00C35121"/>
    <w:rsid w:val="00C36EC4"/>
    <w:rsid w:val="00C40309"/>
    <w:rsid w:val="00C41030"/>
    <w:rsid w:val="00C41520"/>
    <w:rsid w:val="00C4299A"/>
    <w:rsid w:val="00C44D99"/>
    <w:rsid w:val="00C4688F"/>
    <w:rsid w:val="00C47057"/>
    <w:rsid w:val="00C47E6E"/>
    <w:rsid w:val="00C50F0A"/>
    <w:rsid w:val="00C51935"/>
    <w:rsid w:val="00C51B22"/>
    <w:rsid w:val="00C52977"/>
    <w:rsid w:val="00C5406F"/>
    <w:rsid w:val="00C5495A"/>
    <w:rsid w:val="00C5578F"/>
    <w:rsid w:val="00C5670F"/>
    <w:rsid w:val="00C56A2A"/>
    <w:rsid w:val="00C57E47"/>
    <w:rsid w:val="00C609E4"/>
    <w:rsid w:val="00C60C0D"/>
    <w:rsid w:val="00C610C1"/>
    <w:rsid w:val="00C6138D"/>
    <w:rsid w:val="00C61782"/>
    <w:rsid w:val="00C623EF"/>
    <w:rsid w:val="00C62402"/>
    <w:rsid w:val="00C6404B"/>
    <w:rsid w:val="00C6423B"/>
    <w:rsid w:val="00C65001"/>
    <w:rsid w:val="00C65F8C"/>
    <w:rsid w:val="00C67320"/>
    <w:rsid w:val="00C67D9E"/>
    <w:rsid w:val="00C71D6A"/>
    <w:rsid w:val="00C721EA"/>
    <w:rsid w:val="00C73622"/>
    <w:rsid w:val="00C73BAB"/>
    <w:rsid w:val="00C73C51"/>
    <w:rsid w:val="00C74910"/>
    <w:rsid w:val="00C7491D"/>
    <w:rsid w:val="00C74941"/>
    <w:rsid w:val="00C75245"/>
    <w:rsid w:val="00C75A25"/>
    <w:rsid w:val="00C76640"/>
    <w:rsid w:val="00C77489"/>
    <w:rsid w:val="00C77664"/>
    <w:rsid w:val="00C77AEC"/>
    <w:rsid w:val="00C8207C"/>
    <w:rsid w:val="00C827C6"/>
    <w:rsid w:val="00C827DA"/>
    <w:rsid w:val="00C82C04"/>
    <w:rsid w:val="00C830DA"/>
    <w:rsid w:val="00C83976"/>
    <w:rsid w:val="00C83D74"/>
    <w:rsid w:val="00C852FE"/>
    <w:rsid w:val="00C85A6C"/>
    <w:rsid w:val="00C86CE6"/>
    <w:rsid w:val="00C90280"/>
    <w:rsid w:val="00C918F8"/>
    <w:rsid w:val="00C94BF5"/>
    <w:rsid w:val="00C95EB4"/>
    <w:rsid w:val="00C974FF"/>
    <w:rsid w:val="00C97781"/>
    <w:rsid w:val="00CA0F76"/>
    <w:rsid w:val="00CA24F4"/>
    <w:rsid w:val="00CA37CE"/>
    <w:rsid w:val="00CA4EBA"/>
    <w:rsid w:val="00CA4FF7"/>
    <w:rsid w:val="00CA62BF"/>
    <w:rsid w:val="00CA677E"/>
    <w:rsid w:val="00CA6F28"/>
    <w:rsid w:val="00CA77CD"/>
    <w:rsid w:val="00CA7EF6"/>
    <w:rsid w:val="00CB26EC"/>
    <w:rsid w:val="00CB4026"/>
    <w:rsid w:val="00CB4316"/>
    <w:rsid w:val="00CB5B51"/>
    <w:rsid w:val="00CB69A9"/>
    <w:rsid w:val="00CC05CC"/>
    <w:rsid w:val="00CC0A6F"/>
    <w:rsid w:val="00CC0D65"/>
    <w:rsid w:val="00CC1215"/>
    <w:rsid w:val="00CC19F8"/>
    <w:rsid w:val="00CC1CC6"/>
    <w:rsid w:val="00CC2CC1"/>
    <w:rsid w:val="00CC355E"/>
    <w:rsid w:val="00CC3DAD"/>
    <w:rsid w:val="00CC44C7"/>
    <w:rsid w:val="00CC4FDD"/>
    <w:rsid w:val="00CC5BB9"/>
    <w:rsid w:val="00CC5FA1"/>
    <w:rsid w:val="00CC712E"/>
    <w:rsid w:val="00CC76D5"/>
    <w:rsid w:val="00CC7983"/>
    <w:rsid w:val="00CD12E6"/>
    <w:rsid w:val="00CD346C"/>
    <w:rsid w:val="00CD3BDE"/>
    <w:rsid w:val="00CD47D1"/>
    <w:rsid w:val="00CD6306"/>
    <w:rsid w:val="00CD7048"/>
    <w:rsid w:val="00CD7685"/>
    <w:rsid w:val="00CE0FC4"/>
    <w:rsid w:val="00CE1ED6"/>
    <w:rsid w:val="00CE2992"/>
    <w:rsid w:val="00CE2AA8"/>
    <w:rsid w:val="00CE2C36"/>
    <w:rsid w:val="00CE2E3B"/>
    <w:rsid w:val="00CE4A1E"/>
    <w:rsid w:val="00CE4D0F"/>
    <w:rsid w:val="00CE5D8B"/>
    <w:rsid w:val="00CE5E2B"/>
    <w:rsid w:val="00CE77EF"/>
    <w:rsid w:val="00CE7DAC"/>
    <w:rsid w:val="00CF0868"/>
    <w:rsid w:val="00CF0990"/>
    <w:rsid w:val="00CF1478"/>
    <w:rsid w:val="00CF15E2"/>
    <w:rsid w:val="00CF19E7"/>
    <w:rsid w:val="00CF2F22"/>
    <w:rsid w:val="00CF3263"/>
    <w:rsid w:val="00CF3407"/>
    <w:rsid w:val="00CF500B"/>
    <w:rsid w:val="00CF57B6"/>
    <w:rsid w:val="00CF59B5"/>
    <w:rsid w:val="00CF6F25"/>
    <w:rsid w:val="00CF7A50"/>
    <w:rsid w:val="00D002C5"/>
    <w:rsid w:val="00D00FF6"/>
    <w:rsid w:val="00D0112D"/>
    <w:rsid w:val="00D024E6"/>
    <w:rsid w:val="00D02834"/>
    <w:rsid w:val="00D0339A"/>
    <w:rsid w:val="00D0390E"/>
    <w:rsid w:val="00D03C58"/>
    <w:rsid w:val="00D06058"/>
    <w:rsid w:val="00D06B65"/>
    <w:rsid w:val="00D06B94"/>
    <w:rsid w:val="00D07156"/>
    <w:rsid w:val="00D07609"/>
    <w:rsid w:val="00D10739"/>
    <w:rsid w:val="00D10D71"/>
    <w:rsid w:val="00D118F7"/>
    <w:rsid w:val="00D12318"/>
    <w:rsid w:val="00D12919"/>
    <w:rsid w:val="00D13561"/>
    <w:rsid w:val="00D1514F"/>
    <w:rsid w:val="00D152D2"/>
    <w:rsid w:val="00D15C38"/>
    <w:rsid w:val="00D167D0"/>
    <w:rsid w:val="00D178A7"/>
    <w:rsid w:val="00D17D9C"/>
    <w:rsid w:val="00D201AE"/>
    <w:rsid w:val="00D20DD3"/>
    <w:rsid w:val="00D21C9B"/>
    <w:rsid w:val="00D235BB"/>
    <w:rsid w:val="00D2361A"/>
    <w:rsid w:val="00D24411"/>
    <w:rsid w:val="00D246B7"/>
    <w:rsid w:val="00D251E0"/>
    <w:rsid w:val="00D25344"/>
    <w:rsid w:val="00D25980"/>
    <w:rsid w:val="00D25B4B"/>
    <w:rsid w:val="00D26207"/>
    <w:rsid w:val="00D30158"/>
    <w:rsid w:val="00D305D7"/>
    <w:rsid w:val="00D30924"/>
    <w:rsid w:val="00D314D6"/>
    <w:rsid w:val="00D3374B"/>
    <w:rsid w:val="00D34382"/>
    <w:rsid w:val="00D34DC4"/>
    <w:rsid w:val="00D34F6A"/>
    <w:rsid w:val="00D3516F"/>
    <w:rsid w:val="00D35738"/>
    <w:rsid w:val="00D361BC"/>
    <w:rsid w:val="00D3654A"/>
    <w:rsid w:val="00D37335"/>
    <w:rsid w:val="00D378E4"/>
    <w:rsid w:val="00D37F0A"/>
    <w:rsid w:val="00D40780"/>
    <w:rsid w:val="00D40A7E"/>
    <w:rsid w:val="00D41951"/>
    <w:rsid w:val="00D42784"/>
    <w:rsid w:val="00D42947"/>
    <w:rsid w:val="00D4354A"/>
    <w:rsid w:val="00D446A8"/>
    <w:rsid w:val="00D461D0"/>
    <w:rsid w:val="00D464F4"/>
    <w:rsid w:val="00D472B5"/>
    <w:rsid w:val="00D50C76"/>
    <w:rsid w:val="00D52B9A"/>
    <w:rsid w:val="00D544D1"/>
    <w:rsid w:val="00D553E2"/>
    <w:rsid w:val="00D55B38"/>
    <w:rsid w:val="00D55F96"/>
    <w:rsid w:val="00D55FD8"/>
    <w:rsid w:val="00D5621B"/>
    <w:rsid w:val="00D5691C"/>
    <w:rsid w:val="00D57125"/>
    <w:rsid w:val="00D57408"/>
    <w:rsid w:val="00D5773F"/>
    <w:rsid w:val="00D57E80"/>
    <w:rsid w:val="00D62485"/>
    <w:rsid w:val="00D624A3"/>
    <w:rsid w:val="00D62612"/>
    <w:rsid w:val="00D62F55"/>
    <w:rsid w:val="00D64218"/>
    <w:rsid w:val="00D6485B"/>
    <w:rsid w:val="00D650A7"/>
    <w:rsid w:val="00D65260"/>
    <w:rsid w:val="00D70119"/>
    <w:rsid w:val="00D732FC"/>
    <w:rsid w:val="00D76CD4"/>
    <w:rsid w:val="00D772E0"/>
    <w:rsid w:val="00D77587"/>
    <w:rsid w:val="00D775D1"/>
    <w:rsid w:val="00D77A98"/>
    <w:rsid w:val="00D80621"/>
    <w:rsid w:val="00D807FA"/>
    <w:rsid w:val="00D80A72"/>
    <w:rsid w:val="00D81E88"/>
    <w:rsid w:val="00D82A89"/>
    <w:rsid w:val="00D82E42"/>
    <w:rsid w:val="00D83593"/>
    <w:rsid w:val="00D836DA"/>
    <w:rsid w:val="00D83943"/>
    <w:rsid w:val="00D874D1"/>
    <w:rsid w:val="00D91986"/>
    <w:rsid w:val="00D9268F"/>
    <w:rsid w:val="00D93710"/>
    <w:rsid w:val="00D938ED"/>
    <w:rsid w:val="00D95C22"/>
    <w:rsid w:val="00D962A6"/>
    <w:rsid w:val="00DA01F3"/>
    <w:rsid w:val="00DA1263"/>
    <w:rsid w:val="00DA3079"/>
    <w:rsid w:val="00DA3699"/>
    <w:rsid w:val="00DA3AD5"/>
    <w:rsid w:val="00DA3B85"/>
    <w:rsid w:val="00DA3D8D"/>
    <w:rsid w:val="00DA5590"/>
    <w:rsid w:val="00DA59B3"/>
    <w:rsid w:val="00DA6409"/>
    <w:rsid w:val="00DB0205"/>
    <w:rsid w:val="00DB1E82"/>
    <w:rsid w:val="00DB3248"/>
    <w:rsid w:val="00DB3379"/>
    <w:rsid w:val="00DB3550"/>
    <w:rsid w:val="00DB3A79"/>
    <w:rsid w:val="00DB3ACD"/>
    <w:rsid w:val="00DB4BB7"/>
    <w:rsid w:val="00DB4EE4"/>
    <w:rsid w:val="00DB5902"/>
    <w:rsid w:val="00DB74EC"/>
    <w:rsid w:val="00DC108D"/>
    <w:rsid w:val="00DC213C"/>
    <w:rsid w:val="00DC26B8"/>
    <w:rsid w:val="00DC2C69"/>
    <w:rsid w:val="00DC3088"/>
    <w:rsid w:val="00DC3204"/>
    <w:rsid w:val="00DC3F9C"/>
    <w:rsid w:val="00DC4093"/>
    <w:rsid w:val="00DC4096"/>
    <w:rsid w:val="00DC5424"/>
    <w:rsid w:val="00DC6237"/>
    <w:rsid w:val="00DC7885"/>
    <w:rsid w:val="00DC79F2"/>
    <w:rsid w:val="00DD0F39"/>
    <w:rsid w:val="00DD1DCA"/>
    <w:rsid w:val="00DD241B"/>
    <w:rsid w:val="00DD2B6E"/>
    <w:rsid w:val="00DD32DB"/>
    <w:rsid w:val="00DD38F2"/>
    <w:rsid w:val="00DD3A71"/>
    <w:rsid w:val="00DD3B34"/>
    <w:rsid w:val="00DD3E75"/>
    <w:rsid w:val="00DD4564"/>
    <w:rsid w:val="00DD49E8"/>
    <w:rsid w:val="00DD5BEE"/>
    <w:rsid w:val="00DE018A"/>
    <w:rsid w:val="00DE06C0"/>
    <w:rsid w:val="00DE1DFD"/>
    <w:rsid w:val="00DE2705"/>
    <w:rsid w:val="00DE4D57"/>
    <w:rsid w:val="00DE4D8A"/>
    <w:rsid w:val="00DE50F6"/>
    <w:rsid w:val="00DE61C2"/>
    <w:rsid w:val="00DE6368"/>
    <w:rsid w:val="00DE7401"/>
    <w:rsid w:val="00DF12A1"/>
    <w:rsid w:val="00DF2153"/>
    <w:rsid w:val="00DF2C9D"/>
    <w:rsid w:val="00DF3441"/>
    <w:rsid w:val="00DF51C2"/>
    <w:rsid w:val="00DF589A"/>
    <w:rsid w:val="00DF688B"/>
    <w:rsid w:val="00DF71E6"/>
    <w:rsid w:val="00DF7585"/>
    <w:rsid w:val="00DF7D36"/>
    <w:rsid w:val="00E000B9"/>
    <w:rsid w:val="00E01299"/>
    <w:rsid w:val="00E01EA0"/>
    <w:rsid w:val="00E01F93"/>
    <w:rsid w:val="00E01FAE"/>
    <w:rsid w:val="00E045A1"/>
    <w:rsid w:val="00E05969"/>
    <w:rsid w:val="00E059A7"/>
    <w:rsid w:val="00E05C1A"/>
    <w:rsid w:val="00E06717"/>
    <w:rsid w:val="00E1044B"/>
    <w:rsid w:val="00E10DDC"/>
    <w:rsid w:val="00E10F6F"/>
    <w:rsid w:val="00E11337"/>
    <w:rsid w:val="00E116BF"/>
    <w:rsid w:val="00E14509"/>
    <w:rsid w:val="00E14BAA"/>
    <w:rsid w:val="00E15CDC"/>
    <w:rsid w:val="00E16607"/>
    <w:rsid w:val="00E169A6"/>
    <w:rsid w:val="00E177BF"/>
    <w:rsid w:val="00E17A3B"/>
    <w:rsid w:val="00E200CC"/>
    <w:rsid w:val="00E20717"/>
    <w:rsid w:val="00E2229D"/>
    <w:rsid w:val="00E23CD4"/>
    <w:rsid w:val="00E245D9"/>
    <w:rsid w:val="00E24DFC"/>
    <w:rsid w:val="00E25919"/>
    <w:rsid w:val="00E26302"/>
    <w:rsid w:val="00E26731"/>
    <w:rsid w:val="00E26A11"/>
    <w:rsid w:val="00E26BDD"/>
    <w:rsid w:val="00E30CDC"/>
    <w:rsid w:val="00E30D96"/>
    <w:rsid w:val="00E31B50"/>
    <w:rsid w:val="00E33C25"/>
    <w:rsid w:val="00E3588F"/>
    <w:rsid w:val="00E35CB6"/>
    <w:rsid w:val="00E37723"/>
    <w:rsid w:val="00E4265B"/>
    <w:rsid w:val="00E44A8E"/>
    <w:rsid w:val="00E45045"/>
    <w:rsid w:val="00E45ECE"/>
    <w:rsid w:val="00E4728C"/>
    <w:rsid w:val="00E5046E"/>
    <w:rsid w:val="00E50E5F"/>
    <w:rsid w:val="00E510DF"/>
    <w:rsid w:val="00E516E8"/>
    <w:rsid w:val="00E51BFA"/>
    <w:rsid w:val="00E5270D"/>
    <w:rsid w:val="00E52906"/>
    <w:rsid w:val="00E53786"/>
    <w:rsid w:val="00E539FA"/>
    <w:rsid w:val="00E53F3C"/>
    <w:rsid w:val="00E5518A"/>
    <w:rsid w:val="00E56ACF"/>
    <w:rsid w:val="00E5799A"/>
    <w:rsid w:val="00E60126"/>
    <w:rsid w:val="00E60B69"/>
    <w:rsid w:val="00E6231C"/>
    <w:rsid w:val="00E6356B"/>
    <w:rsid w:val="00E6478F"/>
    <w:rsid w:val="00E6587C"/>
    <w:rsid w:val="00E65BDF"/>
    <w:rsid w:val="00E66B07"/>
    <w:rsid w:val="00E671A9"/>
    <w:rsid w:val="00E6784C"/>
    <w:rsid w:val="00E678BC"/>
    <w:rsid w:val="00E7016E"/>
    <w:rsid w:val="00E711C4"/>
    <w:rsid w:val="00E71CD4"/>
    <w:rsid w:val="00E72CDF"/>
    <w:rsid w:val="00E74B32"/>
    <w:rsid w:val="00E75161"/>
    <w:rsid w:val="00E76520"/>
    <w:rsid w:val="00E77360"/>
    <w:rsid w:val="00E77B8C"/>
    <w:rsid w:val="00E817C0"/>
    <w:rsid w:val="00E82A91"/>
    <w:rsid w:val="00E82EFA"/>
    <w:rsid w:val="00E8360B"/>
    <w:rsid w:val="00E83BCD"/>
    <w:rsid w:val="00E83CA5"/>
    <w:rsid w:val="00E84A9C"/>
    <w:rsid w:val="00E8504A"/>
    <w:rsid w:val="00E854CF"/>
    <w:rsid w:val="00E86477"/>
    <w:rsid w:val="00E905FE"/>
    <w:rsid w:val="00E919D7"/>
    <w:rsid w:val="00E939E2"/>
    <w:rsid w:val="00E943D8"/>
    <w:rsid w:val="00E96006"/>
    <w:rsid w:val="00E9609A"/>
    <w:rsid w:val="00E96631"/>
    <w:rsid w:val="00E97A4A"/>
    <w:rsid w:val="00EA02B8"/>
    <w:rsid w:val="00EA0414"/>
    <w:rsid w:val="00EA0740"/>
    <w:rsid w:val="00EA0883"/>
    <w:rsid w:val="00EA0A8F"/>
    <w:rsid w:val="00EA2C59"/>
    <w:rsid w:val="00EA34AD"/>
    <w:rsid w:val="00EA3A1D"/>
    <w:rsid w:val="00EA4913"/>
    <w:rsid w:val="00EA4C23"/>
    <w:rsid w:val="00EA5D31"/>
    <w:rsid w:val="00EA6AFC"/>
    <w:rsid w:val="00EB29FE"/>
    <w:rsid w:val="00EB2B6F"/>
    <w:rsid w:val="00EB38A7"/>
    <w:rsid w:val="00EB55D8"/>
    <w:rsid w:val="00EB645A"/>
    <w:rsid w:val="00EC0A23"/>
    <w:rsid w:val="00EC12E4"/>
    <w:rsid w:val="00EC1F9A"/>
    <w:rsid w:val="00EC39C5"/>
    <w:rsid w:val="00EC3FF0"/>
    <w:rsid w:val="00EC4B57"/>
    <w:rsid w:val="00EC5CDD"/>
    <w:rsid w:val="00ED0026"/>
    <w:rsid w:val="00ED1B2C"/>
    <w:rsid w:val="00ED22A8"/>
    <w:rsid w:val="00ED272F"/>
    <w:rsid w:val="00ED28A8"/>
    <w:rsid w:val="00ED2E17"/>
    <w:rsid w:val="00ED30D0"/>
    <w:rsid w:val="00ED327E"/>
    <w:rsid w:val="00ED498D"/>
    <w:rsid w:val="00ED5DF7"/>
    <w:rsid w:val="00ED61F4"/>
    <w:rsid w:val="00ED725B"/>
    <w:rsid w:val="00EE0203"/>
    <w:rsid w:val="00EE08CB"/>
    <w:rsid w:val="00EE28A7"/>
    <w:rsid w:val="00EE48BA"/>
    <w:rsid w:val="00EE4BDB"/>
    <w:rsid w:val="00EE4FAD"/>
    <w:rsid w:val="00EE66F2"/>
    <w:rsid w:val="00EF1105"/>
    <w:rsid w:val="00EF2362"/>
    <w:rsid w:val="00EF2C8B"/>
    <w:rsid w:val="00EF2DDE"/>
    <w:rsid w:val="00EF336C"/>
    <w:rsid w:val="00EF37D8"/>
    <w:rsid w:val="00EF4B56"/>
    <w:rsid w:val="00EF63CB"/>
    <w:rsid w:val="00EF71D1"/>
    <w:rsid w:val="00EF760B"/>
    <w:rsid w:val="00EF7861"/>
    <w:rsid w:val="00EF787B"/>
    <w:rsid w:val="00EF7ACC"/>
    <w:rsid w:val="00F00730"/>
    <w:rsid w:val="00F008BC"/>
    <w:rsid w:val="00F00D25"/>
    <w:rsid w:val="00F01AEB"/>
    <w:rsid w:val="00F01D26"/>
    <w:rsid w:val="00F02865"/>
    <w:rsid w:val="00F03244"/>
    <w:rsid w:val="00F0420F"/>
    <w:rsid w:val="00F04B89"/>
    <w:rsid w:val="00F05726"/>
    <w:rsid w:val="00F05904"/>
    <w:rsid w:val="00F06765"/>
    <w:rsid w:val="00F0772F"/>
    <w:rsid w:val="00F07811"/>
    <w:rsid w:val="00F10626"/>
    <w:rsid w:val="00F10BB2"/>
    <w:rsid w:val="00F116A1"/>
    <w:rsid w:val="00F119F1"/>
    <w:rsid w:val="00F134ED"/>
    <w:rsid w:val="00F14BB3"/>
    <w:rsid w:val="00F1542C"/>
    <w:rsid w:val="00F16CA8"/>
    <w:rsid w:val="00F20CDA"/>
    <w:rsid w:val="00F2170E"/>
    <w:rsid w:val="00F23718"/>
    <w:rsid w:val="00F23F93"/>
    <w:rsid w:val="00F2518F"/>
    <w:rsid w:val="00F26587"/>
    <w:rsid w:val="00F267AC"/>
    <w:rsid w:val="00F26CA8"/>
    <w:rsid w:val="00F27E07"/>
    <w:rsid w:val="00F302A6"/>
    <w:rsid w:val="00F3130F"/>
    <w:rsid w:val="00F31549"/>
    <w:rsid w:val="00F33200"/>
    <w:rsid w:val="00F3342D"/>
    <w:rsid w:val="00F33452"/>
    <w:rsid w:val="00F347F2"/>
    <w:rsid w:val="00F35606"/>
    <w:rsid w:val="00F35B52"/>
    <w:rsid w:val="00F367CA"/>
    <w:rsid w:val="00F36A2A"/>
    <w:rsid w:val="00F37623"/>
    <w:rsid w:val="00F37E05"/>
    <w:rsid w:val="00F40AD4"/>
    <w:rsid w:val="00F428A1"/>
    <w:rsid w:val="00F428AA"/>
    <w:rsid w:val="00F43BEB"/>
    <w:rsid w:val="00F43D7C"/>
    <w:rsid w:val="00F458AB"/>
    <w:rsid w:val="00F461AC"/>
    <w:rsid w:val="00F46856"/>
    <w:rsid w:val="00F46AED"/>
    <w:rsid w:val="00F47020"/>
    <w:rsid w:val="00F54AA6"/>
    <w:rsid w:val="00F557BA"/>
    <w:rsid w:val="00F55986"/>
    <w:rsid w:val="00F57269"/>
    <w:rsid w:val="00F577D0"/>
    <w:rsid w:val="00F60B54"/>
    <w:rsid w:val="00F6134A"/>
    <w:rsid w:val="00F615C2"/>
    <w:rsid w:val="00F65369"/>
    <w:rsid w:val="00F66E7C"/>
    <w:rsid w:val="00F67156"/>
    <w:rsid w:val="00F6751F"/>
    <w:rsid w:val="00F67A4E"/>
    <w:rsid w:val="00F70602"/>
    <w:rsid w:val="00F720CF"/>
    <w:rsid w:val="00F74565"/>
    <w:rsid w:val="00F75001"/>
    <w:rsid w:val="00F7575E"/>
    <w:rsid w:val="00F762F8"/>
    <w:rsid w:val="00F7643B"/>
    <w:rsid w:val="00F76E9C"/>
    <w:rsid w:val="00F77D40"/>
    <w:rsid w:val="00F802D3"/>
    <w:rsid w:val="00F806F6"/>
    <w:rsid w:val="00F8107D"/>
    <w:rsid w:val="00F81F21"/>
    <w:rsid w:val="00F82029"/>
    <w:rsid w:val="00F822C1"/>
    <w:rsid w:val="00F83EF4"/>
    <w:rsid w:val="00F848E4"/>
    <w:rsid w:val="00F84B67"/>
    <w:rsid w:val="00F85222"/>
    <w:rsid w:val="00F8593B"/>
    <w:rsid w:val="00F87148"/>
    <w:rsid w:val="00F87C81"/>
    <w:rsid w:val="00F87F76"/>
    <w:rsid w:val="00F92297"/>
    <w:rsid w:val="00F922BD"/>
    <w:rsid w:val="00F9280B"/>
    <w:rsid w:val="00F92CF7"/>
    <w:rsid w:val="00F934B6"/>
    <w:rsid w:val="00F93899"/>
    <w:rsid w:val="00F93C5E"/>
    <w:rsid w:val="00F94133"/>
    <w:rsid w:val="00F94D44"/>
    <w:rsid w:val="00F9534C"/>
    <w:rsid w:val="00F9796A"/>
    <w:rsid w:val="00FA0421"/>
    <w:rsid w:val="00FA05F3"/>
    <w:rsid w:val="00FA1211"/>
    <w:rsid w:val="00FA4192"/>
    <w:rsid w:val="00FA4D46"/>
    <w:rsid w:val="00FA4EC7"/>
    <w:rsid w:val="00FA559D"/>
    <w:rsid w:val="00FA5CD7"/>
    <w:rsid w:val="00FA5D83"/>
    <w:rsid w:val="00FA69DC"/>
    <w:rsid w:val="00FB0282"/>
    <w:rsid w:val="00FB0DE5"/>
    <w:rsid w:val="00FB180F"/>
    <w:rsid w:val="00FB1E4C"/>
    <w:rsid w:val="00FB2101"/>
    <w:rsid w:val="00FB3243"/>
    <w:rsid w:val="00FB4844"/>
    <w:rsid w:val="00FB4871"/>
    <w:rsid w:val="00FB55FC"/>
    <w:rsid w:val="00FB5B8E"/>
    <w:rsid w:val="00FC00E0"/>
    <w:rsid w:val="00FC08F1"/>
    <w:rsid w:val="00FC14CB"/>
    <w:rsid w:val="00FC2697"/>
    <w:rsid w:val="00FC42D8"/>
    <w:rsid w:val="00FC44BE"/>
    <w:rsid w:val="00FC465A"/>
    <w:rsid w:val="00FC5258"/>
    <w:rsid w:val="00FC6F5C"/>
    <w:rsid w:val="00FD047C"/>
    <w:rsid w:val="00FD0963"/>
    <w:rsid w:val="00FD0B11"/>
    <w:rsid w:val="00FD15B9"/>
    <w:rsid w:val="00FD1C48"/>
    <w:rsid w:val="00FD211F"/>
    <w:rsid w:val="00FD2930"/>
    <w:rsid w:val="00FD2E1F"/>
    <w:rsid w:val="00FD35CC"/>
    <w:rsid w:val="00FD3BA9"/>
    <w:rsid w:val="00FD3D63"/>
    <w:rsid w:val="00FD43D3"/>
    <w:rsid w:val="00FD45A2"/>
    <w:rsid w:val="00FD467B"/>
    <w:rsid w:val="00FD4F4D"/>
    <w:rsid w:val="00FD65CB"/>
    <w:rsid w:val="00FD7538"/>
    <w:rsid w:val="00FE0C2F"/>
    <w:rsid w:val="00FE0FFE"/>
    <w:rsid w:val="00FE1267"/>
    <w:rsid w:val="00FE21E0"/>
    <w:rsid w:val="00FE2520"/>
    <w:rsid w:val="00FE2603"/>
    <w:rsid w:val="00FE2A43"/>
    <w:rsid w:val="00FE2D3A"/>
    <w:rsid w:val="00FE3B57"/>
    <w:rsid w:val="00FE3E19"/>
    <w:rsid w:val="00FE71D5"/>
    <w:rsid w:val="00FE7C22"/>
    <w:rsid w:val="00FE7F23"/>
    <w:rsid w:val="00FF148E"/>
    <w:rsid w:val="00FF2780"/>
    <w:rsid w:val="00FF507A"/>
    <w:rsid w:val="00FF50E4"/>
    <w:rsid w:val="00FF522F"/>
    <w:rsid w:val="00FF55B4"/>
    <w:rsid w:val="00FF6B70"/>
    <w:rsid w:val="00FF7166"/>
    <w:rsid w:val="00FF74FB"/>
    <w:rsid w:val="00FF7875"/>
    <w:rsid w:val="00FF7A2A"/>
    <w:rsid w:val="00FF7C10"/>
    <w:rsid w:val="062F6286"/>
    <w:rsid w:val="07BA59C1"/>
    <w:rsid w:val="08774509"/>
    <w:rsid w:val="0916F1F3"/>
    <w:rsid w:val="0929BA27"/>
    <w:rsid w:val="096ADD68"/>
    <w:rsid w:val="09B8602D"/>
    <w:rsid w:val="09C47077"/>
    <w:rsid w:val="13834BE7"/>
    <w:rsid w:val="176D5B61"/>
    <w:rsid w:val="179A7686"/>
    <w:rsid w:val="1ACFC91E"/>
    <w:rsid w:val="1EB62F2B"/>
    <w:rsid w:val="212CFD00"/>
    <w:rsid w:val="25C9E398"/>
    <w:rsid w:val="2734584B"/>
    <w:rsid w:val="29E9EDC0"/>
    <w:rsid w:val="2FC1FD82"/>
    <w:rsid w:val="30530B7A"/>
    <w:rsid w:val="3416F678"/>
    <w:rsid w:val="35DEDB8B"/>
    <w:rsid w:val="37F5B0F6"/>
    <w:rsid w:val="3BD7788A"/>
    <w:rsid w:val="3CD5FFF9"/>
    <w:rsid w:val="3FB60954"/>
    <w:rsid w:val="41392FEC"/>
    <w:rsid w:val="415E0386"/>
    <w:rsid w:val="42B22147"/>
    <w:rsid w:val="43184C62"/>
    <w:rsid w:val="436ED4F6"/>
    <w:rsid w:val="4403C3D3"/>
    <w:rsid w:val="44244BF7"/>
    <w:rsid w:val="46598E9F"/>
    <w:rsid w:val="472AB164"/>
    <w:rsid w:val="480E494B"/>
    <w:rsid w:val="4A623FFC"/>
    <w:rsid w:val="4C5ADEF6"/>
    <w:rsid w:val="4D51A6D1"/>
    <w:rsid w:val="4FDB2DFD"/>
    <w:rsid w:val="51C11489"/>
    <w:rsid w:val="55BF5879"/>
    <w:rsid w:val="572939B5"/>
    <w:rsid w:val="5D7F1177"/>
    <w:rsid w:val="5DFAF556"/>
    <w:rsid w:val="5F163418"/>
    <w:rsid w:val="663C65CE"/>
    <w:rsid w:val="6B6A3E7F"/>
    <w:rsid w:val="6C5507F8"/>
    <w:rsid w:val="6F1673C0"/>
    <w:rsid w:val="709FD299"/>
    <w:rsid w:val="72EFEF90"/>
    <w:rsid w:val="769C6637"/>
    <w:rsid w:val="77A2F8BF"/>
    <w:rsid w:val="79D95BCD"/>
    <w:rsid w:val="7F69A9A7"/>
    <w:rsid w:val="7FC7C78D"/>
    <w:rsid w:val="7FEA68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D742DB0F-43BC-459C-BB64-B640E79E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6"/>
      </w:numPr>
      <w:spacing w:after="120"/>
    </w:pPr>
  </w:style>
  <w:style w:type="paragraph" w:styleId="ListBullet2">
    <w:name w:val="List Bullet 2"/>
    <w:basedOn w:val="Normal"/>
    <w:uiPriority w:val="99"/>
    <w:unhideWhenUsed/>
    <w:pPr>
      <w:numPr>
        <w:ilvl w:val="1"/>
        <w:numId w:val="6"/>
      </w:numPr>
    </w:pPr>
  </w:style>
  <w:style w:type="numbering" w:customStyle="1" w:styleId="Attach">
    <w:name w:val="Attach"/>
    <w:basedOn w:val="NoList"/>
    <w:uiPriority w:val="99"/>
    <w:pPr>
      <w:numPr>
        <w:numId w:val="3"/>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8"/>
      </w:numPr>
      <w:spacing w:before="120" w:after="120"/>
    </w:pPr>
  </w:style>
  <w:style w:type="paragraph" w:styleId="ListNumber2">
    <w:name w:val="List Number 2"/>
    <w:basedOn w:val="Normal"/>
    <w:uiPriority w:val="99"/>
    <w:rsid w:val="00FE0C2F"/>
    <w:pPr>
      <w:numPr>
        <w:ilvl w:val="1"/>
        <w:numId w:val="8"/>
      </w:numPr>
      <w:spacing w:after="120"/>
    </w:pPr>
    <w:rPr>
      <w:rFonts w:cs="Segoe UI"/>
    </w:rPr>
  </w:style>
  <w:style w:type="paragraph" w:styleId="ListNumber3">
    <w:name w:val="List Number 3"/>
    <w:basedOn w:val="Normal"/>
    <w:uiPriority w:val="99"/>
    <w:rsid w:val="00FE0C2F"/>
    <w:pPr>
      <w:numPr>
        <w:ilvl w:val="2"/>
        <w:numId w:val="8"/>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 w:type="paragraph" w:styleId="BodyText">
    <w:name w:val="Body Text"/>
    <w:basedOn w:val="Normal"/>
    <w:link w:val="BodyTextChar"/>
    <w:uiPriority w:val="1"/>
    <w:qFormat/>
    <w:rsid w:val="00D41951"/>
    <w:pPr>
      <w:widowControl w:val="0"/>
      <w:autoSpaceDE w:val="0"/>
      <w:autoSpaceDN w:val="0"/>
      <w:spacing w:after="0"/>
    </w:pPr>
    <w:rPr>
      <w:rFonts w:ascii="Trebuchet MS" w:eastAsia="Trebuchet MS" w:hAnsi="Trebuchet MS" w:cs="Trebuchet MS"/>
      <w:sz w:val="18"/>
      <w:szCs w:val="18"/>
      <w:lang w:val="en-US"/>
    </w:rPr>
  </w:style>
  <w:style w:type="character" w:customStyle="1" w:styleId="BodyTextChar">
    <w:name w:val="Body Text Char"/>
    <w:basedOn w:val="DefaultParagraphFont"/>
    <w:link w:val="BodyText"/>
    <w:uiPriority w:val="1"/>
    <w:rsid w:val="00D41951"/>
    <w:rPr>
      <w:rFonts w:ascii="Trebuchet MS" w:eastAsia="Trebuchet MS" w:hAnsi="Trebuchet MS" w:cs="Trebuchet MS"/>
      <w:sz w:val="18"/>
      <w:szCs w:val="18"/>
      <w:lang w:val="en-US" w:eastAsia="en-US"/>
    </w:rPr>
  </w:style>
  <w:style w:type="paragraph" w:customStyle="1" w:styleId="TableParagraph">
    <w:name w:val="Table Paragraph"/>
    <w:basedOn w:val="Normal"/>
    <w:uiPriority w:val="1"/>
    <w:qFormat/>
    <w:rsid w:val="00D41951"/>
    <w:pPr>
      <w:widowControl w:val="0"/>
      <w:autoSpaceDE w:val="0"/>
      <w:autoSpaceDN w:val="0"/>
      <w:spacing w:before="133" w:after="0"/>
    </w:pPr>
    <w:rPr>
      <w:rFonts w:ascii="Calibri" w:hAnsi="Calibri" w:cs="Calibri"/>
      <w:sz w:val="22"/>
      <w:lang w:val="en-US"/>
    </w:rPr>
  </w:style>
  <w:style w:type="paragraph" w:styleId="ListParagraph">
    <w:name w:val="List Paragraph"/>
    <w:basedOn w:val="Normal"/>
    <w:uiPriority w:val="1"/>
    <w:qFormat/>
    <w:rsid w:val="00EF760B"/>
    <w:pPr>
      <w:widowControl w:val="0"/>
      <w:autoSpaceDE w:val="0"/>
      <w:autoSpaceDN w:val="0"/>
      <w:spacing w:after="0"/>
      <w:ind w:left="397" w:hanging="284"/>
    </w:pPr>
    <w:rPr>
      <w:rFonts w:ascii="Trebuchet MS" w:eastAsia="Trebuchet MS" w:hAnsi="Trebuchet MS" w:cs="Trebuchet MS"/>
      <w:sz w:val="22"/>
      <w:lang w:val="en-US"/>
    </w:rPr>
  </w:style>
  <w:style w:type="paragraph" w:styleId="FootnoteText">
    <w:name w:val="footnote text"/>
    <w:basedOn w:val="Normal"/>
    <w:link w:val="FootnoteTextChar"/>
    <w:uiPriority w:val="99"/>
    <w:semiHidden/>
    <w:unhideWhenUsed/>
    <w:rsid w:val="004A0B95"/>
    <w:pPr>
      <w:spacing w:after="0"/>
    </w:pPr>
    <w:rPr>
      <w:szCs w:val="20"/>
    </w:rPr>
  </w:style>
  <w:style w:type="character" w:customStyle="1" w:styleId="FootnoteTextChar">
    <w:name w:val="Footnote Text Char"/>
    <w:basedOn w:val="DefaultParagraphFont"/>
    <w:link w:val="FootnoteText"/>
    <w:uiPriority w:val="99"/>
    <w:semiHidden/>
    <w:rsid w:val="004A0B95"/>
    <w:rPr>
      <w:rFonts w:ascii="Verdana" w:hAnsi="Verdana"/>
      <w:sz w:val="20"/>
      <w:szCs w:val="20"/>
      <w:lang w:eastAsia="en-US"/>
    </w:rPr>
  </w:style>
  <w:style w:type="character" w:styleId="FootnoteReference">
    <w:name w:val="footnote reference"/>
    <w:basedOn w:val="DefaultParagraphFont"/>
    <w:uiPriority w:val="99"/>
    <w:semiHidden/>
    <w:unhideWhenUsed/>
    <w:rsid w:val="004A0B95"/>
    <w:rPr>
      <w:vertAlign w:val="superscript"/>
    </w:rPr>
  </w:style>
  <w:style w:type="paragraph" w:styleId="Revision">
    <w:name w:val="Revision"/>
    <w:hidden/>
    <w:uiPriority w:val="99"/>
    <w:semiHidden/>
    <w:rsid w:val="00737E41"/>
    <w:rPr>
      <w:rFonts w:ascii="Verdana" w:hAnsi="Verdana"/>
      <w:sz w:val="20"/>
      <w:lang w:eastAsia="en-US"/>
    </w:rPr>
  </w:style>
  <w:style w:type="paragraph" w:styleId="TOC5">
    <w:name w:val="toc 5"/>
    <w:basedOn w:val="Normal"/>
    <w:next w:val="Normal"/>
    <w:autoRedefine/>
    <w:uiPriority w:val="39"/>
    <w:unhideWhenUsed/>
    <w:rsid w:val="00737E41"/>
    <w:pPr>
      <w:spacing w:after="100"/>
      <w:ind w:left="800"/>
    </w:pPr>
  </w:style>
  <w:style w:type="paragraph" w:styleId="TOC4">
    <w:name w:val="toc 4"/>
    <w:basedOn w:val="Normal"/>
    <w:next w:val="Normal"/>
    <w:autoRedefine/>
    <w:uiPriority w:val="39"/>
    <w:unhideWhenUsed/>
    <w:rsid w:val="00737E41"/>
    <w:pPr>
      <w:spacing w:after="100"/>
      <w:ind w:left="600"/>
    </w:pPr>
  </w:style>
  <w:style w:type="paragraph" w:styleId="Caption">
    <w:name w:val="caption"/>
    <w:basedOn w:val="Normal"/>
    <w:next w:val="Normal"/>
    <w:uiPriority w:val="35"/>
    <w:unhideWhenUsed/>
    <w:qFormat/>
    <w:rsid w:val="00737E41"/>
    <w:rPr>
      <w:i/>
      <w:iCs/>
      <w:color w:val="48555E" w:themeColor="text2"/>
      <w:sz w:val="18"/>
      <w:szCs w:val="18"/>
    </w:rPr>
  </w:style>
  <w:style w:type="character" w:styleId="IntenseReference">
    <w:name w:val="Intense Reference"/>
    <w:basedOn w:val="DefaultParagraphFont"/>
    <w:uiPriority w:val="32"/>
    <w:qFormat/>
    <w:rsid w:val="00737E41"/>
    <w:rPr>
      <w:b/>
      <w:bCs/>
      <w:smallCaps/>
      <w:color w:val="4C6968" w:themeColor="accent1"/>
      <w:spacing w:val="5"/>
    </w:rPr>
  </w:style>
  <w:style w:type="paragraph" w:customStyle="1" w:styleId="paragraph">
    <w:name w:val="paragraph"/>
    <w:basedOn w:val="Normal"/>
    <w:rsid w:val="004D343C"/>
    <w:pPr>
      <w:spacing w:before="100" w:beforeAutospacing="1" w:after="100" w:afterAutospacing="1"/>
    </w:pPr>
    <w:rPr>
      <w:rFonts w:ascii="Aptos" w:eastAsiaTheme="minorHAnsi" w:hAnsi="Aptos" w:cs="Calibri"/>
      <w:sz w:val="24"/>
      <w:szCs w:val="24"/>
      <w:lang w:eastAsia="en-AU"/>
    </w:rPr>
  </w:style>
  <w:style w:type="character" w:customStyle="1" w:styleId="normaltextrun">
    <w:name w:val="normaltextrun"/>
    <w:basedOn w:val="DefaultParagraphFont"/>
    <w:rsid w:val="004D343C"/>
  </w:style>
  <w:style w:type="character" w:customStyle="1" w:styleId="eop">
    <w:name w:val="eop"/>
    <w:basedOn w:val="DefaultParagraphFont"/>
    <w:rsid w:val="004D343C"/>
  </w:style>
  <w:style w:type="paragraph" w:styleId="IntenseQuote">
    <w:name w:val="Intense Quote"/>
    <w:basedOn w:val="Normal"/>
    <w:next w:val="Normal"/>
    <w:link w:val="IntenseQuoteChar"/>
    <w:uiPriority w:val="30"/>
    <w:qFormat/>
    <w:rsid w:val="00C4299A"/>
    <w:pPr>
      <w:pBdr>
        <w:top w:val="single" w:sz="4" w:space="10" w:color="4C6968" w:themeColor="accent1"/>
        <w:bottom w:val="single" w:sz="4" w:space="10" w:color="4C6968" w:themeColor="accent1"/>
      </w:pBdr>
      <w:spacing w:before="360" w:after="360"/>
      <w:ind w:left="864" w:right="864"/>
      <w:jc w:val="center"/>
    </w:pPr>
    <w:rPr>
      <w:i/>
      <w:iCs/>
      <w:color w:val="4C6968" w:themeColor="accent1"/>
    </w:rPr>
  </w:style>
  <w:style w:type="character" w:customStyle="1" w:styleId="IntenseQuoteChar">
    <w:name w:val="Intense Quote Char"/>
    <w:basedOn w:val="DefaultParagraphFont"/>
    <w:link w:val="IntenseQuote"/>
    <w:uiPriority w:val="30"/>
    <w:rsid w:val="00C4299A"/>
    <w:rPr>
      <w:rFonts w:ascii="Verdana" w:hAnsi="Verdana"/>
      <w:i/>
      <w:iCs/>
      <w:color w:val="4C6968" w:themeColor="accent1"/>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121544">
      <w:bodyDiv w:val="1"/>
      <w:marLeft w:val="0"/>
      <w:marRight w:val="0"/>
      <w:marTop w:val="0"/>
      <w:marBottom w:val="0"/>
      <w:divBdr>
        <w:top w:val="none" w:sz="0" w:space="0" w:color="auto"/>
        <w:left w:val="none" w:sz="0" w:space="0" w:color="auto"/>
        <w:bottom w:val="none" w:sz="0" w:space="0" w:color="auto"/>
        <w:right w:val="none" w:sz="0" w:space="0" w:color="auto"/>
      </w:divBdr>
      <w:divsChild>
        <w:div w:id="1002705258">
          <w:marLeft w:val="0"/>
          <w:marRight w:val="0"/>
          <w:marTop w:val="0"/>
          <w:marBottom w:val="0"/>
          <w:divBdr>
            <w:top w:val="none" w:sz="0" w:space="0" w:color="auto"/>
            <w:left w:val="none" w:sz="0" w:space="0" w:color="auto"/>
            <w:bottom w:val="none" w:sz="0" w:space="0" w:color="auto"/>
            <w:right w:val="none" w:sz="0" w:space="0" w:color="auto"/>
          </w:divBdr>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543255958">
      <w:bodyDiv w:val="1"/>
      <w:marLeft w:val="0"/>
      <w:marRight w:val="0"/>
      <w:marTop w:val="0"/>
      <w:marBottom w:val="0"/>
      <w:divBdr>
        <w:top w:val="none" w:sz="0" w:space="0" w:color="auto"/>
        <w:left w:val="none" w:sz="0" w:space="0" w:color="auto"/>
        <w:bottom w:val="none" w:sz="0" w:space="0" w:color="auto"/>
        <w:right w:val="none" w:sz="0" w:space="0" w:color="auto"/>
      </w:divBdr>
      <w:divsChild>
        <w:div w:id="2005158708">
          <w:marLeft w:val="0"/>
          <w:marRight w:val="0"/>
          <w:marTop w:val="0"/>
          <w:marBottom w:val="0"/>
          <w:divBdr>
            <w:top w:val="none" w:sz="0" w:space="0" w:color="auto"/>
            <w:left w:val="none" w:sz="0" w:space="0" w:color="auto"/>
            <w:bottom w:val="none" w:sz="0" w:space="0" w:color="auto"/>
            <w:right w:val="none" w:sz="0" w:space="0" w:color="auto"/>
          </w:divBdr>
        </w:div>
      </w:divsChild>
    </w:div>
    <w:div w:id="742605301">
      <w:bodyDiv w:val="1"/>
      <w:marLeft w:val="0"/>
      <w:marRight w:val="0"/>
      <w:marTop w:val="0"/>
      <w:marBottom w:val="0"/>
      <w:divBdr>
        <w:top w:val="none" w:sz="0" w:space="0" w:color="auto"/>
        <w:left w:val="none" w:sz="0" w:space="0" w:color="auto"/>
        <w:bottom w:val="none" w:sz="0" w:space="0" w:color="auto"/>
        <w:right w:val="none" w:sz="0" w:space="0" w:color="auto"/>
      </w:divBdr>
      <w:divsChild>
        <w:div w:id="717514630">
          <w:marLeft w:val="0"/>
          <w:marRight w:val="0"/>
          <w:marTop w:val="0"/>
          <w:marBottom w:val="0"/>
          <w:divBdr>
            <w:top w:val="none" w:sz="0" w:space="0" w:color="auto"/>
            <w:left w:val="none" w:sz="0" w:space="0" w:color="auto"/>
            <w:bottom w:val="none" w:sz="0" w:space="0" w:color="auto"/>
            <w:right w:val="none" w:sz="0" w:space="0" w:color="auto"/>
          </w:divBdr>
        </w:div>
      </w:divsChild>
    </w:div>
    <w:div w:id="748231367">
      <w:bodyDiv w:val="1"/>
      <w:marLeft w:val="0"/>
      <w:marRight w:val="0"/>
      <w:marTop w:val="0"/>
      <w:marBottom w:val="0"/>
      <w:divBdr>
        <w:top w:val="none" w:sz="0" w:space="0" w:color="auto"/>
        <w:left w:val="none" w:sz="0" w:space="0" w:color="auto"/>
        <w:bottom w:val="none" w:sz="0" w:space="0" w:color="auto"/>
        <w:right w:val="none" w:sz="0" w:space="0" w:color="auto"/>
      </w:divBdr>
      <w:divsChild>
        <w:div w:id="1360424612">
          <w:marLeft w:val="0"/>
          <w:marRight w:val="0"/>
          <w:marTop w:val="0"/>
          <w:marBottom w:val="0"/>
          <w:divBdr>
            <w:top w:val="none" w:sz="0" w:space="0" w:color="auto"/>
            <w:left w:val="none" w:sz="0" w:space="0" w:color="auto"/>
            <w:bottom w:val="none" w:sz="0" w:space="0" w:color="auto"/>
            <w:right w:val="none" w:sz="0" w:space="0" w:color="auto"/>
          </w:divBdr>
        </w:div>
      </w:divsChild>
    </w:div>
    <w:div w:id="821653744">
      <w:bodyDiv w:val="1"/>
      <w:marLeft w:val="0"/>
      <w:marRight w:val="0"/>
      <w:marTop w:val="0"/>
      <w:marBottom w:val="0"/>
      <w:divBdr>
        <w:top w:val="none" w:sz="0" w:space="0" w:color="auto"/>
        <w:left w:val="none" w:sz="0" w:space="0" w:color="auto"/>
        <w:bottom w:val="none" w:sz="0" w:space="0" w:color="auto"/>
        <w:right w:val="none" w:sz="0" w:space="0" w:color="auto"/>
      </w:divBdr>
    </w:div>
    <w:div w:id="1050106993">
      <w:bodyDiv w:val="1"/>
      <w:marLeft w:val="0"/>
      <w:marRight w:val="0"/>
      <w:marTop w:val="0"/>
      <w:marBottom w:val="0"/>
      <w:divBdr>
        <w:top w:val="none" w:sz="0" w:space="0" w:color="auto"/>
        <w:left w:val="none" w:sz="0" w:space="0" w:color="auto"/>
        <w:bottom w:val="none" w:sz="0" w:space="0" w:color="auto"/>
        <w:right w:val="none" w:sz="0" w:space="0" w:color="auto"/>
      </w:divBdr>
    </w:div>
    <w:div w:id="1202010273">
      <w:bodyDiv w:val="1"/>
      <w:marLeft w:val="0"/>
      <w:marRight w:val="0"/>
      <w:marTop w:val="0"/>
      <w:marBottom w:val="0"/>
      <w:divBdr>
        <w:top w:val="none" w:sz="0" w:space="0" w:color="auto"/>
        <w:left w:val="none" w:sz="0" w:space="0" w:color="auto"/>
        <w:bottom w:val="none" w:sz="0" w:space="0" w:color="auto"/>
        <w:right w:val="none" w:sz="0" w:space="0" w:color="auto"/>
      </w:divBdr>
      <w:divsChild>
        <w:div w:id="434405076">
          <w:marLeft w:val="0"/>
          <w:marRight w:val="0"/>
          <w:marTop w:val="0"/>
          <w:marBottom w:val="0"/>
          <w:divBdr>
            <w:top w:val="none" w:sz="0" w:space="0" w:color="auto"/>
            <w:left w:val="none" w:sz="0" w:space="0" w:color="auto"/>
            <w:bottom w:val="none" w:sz="0" w:space="0" w:color="auto"/>
            <w:right w:val="none" w:sz="0" w:space="0" w:color="auto"/>
          </w:divBdr>
        </w:div>
      </w:divsChild>
    </w:div>
    <w:div w:id="1286960032">
      <w:bodyDiv w:val="1"/>
      <w:marLeft w:val="0"/>
      <w:marRight w:val="0"/>
      <w:marTop w:val="0"/>
      <w:marBottom w:val="0"/>
      <w:divBdr>
        <w:top w:val="none" w:sz="0" w:space="0" w:color="auto"/>
        <w:left w:val="none" w:sz="0" w:space="0" w:color="auto"/>
        <w:bottom w:val="none" w:sz="0" w:space="0" w:color="auto"/>
        <w:right w:val="none" w:sz="0" w:space="0" w:color="auto"/>
      </w:divBdr>
    </w:div>
    <w:div w:id="1346830608">
      <w:bodyDiv w:val="1"/>
      <w:marLeft w:val="0"/>
      <w:marRight w:val="0"/>
      <w:marTop w:val="0"/>
      <w:marBottom w:val="0"/>
      <w:divBdr>
        <w:top w:val="none" w:sz="0" w:space="0" w:color="auto"/>
        <w:left w:val="none" w:sz="0" w:space="0" w:color="auto"/>
        <w:bottom w:val="none" w:sz="0" w:space="0" w:color="auto"/>
        <w:right w:val="none" w:sz="0" w:space="0" w:color="auto"/>
      </w:divBdr>
    </w:div>
    <w:div w:id="1442066896">
      <w:bodyDiv w:val="1"/>
      <w:marLeft w:val="0"/>
      <w:marRight w:val="0"/>
      <w:marTop w:val="0"/>
      <w:marBottom w:val="0"/>
      <w:divBdr>
        <w:top w:val="none" w:sz="0" w:space="0" w:color="auto"/>
        <w:left w:val="none" w:sz="0" w:space="0" w:color="auto"/>
        <w:bottom w:val="none" w:sz="0" w:space="0" w:color="auto"/>
        <w:right w:val="none" w:sz="0" w:space="0" w:color="auto"/>
      </w:divBdr>
      <w:divsChild>
        <w:div w:id="362481126">
          <w:marLeft w:val="0"/>
          <w:marRight w:val="0"/>
          <w:marTop w:val="0"/>
          <w:marBottom w:val="0"/>
          <w:divBdr>
            <w:top w:val="none" w:sz="0" w:space="0" w:color="auto"/>
            <w:left w:val="none" w:sz="0" w:space="0" w:color="auto"/>
            <w:bottom w:val="none" w:sz="0" w:space="0" w:color="auto"/>
            <w:right w:val="none" w:sz="0" w:space="0" w:color="auto"/>
          </w:divBdr>
        </w:div>
      </w:divsChild>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463483">
      <w:bodyDiv w:val="1"/>
      <w:marLeft w:val="0"/>
      <w:marRight w:val="0"/>
      <w:marTop w:val="0"/>
      <w:marBottom w:val="0"/>
      <w:divBdr>
        <w:top w:val="none" w:sz="0" w:space="0" w:color="auto"/>
        <w:left w:val="none" w:sz="0" w:space="0" w:color="auto"/>
        <w:bottom w:val="none" w:sz="0" w:space="0" w:color="auto"/>
        <w:right w:val="none" w:sz="0" w:space="0" w:color="auto"/>
      </w:divBdr>
      <w:divsChild>
        <w:div w:id="1481650849">
          <w:marLeft w:val="0"/>
          <w:marRight w:val="0"/>
          <w:marTop w:val="0"/>
          <w:marBottom w:val="0"/>
          <w:divBdr>
            <w:top w:val="none" w:sz="0" w:space="0" w:color="auto"/>
            <w:left w:val="none" w:sz="0" w:space="0" w:color="auto"/>
            <w:bottom w:val="none" w:sz="0" w:space="0" w:color="auto"/>
            <w:right w:val="none" w:sz="0" w:space="0" w:color="auto"/>
          </w:divBdr>
        </w:div>
      </w:divsChild>
    </w:div>
    <w:div w:id="1808819297">
      <w:bodyDiv w:val="1"/>
      <w:marLeft w:val="0"/>
      <w:marRight w:val="0"/>
      <w:marTop w:val="0"/>
      <w:marBottom w:val="0"/>
      <w:divBdr>
        <w:top w:val="none" w:sz="0" w:space="0" w:color="auto"/>
        <w:left w:val="none" w:sz="0" w:space="0" w:color="auto"/>
        <w:bottom w:val="none" w:sz="0" w:space="0" w:color="auto"/>
        <w:right w:val="none" w:sz="0" w:space="0" w:color="auto"/>
      </w:divBdr>
    </w:div>
    <w:div w:id="1839611112">
      <w:bodyDiv w:val="1"/>
      <w:marLeft w:val="0"/>
      <w:marRight w:val="0"/>
      <w:marTop w:val="0"/>
      <w:marBottom w:val="0"/>
      <w:divBdr>
        <w:top w:val="none" w:sz="0" w:space="0" w:color="auto"/>
        <w:left w:val="none" w:sz="0" w:space="0" w:color="auto"/>
        <w:bottom w:val="none" w:sz="0" w:space="0" w:color="auto"/>
        <w:right w:val="none" w:sz="0" w:space="0" w:color="auto"/>
      </w:divBdr>
      <w:divsChild>
        <w:div w:id="1248493219">
          <w:marLeft w:val="0"/>
          <w:marRight w:val="0"/>
          <w:marTop w:val="0"/>
          <w:marBottom w:val="0"/>
          <w:divBdr>
            <w:top w:val="none" w:sz="0" w:space="0" w:color="auto"/>
            <w:left w:val="none" w:sz="0" w:space="0" w:color="auto"/>
            <w:bottom w:val="none" w:sz="0" w:space="0" w:color="auto"/>
            <w:right w:val="none" w:sz="0" w:space="0" w:color="auto"/>
          </w:divBdr>
        </w:div>
      </w:divsChild>
    </w:div>
    <w:div w:id="1985313559">
      <w:bodyDiv w:val="1"/>
      <w:marLeft w:val="0"/>
      <w:marRight w:val="0"/>
      <w:marTop w:val="0"/>
      <w:marBottom w:val="0"/>
      <w:divBdr>
        <w:top w:val="none" w:sz="0" w:space="0" w:color="auto"/>
        <w:left w:val="none" w:sz="0" w:space="0" w:color="auto"/>
        <w:bottom w:val="none" w:sz="0" w:space="0" w:color="auto"/>
        <w:right w:val="none" w:sz="0" w:space="0" w:color="auto"/>
      </w:divBdr>
      <w:divsChild>
        <w:div w:id="893927268">
          <w:marLeft w:val="0"/>
          <w:marRight w:val="0"/>
          <w:marTop w:val="0"/>
          <w:marBottom w:val="0"/>
          <w:divBdr>
            <w:top w:val="none" w:sz="0" w:space="0" w:color="auto"/>
            <w:left w:val="none" w:sz="0" w:space="0" w:color="auto"/>
            <w:bottom w:val="none" w:sz="0" w:space="0" w:color="auto"/>
            <w:right w:val="none" w:sz="0" w:space="0" w:color="auto"/>
          </w:divBdr>
        </w:div>
      </w:divsChild>
    </w:div>
    <w:div w:id="2013944347">
      <w:bodyDiv w:val="1"/>
      <w:marLeft w:val="0"/>
      <w:marRight w:val="0"/>
      <w:marTop w:val="0"/>
      <w:marBottom w:val="0"/>
      <w:divBdr>
        <w:top w:val="none" w:sz="0" w:space="0" w:color="auto"/>
        <w:left w:val="none" w:sz="0" w:space="0" w:color="auto"/>
        <w:bottom w:val="none" w:sz="0" w:space="0" w:color="auto"/>
        <w:right w:val="none" w:sz="0" w:space="0" w:color="auto"/>
      </w:divBdr>
      <w:divsChild>
        <w:div w:id="115029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ontact@igwc.gov.au"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gwc.gov.au/publications/reviews-reports"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water.vic.gov.au/__data/assets/pdf_file/0038/667991/victorian-non-urban-water-policy-2020.pdf" TargetMode="External"/><Relationship Id="rId3" Type="http://schemas.openxmlformats.org/officeDocument/2006/relationships/hyperlink" Target="https://www.igwc.gov.au/publications/reviews-reports" TargetMode="External"/><Relationship Id="rId7" Type="http://schemas.openxmlformats.org/officeDocument/2006/relationships/hyperlink" Target="https://qldgov.softlinkhosting.com.au:443/liberty/OpacLogin?mode=BASIC&amp;openDetail=true&amp;corporation=DERM&amp;action=search&amp;queryTerm=uuid%3D%224ec479500a0200f04402ee4700201762%22&amp;editionUuid=4ec479500a0200f04402ee4700201762&amp;operator=OR&amp;url=%2Fopac%2Fsearch.do" TargetMode="External"/><Relationship Id="rId2" Type="http://schemas.openxmlformats.org/officeDocument/2006/relationships/hyperlink" Target="https://webarchive.nla.gov.au/awa/20210604024037/https://prod-origin.mdba.gov.au/node/5066" TargetMode="External"/><Relationship Id="rId1" Type="http://schemas.openxmlformats.org/officeDocument/2006/relationships/hyperlink" Target="https://webarchive.nla.gov.au/awa/20200921173818/https://www.mdba.gov.au/sites/default/files/pubs/MDB-Compliance-Review-Final-Report.pdf" TargetMode="External"/><Relationship Id="rId6" Type="http://schemas.openxmlformats.org/officeDocument/2006/relationships/hyperlink" Target="https://www.rdmw.qld.gov.au/__data/assets/pdf_file/0011/1630784/regulatory-strategy-wrm-2022-24.pdf" TargetMode="External"/><Relationship Id="rId5" Type="http://schemas.openxmlformats.org/officeDocument/2006/relationships/hyperlink" Target="https://www.igwc.gov.au/sites/default/files/2024-04/murray-darling-basin-metering-report-card-2023.pdf" TargetMode="External"/><Relationship Id="rId4" Type="http://schemas.openxmlformats.org/officeDocument/2006/relationships/hyperlink" Target="https://www.igwc.gov.au/publications/annual-survey" TargetMode="External"/><Relationship Id="rId9" Type="http://schemas.openxmlformats.org/officeDocument/2006/relationships/hyperlink" Target="https://www.accesscanberra.act.gov.au/__data/assets/pdf_file/0020/2303570/Environment-protection-compliance-framework.pdf"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29BCA-D9B7-42E6-AC98-1734C08B115D}">
  <ds:schemaRefs>
    <ds:schemaRef ds:uri="http://schemas.microsoft.com/sharepoint/v3/contenttype/forms"/>
  </ds:schemaRefs>
</ds:datastoreItem>
</file>

<file path=customXml/itemProps2.xml><?xml version="1.0" encoding="utf-8"?>
<ds:datastoreItem xmlns:ds="http://schemas.openxmlformats.org/officeDocument/2006/customXml" ds:itemID="{99AD59C8-559B-497E-86C0-E7EAB117A203}">
  <ds:schemaRefs>
    <ds:schemaRef ds:uri="http://schemas.openxmlformats.org/officeDocument/2006/bibliography"/>
  </ds:schemaRefs>
</ds:datastoreItem>
</file>

<file path=customXml/itemProps3.xml><?xml version="1.0" encoding="utf-8"?>
<ds:datastoreItem xmlns:ds="http://schemas.openxmlformats.org/officeDocument/2006/customXml" ds:itemID="{A67709F0-BE1A-4D93-9D44-F8D2E2BB313D}">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microsoft.com/sharepoint/v3"/>
    <ds:schemaRef ds:uri="d869c146-c82e-4435-92e4-da91542262fd"/>
    <ds:schemaRef ds:uri="http://purl.org/dc/dcmitype/"/>
    <ds:schemaRef ds:uri="http://schemas.openxmlformats.org/package/2006/metadata/core-properties"/>
    <ds:schemaRef ds:uri="a95247a4-6a6b-40fb-87b6-0fb2f012c536"/>
    <ds:schemaRef ds:uri="d81c2681-db7b-4a56-9abd-a3238a78f6b2"/>
    <ds:schemaRef ds:uri="b98728ac-f998-415c-abee-6b046fb1441e"/>
  </ds:schemaRefs>
</ds:datastoreItem>
</file>

<file path=customXml/itemProps4.xml><?xml version="1.0" encoding="utf-8"?>
<ds:datastoreItem xmlns:ds="http://schemas.openxmlformats.org/officeDocument/2006/customXml" ds:itemID="{AB2C8900-D9AF-4FF9-B0A1-81E23156A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5888</Words>
  <Characters>33564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Murray-Darling Basin Compliance Performance Report 2022-23</vt:lpstr>
    </vt:vector>
  </TitlesOfParts>
  <Manager/>
  <Company/>
  <LinksUpToDate>false</LinksUpToDate>
  <CharactersWithSpaces>39374</CharactersWithSpaces>
  <SharedDoc>false</SharedDoc>
  <HLinks>
    <vt:vector size="72" baseType="variant">
      <vt:variant>
        <vt:i4>8257542</vt:i4>
      </vt:variant>
      <vt:variant>
        <vt:i4>6</vt:i4>
      </vt:variant>
      <vt:variant>
        <vt:i4>0</vt:i4>
      </vt:variant>
      <vt:variant>
        <vt:i4>5</vt:i4>
      </vt:variant>
      <vt:variant>
        <vt:lpwstr>mailto:contact@igwc.gov.au</vt:lpwstr>
      </vt:variant>
      <vt:variant>
        <vt:lpwstr/>
      </vt:variant>
      <vt:variant>
        <vt:i4>1048670</vt:i4>
      </vt:variant>
      <vt:variant>
        <vt:i4>3</vt:i4>
      </vt:variant>
      <vt:variant>
        <vt:i4>0</vt:i4>
      </vt:variant>
      <vt:variant>
        <vt:i4>5</vt:i4>
      </vt:variant>
      <vt:variant>
        <vt:lpwstr>https://www.igwc.gov.au/publications/reviews-reports</vt:lpwstr>
      </vt:variant>
      <vt:variant>
        <vt:lpwstr/>
      </vt:variant>
      <vt:variant>
        <vt:i4>6815772</vt:i4>
      </vt:variant>
      <vt:variant>
        <vt:i4>0</vt:i4>
      </vt:variant>
      <vt:variant>
        <vt:i4>0</vt:i4>
      </vt:variant>
      <vt:variant>
        <vt:i4>5</vt:i4>
      </vt:variant>
      <vt:variant>
        <vt:lpwstr>mailto:copyright@dcceew.gov.au</vt:lpwstr>
      </vt:variant>
      <vt:variant>
        <vt:lpwstr/>
      </vt:variant>
      <vt:variant>
        <vt:i4>2883711</vt:i4>
      </vt:variant>
      <vt:variant>
        <vt:i4>24</vt:i4>
      </vt:variant>
      <vt:variant>
        <vt:i4>0</vt:i4>
      </vt:variant>
      <vt:variant>
        <vt:i4>5</vt:i4>
      </vt:variant>
      <vt:variant>
        <vt:lpwstr>https://www.accesscanberra.act.gov.au/__data/assets/pdf_file/0020/2303570/_x000b_Environment-protection-compliance-framework.pdf</vt:lpwstr>
      </vt:variant>
      <vt:variant>
        <vt:lpwstr/>
      </vt:variant>
      <vt:variant>
        <vt:i4>8060959</vt:i4>
      </vt:variant>
      <vt:variant>
        <vt:i4>21</vt:i4>
      </vt:variant>
      <vt:variant>
        <vt:i4>0</vt:i4>
      </vt:variant>
      <vt:variant>
        <vt:i4>5</vt:i4>
      </vt:variant>
      <vt:variant>
        <vt:lpwstr>https://www.water.vic.gov.au/__data/assets/pdf_file/0038/667991/victorian-non-urban-water-policy-2020.pdf</vt:lpwstr>
      </vt:variant>
      <vt:variant>
        <vt:lpwstr/>
      </vt:variant>
      <vt:variant>
        <vt:i4>8257611</vt:i4>
      </vt:variant>
      <vt:variant>
        <vt:i4>18</vt:i4>
      </vt:variant>
      <vt:variant>
        <vt:i4>0</vt:i4>
      </vt:variant>
      <vt:variant>
        <vt:i4>5</vt:i4>
      </vt:variant>
      <vt:variant>
        <vt:lpwstr>https://qldgov.softlinkhosting.com.au/liberty/OpacLogin?mode=BASIC&amp;openDetail=_x000b_true&amp;corporation=DERM&amp;action=search&amp;queryTerm=uuid%3D%224ec479500a0200f04402ee4700201762%22&amp;editionUuid=4ec479500a0200f04402ee4700201762&amp;operator=OR&amp;url=%2Fopac%2Fsearch.do</vt:lpwstr>
      </vt:variant>
      <vt:variant>
        <vt:lpwstr/>
      </vt:variant>
      <vt:variant>
        <vt:i4>7471129</vt:i4>
      </vt:variant>
      <vt:variant>
        <vt:i4>15</vt:i4>
      </vt:variant>
      <vt:variant>
        <vt:i4>0</vt:i4>
      </vt:variant>
      <vt:variant>
        <vt:i4>5</vt:i4>
      </vt:variant>
      <vt:variant>
        <vt:lpwstr>https://www.rdmw.qld.gov.au/__data/assets/pdf_file/0011/1630784/regulatory-strategy-wrm-2022-24.pdf</vt:lpwstr>
      </vt:variant>
      <vt:variant>
        <vt:lpwstr/>
      </vt:variant>
      <vt:variant>
        <vt:i4>2687095</vt:i4>
      </vt:variant>
      <vt:variant>
        <vt:i4>12</vt:i4>
      </vt:variant>
      <vt:variant>
        <vt:i4>0</vt:i4>
      </vt:variant>
      <vt:variant>
        <vt:i4>5</vt:i4>
      </vt:variant>
      <vt:variant>
        <vt:lpwstr>https://www.igwc.gov.au/sites/default/files/2024-04/murray-darling-basin-metering-report-card-2023.pdf</vt:lpwstr>
      </vt:variant>
      <vt:variant>
        <vt:lpwstr/>
      </vt:variant>
      <vt:variant>
        <vt:i4>3670117</vt:i4>
      </vt:variant>
      <vt:variant>
        <vt:i4>9</vt:i4>
      </vt:variant>
      <vt:variant>
        <vt:i4>0</vt:i4>
      </vt:variant>
      <vt:variant>
        <vt:i4>5</vt:i4>
      </vt:variant>
      <vt:variant>
        <vt:lpwstr>https://www.igwc.gov.au/publications/annual-survey</vt:lpwstr>
      </vt:variant>
      <vt:variant>
        <vt:lpwstr/>
      </vt:variant>
      <vt:variant>
        <vt:i4>1048670</vt:i4>
      </vt:variant>
      <vt:variant>
        <vt:i4>6</vt:i4>
      </vt:variant>
      <vt:variant>
        <vt:i4>0</vt:i4>
      </vt:variant>
      <vt:variant>
        <vt:i4>5</vt:i4>
      </vt:variant>
      <vt:variant>
        <vt:lpwstr>https://www.igwc.gov.au/publications/reviews-reports</vt:lpwstr>
      </vt:variant>
      <vt:variant>
        <vt:lpwstr/>
      </vt:variant>
      <vt:variant>
        <vt:i4>8061036</vt:i4>
      </vt:variant>
      <vt:variant>
        <vt:i4>3</vt:i4>
      </vt:variant>
      <vt:variant>
        <vt:i4>0</vt:i4>
      </vt:variant>
      <vt:variant>
        <vt:i4>5</vt:i4>
      </vt:variant>
      <vt:variant>
        <vt:lpwstr>https://webarchive.nla.gov.au/awa/20210604024037/https://prod-origin.mdba.gov.au/node/5066</vt:lpwstr>
      </vt:variant>
      <vt:variant>
        <vt:lpwstr/>
      </vt:variant>
      <vt:variant>
        <vt:i4>6422618</vt:i4>
      </vt:variant>
      <vt:variant>
        <vt:i4>0</vt:i4>
      </vt:variant>
      <vt:variant>
        <vt:i4>0</vt:i4>
      </vt:variant>
      <vt:variant>
        <vt:i4>5</vt:i4>
      </vt:variant>
      <vt:variant>
        <vt:lpwstr>https://webarchive.nla.gov.au/awa/20200921173818/https://www.mdba.gov.au/sites/_x000b_default/files/pubs/MDB-Compliance-Review-Final-Report.pdf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Compliance Performance Report 2022-23</dc:title>
  <dc:subject/>
  <dc:creator>IGWC</dc:creator>
  <cp:keywords/>
  <dc:description/>
  <cp:revision>3</cp:revision>
  <dcterms:created xsi:type="dcterms:W3CDTF">2024-12-05T05:01:00Z</dcterms:created>
  <dcterms:modified xsi:type="dcterms:W3CDTF">2024-12-05T21:37:00Z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7161f441,135ffadc,6b7184ac,75f5043b,1001a5ea,2ae6bd2e</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2024-10-09T03:57:11Z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502debd4-491a-4b53-b2ba-71230ec24720</vt:lpwstr>
  </property>
  <property fmtid="{D5CDD505-2E9C-101B-9397-08002B2CF9AE}" pid="11" name="MSIP_Label_4257e2ab-f512-40e2-9c9a-c64247360765_ContentBits">
    <vt:lpwstr>2</vt:lpwstr>
  </property>
  <property fmtid="{D5CDD505-2E9C-101B-9397-08002B2CF9AE}" pid="12" name="ContentTypeId">
    <vt:lpwstr>0x010100D001B2BE74D025469E1D0E28F10DD2C8</vt:lpwstr>
  </property>
  <property fmtid="{D5CDD505-2E9C-101B-9397-08002B2CF9AE}" pid="13" name="MediaServiceImageTags">
    <vt:lpwstr/>
  </property>
</Properties>
</file>