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C73F" w14:textId="13D46074" w:rsidR="00617D03" w:rsidRDefault="00681224" w:rsidP="00650806">
      <w:pPr>
        <w:pStyle w:val="Title"/>
        <w:spacing w:before="1200" w:after="480"/>
      </w:pPr>
      <w:r w:rsidRPr="00221878">
        <w:rPr>
          <w:noProof/>
          <w:color w:val="C00000"/>
        </w:rPr>
        <w:drawing>
          <wp:anchor distT="0" distB="0" distL="114300" distR="114300" simplePos="0" relativeHeight="251658240" behindDoc="1" locked="0" layoutInCell="1" allowOverlap="1" wp14:anchorId="43D4C738" wp14:editId="13449558">
            <wp:simplePos x="0" y="0"/>
            <wp:positionH relativeFrom="column">
              <wp:posOffset>-731520</wp:posOffset>
            </wp:positionH>
            <wp:positionV relativeFrom="paragraph">
              <wp:posOffset>-1234440</wp:posOffset>
            </wp:positionV>
            <wp:extent cx="7559675" cy="2871470"/>
            <wp:effectExtent l="0" t="0" r="3175"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2871470"/>
                    </a:xfrm>
                    <a:prstGeom prst="rect">
                      <a:avLst/>
                    </a:prstGeom>
                  </pic:spPr>
                </pic:pic>
              </a:graphicData>
            </a:graphic>
            <wp14:sizeRelH relativeFrom="page">
              <wp14:pctWidth>0</wp14:pctWidth>
            </wp14:sizeRelH>
            <wp14:sizeRelV relativeFrom="page">
              <wp14:pctHeight>0</wp14:pctHeight>
            </wp14:sizeRelV>
          </wp:anchor>
        </w:drawing>
      </w:r>
      <w:r w:rsidRPr="00221878">
        <w:rPr>
          <w:noProof/>
          <w:color w:val="C00000"/>
        </w:rPr>
        <w:drawing>
          <wp:anchor distT="0" distB="0" distL="114300" distR="114300" simplePos="0" relativeHeight="251658241" behindDoc="1" locked="0" layoutInCell="1" allowOverlap="1" wp14:anchorId="6CE62BA1" wp14:editId="14C9D255">
            <wp:simplePos x="0" y="0"/>
            <wp:positionH relativeFrom="page">
              <wp:posOffset>608330</wp:posOffset>
            </wp:positionH>
            <wp:positionV relativeFrom="page">
              <wp:posOffset>412814</wp:posOffset>
            </wp:positionV>
            <wp:extent cx="3600450" cy="1039495"/>
            <wp:effectExtent l="0" t="0" r="0" b="0"/>
            <wp:wrapNone/>
            <wp:docPr id="5"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9E4">
        <w:t>Statement of Intent</w:t>
      </w:r>
      <w:r>
        <w:br/>
      </w:r>
      <w:r w:rsidRPr="00681224">
        <w:rPr>
          <w:sz w:val="44"/>
          <w:szCs w:val="48"/>
        </w:rPr>
        <w:t>Inspector-General of Water Compliance</w:t>
      </w:r>
    </w:p>
    <w:p w14:paraId="393E0157" w14:textId="77777777" w:rsidR="00422D8D" w:rsidRDefault="00422D8D" w:rsidP="00422D8D">
      <w:pPr>
        <w:pStyle w:val="Heading2"/>
        <w:sectPr w:rsidR="00422D8D" w:rsidSect="00FB0DE5">
          <w:footerReference w:type="default" r:id="rId12"/>
          <w:footerReference w:type="first" r:id="rId13"/>
          <w:pgSz w:w="11906" w:h="16838"/>
          <w:pgMar w:top="1284" w:right="1134" w:bottom="816" w:left="1134" w:header="425" w:footer="733" w:gutter="0"/>
          <w:cols w:space="708"/>
          <w:titlePg/>
          <w:docGrid w:linePitch="360"/>
        </w:sectPr>
      </w:pPr>
      <w:bookmarkStart w:id="0" w:name="_Toc105771031"/>
    </w:p>
    <w:bookmarkEnd w:id="0"/>
    <w:p w14:paraId="2EEE4590" w14:textId="57582870" w:rsidR="00482C26" w:rsidRDefault="00655D0A" w:rsidP="00655D0A">
      <w:r w:rsidRPr="00655D0A">
        <w:t>This Statement of Intent is provided in response to the Inspector-General of Water Compliance (Inspector-General) Ministerial Statement of Expectations (“</w:t>
      </w:r>
      <w:proofErr w:type="spellStart"/>
      <w:r w:rsidRPr="00655D0A">
        <w:t>MSoE</w:t>
      </w:r>
      <w:proofErr w:type="spellEnd"/>
      <w:r w:rsidRPr="00655D0A">
        <w:t xml:space="preserve">”) issued by The Hon Tanya Plibersek MP on 11 September 2024. The </w:t>
      </w:r>
      <w:proofErr w:type="spellStart"/>
      <w:r w:rsidRPr="00655D0A">
        <w:t>MSoE</w:t>
      </w:r>
      <w:proofErr w:type="spellEnd"/>
      <w:r w:rsidRPr="00655D0A">
        <w:t xml:space="preserve"> sets out the Government’s policy objectives and strategic priorities and provides opportunities for the Inspector-General to adopt best practice regulation.</w:t>
      </w:r>
    </w:p>
    <w:p w14:paraId="38E6DE95" w14:textId="41739D96" w:rsidR="00655D0A" w:rsidRDefault="005F48DD" w:rsidP="005F48DD">
      <w:pPr>
        <w:pStyle w:val="Heading3"/>
      </w:pPr>
      <w:r w:rsidRPr="005F48DD">
        <w:t>The role of the Inspector-General</w:t>
      </w:r>
    </w:p>
    <w:p w14:paraId="46E120A3" w14:textId="77777777" w:rsidR="00A210F6" w:rsidRDefault="00A210F6" w:rsidP="00A210F6">
      <w:r>
        <w:t xml:space="preserve">The Inspector-General of Water Compliance’s regulatory functions are set out in the </w:t>
      </w:r>
      <w:r w:rsidRPr="0022532B">
        <w:rPr>
          <w:i/>
          <w:iCs/>
        </w:rPr>
        <w:t>Water Act 2007</w:t>
      </w:r>
      <w:r>
        <w:t xml:space="preserve"> (Water Act). The independent Inspector–General broadly has the roles of:</w:t>
      </w:r>
    </w:p>
    <w:p w14:paraId="45ADE302" w14:textId="6A582311" w:rsidR="00A210F6" w:rsidRDefault="00A210F6" w:rsidP="00650806">
      <w:pPr>
        <w:pStyle w:val="ListBullet"/>
        <w:spacing w:after="0"/>
      </w:pPr>
      <w:r>
        <w:t xml:space="preserve">monitoring and overseeing the performance of functions and exercise of powers by agencies of the </w:t>
      </w:r>
      <w:proofErr w:type="gramStart"/>
      <w:r>
        <w:t>Commonwealth;</w:t>
      </w:r>
      <w:proofErr w:type="gramEnd"/>
    </w:p>
    <w:p w14:paraId="3AEA9CBE" w14:textId="67EAC794" w:rsidR="00A210F6" w:rsidRDefault="00A210F6" w:rsidP="00650806">
      <w:pPr>
        <w:pStyle w:val="ListBullet"/>
        <w:spacing w:after="0"/>
      </w:pPr>
      <w:r>
        <w:t xml:space="preserve">monitoring and overseeing relevant Commonwealth, and Basin State and territory government agencies’ performance in the management of Basin water </w:t>
      </w:r>
      <w:proofErr w:type="gramStart"/>
      <w:r>
        <w:t>resources;</w:t>
      </w:r>
      <w:proofErr w:type="gramEnd"/>
      <w:r>
        <w:t xml:space="preserve"> </w:t>
      </w:r>
    </w:p>
    <w:p w14:paraId="558BF6C5" w14:textId="126D505A" w:rsidR="00A210F6" w:rsidRDefault="00A210F6" w:rsidP="00650806">
      <w:pPr>
        <w:pStyle w:val="ListBullet"/>
        <w:spacing w:after="0"/>
      </w:pPr>
      <w:r>
        <w:t>enforcing compliance with Commonwealth laws that regulate the management of Basin water resources and the provision of water markets information; and</w:t>
      </w:r>
    </w:p>
    <w:p w14:paraId="669865C2" w14:textId="310B1BA2" w:rsidR="005F48DD" w:rsidRDefault="00A210F6" w:rsidP="00A210F6">
      <w:pPr>
        <w:pStyle w:val="ListBullet"/>
      </w:pPr>
      <w:r>
        <w:t>engaging with the Australian community on the management of Basin water resources.</w:t>
      </w:r>
    </w:p>
    <w:p w14:paraId="170878D5" w14:textId="530AEE16" w:rsidR="0022532B" w:rsidRDefault="0022532B" w:rsidP="0022532B">
      <w:pPr>
        <w:pStyle w:val="Heading3"/>
      </w:pPr>
      <w:r>
        <w:t xml:space="preserve">Independence </w:t>
      </w:r>
    </w:p>
    <w:p w14:paraId="703669B0" w14:textId="77777777" w:rsidR="00965E41" w:rsidRDefault="00965E41" w:rsidP="00965E41">
      <w:r>
        <w:t>T</w:t>
      </w:r>
      <w:r w:rsidRPr="00B02783">
        <w:t>he</w:t>
      </w:r>
      <w:r w:rsidRPr="009E78BE">
        <w:t xml:space="preserve"> significan</w:t>
      </w:r>
      <w:r>
        <w:t>t</w:t>
      </w:r>
      <w:r w:rsidRPr="00B02783">
        <w:t xml:space="preserve"> responsibility </w:t>
      </w:r>
      <w:r>
        <w:t xml:space="preserve">and trust placed by the parliament in the </w:t>
      </w:r>
      <w:r w:rsidRPr="00B02783">
        <w:t>independ</w:t>
      </w:r>
      <w:r>
        <w:t>ent statutory role of Inspector-General is recognised and the Inspector-General will approach this</w:t>
      </w:r>
      <w:r w:rsidRPr="00B02783">
        <w:t xml:space="preserve"> with </w:t>
      </w:r>
      <w:r>
        <w:t>care and diligence</w:t>
      </w:r>
      <w:r w:rsidRPr="00B02783">
        <w:t>.</w:t>
      </w:r>
      <w:r>
        <w:t xml:space="preserve"> </w:t>
      </w:r>
    </w:p>
    <w:p w14:paraId="72817361" w14:textId="77777777" w:rsidR="00965E41" w:rsidRPr="00D56464" w:rsidRDefault="00965E41" w:rsidP="00965E41">
      <w:r>
        <w:t>The Inspector-General recognises the important role of the Australian Parliament and intends to provide the parliament with the appropriate level of information to allow transparent accountability of the Inspector-General role as part of the Westminster system and traditions.</w:t>
      </w:r>
    </w:p>
    <w:p w14:paraId="6B34468C" w14:textId="77777777" w:rsidR="00965E41" w:rsidRDefault="00965E41" w:rsidP="00965E41">
      <w:r>
        <w:t>Conflicts of interest are an area where public trust and confidence are at risk and must be actively managed. This includes structural risks to the system, as well as agency and individual risks in the system.</w:t>
      </w:r>
      <w:r w:rsidRPr="000E0E92">
        <w:t xml:space="preserve"> </w:t>
      </w:r>
      <w:r>
        <w:t>W</w:t>
      </w:r>
      <w:r w:rsidRPr="000E0E92">
        <w:t xml:space="preserve">here possible, </w:t>
      </w:r>
      <w:r>
        <w:t xml:space="preserve">the Inspector-General seeks to </w:t>
      </w:r>
      <w:r w:rsidRPr="000E0E92">
        <w:t>eliminate conflicts of interest in the independent performance of functions</w:t>
      </w:r>
      <w:r>
        <w:t>.</w:t>
      </w:r>
    </w:p>
    <w:p w14:paraId="4F8361DE" w14:textId="77777777" w:rsidR="00965E41" w:rsidRPr="00A60321" w:rsidRDefault="00965E41" w:rsidP="00965E41">
      <w:pPr>
        <w:pStyle w:val="Heading3"/>
      </w:pPr>
      <w:r w:rsidRPr="00A60321">
        <w:t>Values</w:t>
      </w:r>
      <w:r>
        <w:t>, Vision &amp; Strategy</w:t>
      </w:r>
    </w:p>
    <w:p w14:paraId="7E4E68F9" w14:textId="77777777" w:rsidR="00965E41" w:rsidRDefault="00965E41" w:rsidP="003F20DE">
      <w:r>
        <w:t xml:space="preserve">The Inspector-General has established integrity, accountability and transparency as the core values for the Inspector-General and staff supporting this role to adhere to. These are also the values the Inspector-General is committed to pursuing as an achievable aspiration in other water management agencies across the Murray-Darling Basin. </w:t>
      </w:r>
    </w:p>
    <w:p w14:paraId="211E04CE" w14:textId="77777777" w:rsidR="00965E41" w:rsidRDefault="00965E41" w:rsidP="003F20DE">
      <w:r>
        <w:t>These values sit alongside the core values for the Commonwealth public sector which apply to staff supporting the role of Inspector-General. Together, these values support a positive regulatory posture and culture.</w:t>
      </w:r>
    </w:p>
    <w:p w14:paraId="17AB1F7E" w14:textId="77777777" w:rsidR="00965E41" w:rsidRDefault="00965E41" w:rsidP="003F20DE">
      <w:r>
        <w:t xml:space="preserve">Through the values, it is the Inspector-General’s intent to </w:t>
      </w:r>
      <w:r w:rsidRPr="004D5A76">
        <w:t>undertake its functions in the national interest and pursue the truth in the public interest</w:t>
      </w:r>
      <w:r>
        <w:t>. The Inspector-General’s vision is for w</w:t>
      </w:r>
      <w:r w:rsidRPr="00E4422A">
        <w:t xml:space="preserve">ater management and use within the Murray-Darling Basin </w:t>
      </w:r>
      <w:r>
        <w:t>to be</w:t>
      </w:r>
      <w:r w:rsidRPr="00E4422A">
        <w:t xml:space="preserve"> lawful, transparent, and </w:t>
      </w:r>
      <w:r w:rsidRPr="00E4422A">
        <w:lastRenderedPageBreak/>
        <w:t xml:space="preserve">accountable, and the Australian public </w:t>
      </w:r>
      <w:r>
        <w:t>to be</w:t>
      </w:r>
      <w:r w:rsidRPr="00E4422A">
        <w:t xml:space="preserve"> confident in the integrity of Basin Plan delivery.</w:t>
      </w:r>
      <w:r>
        <w:t xml:space="preserve"> The Inspector-General will:</w:t>
      </w:r>
    </w:p>
    <w:p w14:paraId="1AE3D149" w14:textId="77777777" w:rsidR="00965E41" w:rsidRDefault="00965E41" w:rsidP="00650806">
      <w:pPr>
        <w:pStyle w:val="ListBullet"/>
        <w:spacing w:after="0"/>
      </w:pPr>
      <w:r>
        <w:t>e</w:t>
      </w:r>
      <w:r w:rsidRPr="00942AFB">
        <w:t>nsure it’s lawful</w:t>
      </w:r>
      <w:r>
        <w:t>:</w:t>
      </w:r>
      <w:r w:rsidRPr="00D43476">
        <w:t xml:space="preserve"> </w:t>
      </w:r>
      <w:r>
        <w:t>e</w:t>
      </w:r>
      <w:r w:rsidRPr="00D43476">
        <w:t xml:space="preserve">nsure Basin water managers and users meet their obligations under the Water Act 2007 and the Basin </w:t>
      </w:r>
      <w:proofErr w:type="gramStart"/>
      <w:r w:rsidRPr="00D43476">
        <w:t>Plan</w:t>
      </w:r>
      <w:r>
        <w:t>;</w:t>
      </w:r>
      <w:proofErr w:type="gramEnd"/>
    </w:p>
    <w:p w14:paraId="30E08CF3" w14:textId="77777777" w:rsidR="00965E41" w:rsidRDefault="00965E41" w:rsidP="00650806">
      <w:pPr>
        <w:pStyle w:val="ListBullet"/>
        <w:spacing w:after="0"/>
      </w:pPr>
      <w:r>
        <w:t>e</w:t>
      </w:r>
      <w:r w:rsidRPr="00155038">
        <w:t>nsure it’s visible</w:t>
      </w:r>
      <w:r>
        <w:t>:</w:t>
      </w:r>
      <w:r w:rsidRPr="00FE6F7E">
        <w:t xml:space="preserve"> </w:t>
      </w:r>
      <w:r>
        <w:t>p</w:t>
      </w:r>
      <w:r w:rsidRPr="00FE6F7E">
        <w:t xml:space="preserve">rovide the Australian community with visibility over the integrity of Basin water </w:t>
      </w:r>
      <w:proofErr w:type="gramStart"/>
      <w:r w:rsidRPr="00FE6F7E">
        <w:t>management</w:t>
      </w:r>
      <w:r>
        <w:t>;</w:t>
      </w:r>
      <w:proofErr w:type="gramEnd"/>
    </w:p>
    <w:p w14:paraId="318C1F4B" w14:textId="77777777" w:rsidR="00965E41" w:rsidRDefault="00965E41" w:rsidP="00650806">
      <w:pPr>
        <w:pStyle w:val="ListBullet"/>
        <w:spacing w:after="0"/>
      </w:pPr>
      <w:r>
        <w:t>d</w:t>
      </w:r>
      <w:r w:rsidRPr="00E04949">
        <w:t>o it better</w:t>
      </w:r>
      <w:r>
        <w:t>: r</w:t>
      </w:r>
      <w:r w:rsidRPr="00744BFB">
        <w:t>aise performance, drive improvements in standards of Basin Plan delivery</w:t>
      </w:r>
      <w:r>
        <w:t xml:space="preserve">; and </w:t>
      </w:r>
    </w:p>
    <w:p w14:paraId="679951FE" w14:textId="77777777" w:rsidR="00965E41" w:rsidRDefault="00965E41" w:rsidP="003F20DE">
      <w:pPr>
        <w:pStyle w:val="ListBullet"/>
      </w:pPr>
      <w:r>
        <w:t>m</w:t>
      </w:r>
      <w:r w:rsidRPr="002F5D30">
        <w:t>ake it better</w:t>
      </w:r>
      <w:r>
        <w:t>:</w:t>
      </w:r>
      <w:r w:rsidRPr="00FC70F8">
        <w:t xml:space="preserve"> </w:t>
      </w:r>
      <w:r>
        <w:t>u</w:t>
      </w:r>
      <w:r w:rsidRPr="00FC70F8">
        <w:t xml:space="preserve">se knowledge, evidence and insights to input into the ongoing reform of </w:t>
      </w:r>
      <w:r>
        <w:t>water</w:t>
      </w:r>
      <w:r w:rsidRPr="00FC70F8">
        <w:t xml:space="preserve"> regulation.</w:t>
      </w:r>
    </w:p>
    <w:p w14:paraId="7FEB5DA1" w14:textId="77777777" w:rsidR="00965E41" w:rsidRPr="00AD198B" w:rsidRDefault="00965E41" w:rsidP="003F20DE">
      <w:r w:rsidRPr="00AD198B">
        <w:t>The Inspector-General intends to:</w:t>
      </w:r>
    </w:p>
    <w:p w14:paraId="0373D9F6" w14:textId="77777777" w:rsidR="00965E41" w:rsidRDefault="00965E41" w:rsidP="00650806">
      <w:pPr>
        <w:pStyle w:val="ListBullet"/>
        <w:spacing w:after="0"/>
      </w:pPr>
      <w:r w:rsidRPr="00FF79D3">
        <w:t>use audit, investigation, enforcement and other powers in accordance with IGWC’s published Regulatory Policy if there is credible information that laws have been broken</w:t>
      </w:r>
      <w:r>
        <w:t xml:space="preserve">; and </w:t>
      </w:r>
    </w:p>
    <w:p w14:paraId="0E7D5836" w14:textId="77777777" w:rsidR="00965E41" w:rsidRPr="00AD198B" w:rsidRDefault="00965E41" w:rsidP="003F20DE">
      <w:pPr>
        <w:pStyle w:val="ListBullet"/>
      </w:pPr>
      <w:r w:rsidRPr="00AD198B">
        <w:t xml:space="preserve">use inquiry powers to drive improvement if integrity, performance, or </w:t>
      </w:r>
      <w:r w:rsidRPr="00A60321">
        <w:t xml:space="preserve">Basin Plan </w:t>
      </w:r>
      <w:r w:rsidRPr="00AD198B">
        <w:t xml:space="preserve">implementation are at </w:t>
      </w:r>
      <w:r w:rsidRPr="00A60321">
        <w:t xml:space="preserve">significant </w:t>
      </w:r>
      <w:r w:rsidRPr="00AD198B">
        <w:t>risk</w:t>
      </w:r>
      <w:r w:rsidRPr="00A60321">
        <w:t>.</w:t>
      </w:r>
    </w:p>
    <w:p w14:paraId="79ADB8AD" w14:textId="77777777" w:rsidR="00965E41" w:rsidRPr="006547D7" w:rsidRDefault="00965E41" w:rsidP="003F20DE">
      <w:pPr>
        <w:pStyle w:val="Heading3"/>
      </w:pPr>
      <w:r>
        <w:t>A</w:t>
      </w:r>
      <w:r w:rsidRPr="006547D7">
        <w:t xml:space="preserve"> Commonwealth integrity agency</w:t>
      </w:r>
    </w:p>
    <w:p w14:paraId="1892B35F" w14:textId="77777777" w:rsidR="00965E41" w:rsidRDefault="00965E41" w:rsidP="003F20DE">
      <w:pPr>
        <w:rPr>
          <w:i/>
          <w:iCs/>
        </w:rPr>
      </w:pPr>
      <w:r w:rsidRPr="00107D0F">
        <w:t xml:space="preserve">As a </w:t>
      </w:r>
      <w:r>
        <w:t xml:space="preserve">designated integrity agency under the </w:t>
      </w:r>
      <w:r w:rsidRPr="00B02783">
        <w:rPr>
          <w:i/>
          <w:iCs/>
        </w:rPr>
        <w:t>National Anti-Corruption Commission Act</w:t>
      </w:r>
      <w:r>
        <w:rPr>
          <w:i/>
          <w:iCs/>
        </w:rPr>
        <w:t xml:space="preserve"> 2022, </w:t>
      </w:r>
      <w:r>
        <w:t>the Inspector-General is</w:t>
      </w:r>
      <w:r w:rsidRPr="00B02783">
        <w:t xml:space="preserve"> focused on preventing corruption and misconduct within the scope of legislated functions.</w:t>
      </w:r>
    </w:p>
    <w:p w14:paraId="4EF7F3FD" w14:textId="77777777" w:rsidR="00965E41" w:rsidRDefault="00965E41" w:rsidP="003F20DE">
      <w:r>
        <w:t xml:space="preserve">As a </w:t>
      </w:r>
      <w:r w:rsidRPr="00107D0F">
        <w:t xml:space="preserve">member of the Integrity Agencies Group, </w:t>
      </w:r>
      <w:r>
        <w:t>the Inspector-General is</w:t>
      </w:r>
      <w:r w:rsidRPr="00107D0F">
        <w:t xml:space="preserve"> </w:t>
      </w:r>
      <w:r>
        <w:t>committed to collaboration, co-operation and action as part of the Australian Public Sector integrity system.</w:t>
      </w:r>
    </w:p>
    <w:p w14:paraId="19581EC2" w14:textId="77777777" w:rsidR="00965E41" w:rsidRPr="006547D7" w:rsidRDefault="00965E41" w:rsidP="003F20DE">
      <w:pPr>
        <w:pStyle w:val="Heading3"/>
      </w:pPr>
      <w:r w:rsidRPr="006547D7">
        <w:t>Relationships with stakeholders</w:t>
      </w:r>
      <w:r>
        <w:t xml:space="preserve"> and other regulators</w:t>
      </w:r>
    </w:p>
    <w:p w14:paraId="64A0B6E4" w14:textId="77777777" w:rsidR="00965E41" w:rsidRDefault="00965E41" w:rsidP="003F20DE">
      <w:r>
        <w:t xml:space="preserve">Communities and the environment are at the heart of the Basin Plan. The Inspector-General takes a proactive and ongoing approach to engagement across all stakeholders, </w:t>
      </w:r>
      <w:r w:rsidRPr="00153DFF">
        <w:t>including parliaments</w:t>
      </w:r>
      <w:r>
        <w:t xml:space="preserve">, </w:t>
      </w:r>
      <w:r w:rsidRPr="00107D0F">
        <w:t xml:space="preserve">government agencies, </w:t>
      </w:r>
      <w:r>
        <w:t>water users</w:t>
      </w:r>
      <w:r w:rsidRPr="00107D0F">
        <w:t xml:space="preserve">, </w:t>
      </w:r>
      <w:r>
        <w:t>environmental advocates, First Nations peoples, academia,</w:t>
      </w:r>
      <w:r w:rsidRPr="00107D0F">
        <w:t xml:space="preserve"> and </w:t>
      </w:r>
      <w:r>
        <w:t>members of the wider Murray Darling Basin community</w:t>
      </w:r>
      <w:r w:rsidRPr="00107D0F">
        <w:t>.</w:t>
      </w:r>
    </w:p>
    <w:p w14:paraId="04952E6F" w14:textId="77777777" w:rsidR="00965E41" w:rsidRDefault="00965E41" w:rsidP="003F20DE">
      <w:r>
        <w:t>The Inspector-General</w:t>
      </w:r>
      <w:r w:rsidRPr="00107D0F">
        <w:t xml:space="preserve"> maintain</w:t>
      </w:r>
      <w:r>
        <w:t>s</w:t>
      </w:r>
      <w:r w:rsidRPr="00107D0F">
        <w:t xml:space="preserve"> </w:t>
      </w:r>
      <w:r>
        <w:t>important, appropriate and collaborative</w:t>
      </w:r>
      <w:r w:rsidRPr="00107D0F">
        <w:t xml:space="preserve"> </w:t>
      </w:r>
      <w:r>
        <w:t xml:space="preserve">regulatory </w:t>
      </w:r>
      <w:r w:rsidRPr="00107D0F">
        <w:t xml:space="preserve">relationships with </w:t>
      </w:r>
      <w:r>
        <w:t xml:space="preserve">the Australian Consumer &amp; Competition Commission (ACCC), the Bureau of Meteorology (the Bureau), </w:t>
      </w:r>
      <w:r w:rsidRPr="00107D0F">
        <w:t>the Murray-Darling Basin Authority (MDBA)</w:t>
      </w:r>
      <w:r>
        <w:t>,</w:t>
      </w:r>
      <w:r w:rsidRPr="00107D0F">
        <w:t xml:space="preserve"> </w:t>
      </w:r>
      <w:r w:rsidRPr="00C157A8">
        <w:t xml:space="preserve">Basin </w:t>
      </w:r>
      <w:r>
        <w:t>S</w:t>
      </w:r>
      <w:r w:rsidRPr="00C157A8">
        <w:t xml:space="preserve">tate </w:t>
      </w:r>
      <w:r>
        <w:t>regulators, and</w:t>
      </w:r>
      <w:r w:rsidRPr="00C157A8">
        <w:t xml:space="preserve"> </w:t>
      </w:r>
      <w:r>
        <w:t>the Commonwealth Department of Climate Change, Energy, the Environment &amp; Water (DCCEEW)</w:t>
      </w:r>
      <w:r w:rsidRPr="00107D0F">
        <w:t xml:space="preserve">. </w:t>
      </w:r>
    </w:p>
    <w:p w14:paraId="6A23177D" w14:textId="77777777" w:rsidR="00965E41" w:rsidRDefault="00965E41" w:rsidP="003F20DE">
      <w:r>
        <w:t xml:space="preserve">The Inspector-General will maintain a </w:t>
      </w:r>
      <w:r w:rsidRPr="00D9736A">
        <w:t>Memorandum of Understanding</w:t>
      </w:r>
      <w:r>
        <w:t xml:space="preserve"> with the MDBA.</w:t>
      </w:r>
    </w:p>
    <w:p w14:paraId="5F48F4F8" w14:textId="77777777" w:rsidR="00965E41" w:rsidRDefault="00965E41" w:rsidP="003F20DE">
      <w:r w:rsidRPr="00BF7162">
        <w:t xml:space="preserve">As </w:t>
      </w:r>
      <w:r>
        <w:t>an oversight body</w:t>
      </w:r>
      <w:r w:rsidRPr="00BF7162">
        <w:t xml:space="preserve">, the Inspector-General is monitoring regulatory performance across other agencies in the Murray-Darling Basin. The Inspector-General has agreed to a principles-based approach detailed in a Memorandum of Understanding with </w:t>
      </w:r>
      <w:r>
        <w:t xml:space="preserve">five </w:t>
      </w:r>
      <w:r w:rsidRPr="00BF7162">
        <w:t>state water regulators. This includes convening the Regulatory Leaders Forum and sharing knowledge with other jurisdictions.</w:t>
      </w:r>
    </w:p>
    <w:p w14:paraId="0CEAB0C7" w14:textId="77777777" w:rsidR="00965E41" w:rsidRPr="00107D0F" w:rsidRDefault="00965E41" w:rsidP="003F20DE">
      <w:r w:rsidRPr="00153DFF">
        <w:t>Regulatory relationships are constantly balanced with the Inspector-General’s oversight role</w:t>
      </w:r>
      <w:r w:rsidRPr="003F20DE">
        <w:t>.</w:t>
      </w:r>
    </w:p>
    <w:p w14:paraId="228C7E3D" w14:textId="77777777" w:rsidR="00965E41" w:rsidRPr="006B17E1" w:rsidRDefault="00965E41" w:rsidP="00AE4132">
      <w:pPr>
        <w:pStyle w:val="Heading3"/>
      </w:pPr>
      <w:r w:rsidRPr="00A60321">
        <w:t>A principles-based approach</w:t>
      </w:r>
    </w:p>
    <w:p w14:paraId="02D3A9A1" w14:textId="77777777" w:rsidR="00965E41" w:rsidRDefault="00965E41" w:rsidP="00AE4132">
      <w:r>
        <w:t>The Inspector-General</w:t>
      </w:r>
      <w:r w:rsidRPr="00107D0F">
        <w:t xml:space="preserve"> </w:t>
      </w:r>
      <w:r>
        <w:t>notes</w:t>
      </w:r>
      <w:r w:rsidRPr="00107D0F">
        <w:t xml:space="preserve"> the Government’s </w:t>
      </w:r>
      <w:r>
        <w:t>r</w:t>
      </w:r>
      <w:r w:rsidRPr="00107D0F">
        <w:t xml:space="preserve">egulatory </w:t>
      </w:r>
      <w:r>
        <w:t>r</w:t>
      </w:r>
      <w:r w:rsidRPr="00107D0F">
        <w:t xml:space="preserve">eform </w:t>
      </w:r>
      <w:r>
        <w:t>a</w:t>
      </w:r>
      <w:r w:rsidRPr="00107D0F">
        <w:t xml:space="preserve">genda and </w:t>
      </w:r>
      <w:r>
        <w:t>has</w:t>
      </w:r>
      <w:r w:rsidRPr="00107D0F">
        <w:t xml:space="preserve"> </w:t>
      </w:r>
      <w:r>
        <w:t>implemented</w:t>
      </w:r>
      <w:r w:rsidRPr="00107D0F">
        <w:t xml:space="preserve"> best practice principles of the </w:t>
      </w:r>
      <w:r w:rsidRPr="00A60321">
        <w:t>Regulator Performance</w:t>
      </w:r>
      <w:r w:rsidRPr="00107D0F">
        <w:t xml:space="preserve"> Resource Management Guide (RMG 128),</w:t>
      </w:r>
      <w:r>
        <w:t xml:space="preserve"> including</w:t>
      </w:r>
      <w:r w:rsidRPr="00107D0F">
        <w:t xml:space="preserve">: </w:t>
      </w:r>
    </w:p>
    <w:p w14:paraId="0D1F3333" w14:textId="77777777" w:rsidR="00965E41" w:rsidRDefault="00965E41" w:rsidP="00650806">
      <w:pPr>
        <w:pStyle w:val="ListBullet"/>
        <w:spacing w:after="0"/>
      </w:pPr>
      <w:r w:rsidRPr="00107D0F">
        <w:t xml:space="preserve">continuous improvement and trust </w:t>
      </w:r>
      <w:proofErr w:type="gramStart"/>
      <w:r w:rsidRPr="00107D0F">
        <w:t>building</w:t>
      </w:r>
      <w:r>
        <w:t>;</w:t>
      </w:r>
      <w:proofErr w:type="gramEnd"/>
    </w:p>
    <w:p w14:paraId="00FBD75E" w14:textId="77777777" w:rsidR="00965E41" w:rsidRDefault="00965E41" w:rsidP="00650806">
      <w:pPr>
        <w:pStyle w:val="ListBullet"/>
        <w:spacing w:after="0"/>
      </w:pPr>
      <w:r w:rsidRPr="00107D0F">
        <w:t>risk based and data driven decision-making</w:t>
      </w:r>
      <w:r>
        <w:t>;</w:t>
      </w:r>
      <w:r w:rsidRPr="00107D0F">
        <w:t xml:space="preserve"> and </w:t>
      </w:r>
    </w:p>
    <w:p w14:paraId="5881DF38" w14:textId="77777777" w:rsidR="00965E41" w:rsidRPr="00107D0F" w:rsidRDefault="00965E41" w:rsidP="00AE4132">
      <w:pPr>
        <w:pStyle w:val="ListBullet"/>
      </w:pPr>
      <w:r w:rsidRPr="00107D0F">
        <w:t>collaborative engagement.</w:t>
      </w:r>
    </w:p>
    <w:p w14:paraId="095D4D21" w14:textId="77777777" w:rsidR="00965E41" w:rsidRPr="00107D0F" w:rsidRDefault="00965E41" w:rsidP="00AE4132">
      <w:r>
        <w:lastRenderedPageBreak/>
        <w:t>These</w:t>
      </w:r>
      <w:r w:rsidRPr="00107D0F">
        <w:t xml:space="preserve"> are key components of </w:t>
      </w:r>
      <w:r>
        <w:t>the Inspector-General’s</w:t>
      </w:r>
      <w:r w:rsidRPr="00107D0F">
        <w:t xml:space="preserve"> Regulatory Policy which sets out</w:t>
      </w:r>
      <w:r>
        <w:t xml:space="preserve"> the</w:t>
      </w:r>
      <w:r w:rsidRPr="00107D0F">
        <w:t xml:space="preserve"> roles and responsibilities </w:t>
      </w:r>
      <w:r>
        <w:t>of the Inspector-General as well as</w:t>
      </w:r>
      <w:r w:rsidRPr="00107D0F">
        <w:t xml:space="preserve"> provid</w:t>
      </w:r>
      <w:r>
        <w:t>ing</w:t>
      </w:r>
      <w:r w:rsidRPr="00107D0F">
        <w:t xml:space="preserve"> </w:t>
      </w:r>
      <w:r>
        <w:t>guidance</w:t>
      </w:r>
      <w:r w:rsidRPr="00107D0F">
        <w:t xml:space="preserve"> on how and when </w:t>
      </w:r>
      <w:r>
        <w:t>the Inspector-General</w:t>
      </w:r>
      <w:r w:rsidRPr="00107D0F">
        <w:t xml:space="preserve"> will use </w:t>
      </w:r>
      <w:r>
        <w:t>statutory</w:t>
      </w:r>
      <w:r w:rsidRPr="00107D0F">
        <w:t xml:space="preserve"> powers. </w:t>
      </w:r>
    </w:p>
    <w:p w14:paraId="5B64A49B" w14:textId="77777777" w:rsidR="00965E41" w:rsidRDefault="00965E41" w:rsidP="00AE4132">
      <w:r w:rsidRPr="00153DFF">
        <w:t xml:space="preserve">The Inspector-General aspires to exemplary compliance, including planning and reporting obligations in the Water Act and the </w:t>
      </w:r>
      <w:r w:rsidRPr="00153DFF">
        <w:rPr>
          <w:i/>
          <w:iCs/>
        </w:rPr>
        <w:t>Public Governance, Performance and Accountability Act 2023</w:t>
      </w:r>
      <w:r w:rsidRPr="00153DFF">
        <w:t xml:space="preserve"> (PGPA Act).</w:t>
      </w:r>
    </w:p>
    <w:p w14:paraId="3F0BC24C" w14:textId="77777777" w:rsidR="00965E41" w:rsidRPr="000A665E" w:rsidRDefault="00965E41" w:rsidP="00AE4132">
      <w:pPr>
        <w:pStyle w:val="Heading3"/>
      </w:pPr>
      <w:r w:rsidRPr="00A60321">
        <w:t xml:space="preserve">The Inspector-General’s </w:t>
      </w:r>
      <w:r w:rsidRPr="00E173D2">
        <w:t>r</w:t>
      </w:r>
      <w:r w:rsidRPr="00A60321">
        <w:t>egulatory performance</w:t>
      </w:r>
      <w:r>
        <w:t xml:space="preserve"> and best practice</w:t>
      </w:r>
    </w:p>
    <w:p w14:paraId="4129BE58" w14:textId="77777777" w:rsidR="00965E41" w:rsidRDefault="00965E41" w:rsidP="00AE4132">
      <w:pPr>
        <w:rPr>
          <w:i/>
          <w:iCs/>
        </w:rPr>
      </w:pPr>
      <w:r>
        <w:t>The Inspector-General is</w:t>
      </w:r>
      <w:r w:rsidRPr="00107D0F">
        <w:t xml:space="preserve"> applying </w:t>
      </w:r>
      <w:r>
        <w:t>a</w:t>
      </w:r>
      <w:r w:rsidRPr="00107D0F">
        <w:t xml:space="preserve"> stewardship</w:t>
      </w:r>
      <w:r>
        <w:t xml:space="preserve"> approach consistent with the</w:t>
      </w:r>
      <w:r w:rsidRPr="00107D0F">
        <w:t xml:space="preserve"> principles and practices outlined in the Australian Government’s </w:t>
      </w:r>
      <w:r w:rsidRPr="00107D0F">
        <w:rPr>
          <w:i/>
          <w:iCs/>
        </w:rPr>
        <w:t xml:space="preserve">Regulatory Policy, Practice and Performance Framework. </w:t>
      </w:r>
    </w:p>
    <w:p w14:paraId="7977FC8C" w14:textId="77777777" w:rsidR="00965E41" w:rsidRDefault="00965E41" w:rsidP="00AE4132">
      <w:r>
        <w:t>The Inspector-General</w:t>
      </w:r>
      <w:r w:rsidRPr="00107D0F">
        <w:t xml:space="preserve"> </w:t>
      </w:r>
      <w:r>
        <w:t xml:space="preserve">is engaged with the </w:t>
      </w:r>
      <w:r w:rsidRPr="0086347E">
        <w:t xml:space="preserve">Australasian Environmental Law Enforcement and Regulators </w:t>
      </w:r>
      <w:proofErr w:type="spellStart"/>
      <w:r w:rsidRPr="0086347E">
        <w:t>neTwork</w:t>
      </w:r>
      <w:proofErr w:type="spellEnd"/>
      <w:r w:rsidRPr="0086347E">
        <w:t xml:space="preserve"> (AELERT), and other communities of practice</w:t>
      </w:r>
      <w:r>
        <w:t xml:space="preserve"> to </w:t>
      </w:r>
      <w:r w:rsidRPr="00107D0F">
        <w:t>continuously build and strengthen capability</w:t>
      </w:r>
      <w:r>
        <w:t xml:space="preserve"> and regulatory</w:t>
      </w:r>
      <w:r w:rsidRPr="00107D0F">
        <w:t xml:space="preserve"> best practice. </w:t>
      </w:r>
    </w:p>
    <w:p w14:paraId="0B208B1D" w14:textId="77777777" w:rsidR="00965E41" w:rsidRPr="00107D0F" w:rsidRDefault="00965E41" w:rsidP="00AE4132">
      <w:r>
        <w:t>The Inspector-General is</w:t>
      </w:r>
      <w:r w:rsidRPr="00107D0F">
        <w:t xml:space="preserve"> completing regular self-assessment</w:t>
      </w:r>
      <w:r>
        <w:t>s</w:t>
      </w:r>
      <w:r w:rsidRPr="00107D0F">
        <w:t xml:space="preserve"> </w:t>
      </w:r>
      <w:r>
        <w:t>using</w:t>
      </w:r>
      <w:r w:rsidRPr="00107D0F">
        <w:t xml:space="preserve"> the Modern Regulator Improvement Tool (MRIT)</w:t>
      </w:r>
      <w:r>
        <w:t>, including independent assurance and review,</w:t>
      </w:r>
      <w:r w:rsidRPr="00107D0F">
        <w:t xml:space="preserve"> and making the results publicly available online. The MRIT measure</w:t>
      </w:r>
      <w:r>
        <w:t>s</w:t>
      </w:r>
      <w:r w:rsidRPr="00107D0F">
        <w:t xml:space="preserve"> organisational maturity and </w:t>
      </w:r>
      <w:r>
        <w:t xml:space="preserve">is </w:t>
      </w:r>
      <w:r w:rsidRPr="00107D0F">
        <w:t xml:space="preserve">a measure of continuous improvement over time. </w:t>
      </w:r>
    </w:p>
    <w:p w14:paraId="7A857B93" w14:textId="77777777" w:rsidR="00965E41" w:rsidRPr="00107D0F" w:rsidRDefault="00965E41" w:rsidP="00AE4132">
      <w:r w:rsidRPr="00B45DBD">
        <w:t xml:space="preserve">The Inspector-General </w:t>
      </w:r>
      <w:r>
        <w:t>will</w:t>
      </w:r>
      <w:r w:rsidRPr="00107D0F">
        <w:t>:</w:t>
      </w:r>
    </w:p>
    <w:p w14:paraId="6DE29E66" w14:textId="77777777" w:rsidR="00965E41" w:rsidRPr="00107D0F" w:rsidRDefault="00965E41" w:rsidP="00650806">
      <w:pPr>
        <w:pStyle w:val="ListBullet"/>
        <w:spacing w:after="0"/>
      </w:pPr>
      <w:r>
        <w:t>consider</w:t>
      </w:r>
      <w:r w:rsidRPr="00107D0F">
        <w:t xml:space="preserve"> the matters covered in the Minister’s Statement of Expectations in the development of annual work plans in accordance with sections 215E and, to the extent relevant, 215G of the Water </w:t>
      </w:r>
      <w:proofErr w:type="gramStart"/>
      <w:r w:rsidRPr="00107D0F">
        <w:t>Act</w:t>
      </w:r>
      <w:r>
        <w:t>;</w:t>
      </w:r>
      <w:proofErr w:type="gramEnd"/>
    </w:p>
    <w:p w14:paraId="29E3B3C1" w14:textId="77777777" w:rsidR="00965E41" w:rsidRPr="00107D0F" w:rsidRDefault="00965E41" w:rsidP="00650806">
      <w:pPr>
        <w:pStyle w:val="ListBullet"/>
        <w:spacing w:after="0"/>
      </w:pPr>
      <w:r w:rsidRPr="00107D0F">
        <w:t xml:space="preserve">report on matters set out in </w:t>
      </w:r>
      <w:r>
        <w:t>this</w:t>
      </w:r>
      <w:r w:rsidRPr="00107D0F">
        <w:t xml:space="preserve"> Statement of </w:t>
      </w:r>
      <w:r>
        <w:t>Intent</w:t>
      </w:r>
      <w:r w:rsidRPr="000010C6">
        <w:t xml:space="preserve"> </w:t>
      </w:r>
      <w:r w:rsidRPr="00107D0F">
        <w:t xml:space="preserve">in annual reporting provided in accordance with section 215Y of the Water </w:t>
      </w:r>
      <w:proofErr w:type="gramStart"/>
      <w:r w:rsidRPr="00107D0F">
        <w:t>Act</w:t>
      </w:r>
      <w:r>
        <w:t>;</w:t>
      </w:r>
      <w:proofErr w:type="gramEnd"/>
    </w:p>
    <w:p w14:paraId="1F73C0F7" w14:textId="77777777" w:rsidR="00965E41" w:rsidRPr="00107D0F" w:rsidRDefault="00965E41" w:rsidP="00650806">
      <w:pPr>
        <w:pStyle w:val="ListBullet"/>
        <w:spacing w:after="0"/>
      </w:pPr>
      <w:r w:rsidRPr="00107D0F">
        <w:t xml:space="preserve">report on IGWC financial matters in the DCCEEW annual report in accordance with the requirements of the PGPA </w:t>
      </w:r>
      <w:proofErr w:type="gramStart"/>
      <w:r w:rsidRPr="00107D0F">
        <w:t>Act</w:t>
      </w:r>
      <w:r>
        <w:t>;</w:t>
      </w:r>
      <w:proofErr w:type="gramEnd"/>
    </w:p>
    <w:p w14:paraId="36BE9301" w14:textId="77777777" w:rsidR="00965E41" w:rsidRPr="00107D0F" w:rsidRDefault="00965E41" w:rsidP="00AE4132">
      <w:pPr>
        <w:pStyle w:val="ListBullet"/>
      </w:pPr>
      <w:r>
        <w:t>publish</w:t>
      </w:r>
      <w:r w:rsidRPr="00107D0F">
        <w:t xml:space="preserve"> the Minister’s Statement of </w:t>
      </w:r>
      <w:r w:rsidRPr="007C2E3D">
        <w:t xml:space="preserve">Expectations </w:t>
      </w:r>
      <w:r w:rsidRPr="00107D0F">
        <w:t xml:space="preserve">and the Inspector-General’s </w:t>
      </w:r>
      <w:r>
        <w:t>Statement of Intent</w:t>
      </w:r>
      <w:r w:rsidRPr="00107D0F">
        <w:t xml:space="preserve"> on the IGWC website.</w:t>
      </w:r>
    </w:p>
    <w:p w14:paraId="481A6DF2" w14:textId="77777777" w:rsidR="00965E41" w:rsidRPr="006547D7" w:rsidRDefault="00965E41" w:rsidP="00AE4132">
      <w:pPr>
        <w:pStyle w:val="Heading3"/>
      </w:pPr>
      <w:r w:rsidRPr="006547D7">
        <w:t>Interactions between Minister</w:t>
      </w:r>
      <w:r>
        <w:t>(s)</w:t>
      </w:r>
      <w:r w:rsidRPr="006547D7">
        <w:t xml:space="preserve"> and regulator</w:t>
      </w:r>
    </w:p>
    <w:p w14:paraId="38F8BBED" w14:textId="77777777" w:rsidR="00965E41" w:rsidRPr="00107D0F" w:rsidRDefault="00965E41" w:rsidP="00AE4132">
      <w:r>
        <w:t>The Inspector-General is</w:t>
      </w:r>
      <w:r w:rsidRPr="00107D0F">
        <w:t xml:space="preserve"> committed to providing the </w:t>
      </w:r>
      <w:r>
        <w:t xml:space="preserve">Australian Government </w:t>
      </w:r>
      <w:r w:rsidRPr="00107D0F">
        <w:t>Minister</w:t>
      </w:r>
      <w:r>
        <w:t xml:space="preserve"> for Water,</w:t>
      </w:r>
      <w:r w:rsidRPr="00107D0F">
        <w:t xml:space="preserve"> and the Water and Murray-Darling Basin Ministerial Council, with </w:t>
      </w:r>
      <w:r>
        <w:t>evidence-based</w:t>
      </w:r>
      <w:r w:rsidRPr="00107D0F">
        <w:t xml:space="preserve"> and timely advice on significant issues </w:t>
      </w:r>
      <w:r>
        <w:t xml:space="preserve">and risks </w:t>
      </w:r>
      <w:r w:rsidRPr="00107D0F">
        <w:t xml:space="preserve">within jurisdiction. </w:t>
      </w:r>
    </w:p>
    <w:p w14:paraId="080211DE" w14:textId="77777777" w:rsidR="00965E41" w:rsidRPr="006547D7" w:rsidRDefault="00965E41" w:rsidP="00AE4132">
      <w:pPr>
        <w:pStyle w:val="Heading3"/>
      </w:pPr>
      <w:r>
        <w:t>Review</w:t>
      </w:r>
    </w:p>
    <w:p w14:paraId="5274335C" w14:textId="77777777" w:rsidR="00965E41" w:rsidRPr="00107D0F" w:rsidRDefault="00965E41" w:rsidP="00AE4132">
      <w:r>
        <w:t>T</w:t>
      </w:r>
      <w:r w:rsidRPr="00107D0F">
        <w:t xml:space="preserve">his </w:t>
      </w:r>
      <w:r w:rsidRPr="00807E8C">
        <w:t xml:space="preserve">Statement of Intent </w:t>
      </w:r>
      <w:r w:rsidRPr="00107D0F">
        <w:t xml:space="preserve">will be reviewed and updated to reflect any changes made to the Ministerial Statement of Expectations, </w:t>
      </w:r>
      <w:r>
        <w:t>or</w:t>
      </w:r>
      <w:r w:rsidRPr="00107D0F">
        <w:t xml:space="preserve"> every two years, or at any time </w:t>
      </w:r>
      <w:r>
        <w:t>as determined by the Inspector-General</w:t>
      </w:r>
      <w:r w:rsidRPr="00107D0F">
        <w:t>.</w:t>
      </w:r>
    </w:p>
    <w:p w14:paraId="736B492E" w14:textId="77777777" w:rsidR="00DF6DAB" w:rsidRPr="00153DFF" w:rsidRDefault="00DF6DAB" w:rsidP="00DF6DAB">
      <w:pPr>
        <w:jc w:val="both"/>
      </w:pPr>
      <w:r w:rsidRPr="00153DFF">
        <w:rPr>
          <w:noProof/>
        </w:rPr>
        <w:drawing>
          <wp:inline distT="0" distB="0" distL="0" distR="0" wp14:anchorId="3E8E22E0" wp14:editId="3743CC8A">
            <wp:extent cx="1914525" cy="904875"/>
            <wp:effectExtent l="0" t="0" r="9525" b="9525"/>
            <wp:docPr id="20984558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55828"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904875"/>
                    </a:xfrm>
                    <a:prstGeom prst="rect">
                      <a:avLst/>
                    </a:prstGeom>
                    <a:noFill/>
                    <a:ln>
                      <a:noFill/>
                    </a:ln>
                  </pic:spPr>
                </pic:pic>
              </a:graphicData>
            </a:graphic>
          </wp:inline>
        </w:drawing>
      </w:r>
    </w:p>
    <w:p w14:paraId="75E36869" w14:textId="77777777" w:rsidR="00DF6DAB" w:rsidRDefault="00DF6DAB" w:rsidP="00DF6DAB">
      <w:r>
        <w:t>The Hon Troy Grant</w:t>
      </w:r>
    </w:p>
    <w:p w14:paraId="30298A58" w14:textId="77777777" w:rsidR="00DF6DAB" w:rsidRDefault="00DF6DAB" w:rsidP="00DF6DAB">
      <w:r>
        <w:t>Inspector General of Water Compliance</w:t>
      </w:r>
    </w:p>
    <w:p w14:paraId="365CA948" w14:textId="328EDC1A" w:rsidR="0022532B" w:rsidRPr="0022532B" w:rsidRDefault="00DF6DAB" w:rsidP="0022532B">
      <w:r>
        <w:t>5 March 2025</w:t>
      </w:r>
    </w:p>
    <w:sectPr w:rsidR="0022532B" w:rsidRPr="0022532B" w:rsidSect="00D52CD2">
      <w:type w:val="continuous"/>
      <w:pgSz w:w="11906" w:h="16838"/>
      <w:pgMar w:top="1284" w:right="1134" w:bottom="816" w:left="1134" w:header="425" w:footer="7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2A58D" w14:textId="77777777" w:rsidR="00DB1401" w:rsidRDefault="00DB1401">
      <w:r>
        <w:separator/>
      </w:r>
    </w:p>
  </w:endnote>
  <w:endnote w:type="continuationSeparator" w:id="0">
    <w:p w14:paraId="33A37D50" w14:textId="77777777" w:rsidR="00DB1401" w:rsidRDefault="00DB1401">
      <w:r>
        <w:continuationSeparator/>
      </w:r>
    </w:p>
  </w:endnote>
  <w:endnote w:type="continuationNotice" w:id="1">
    <w:p w14:paraId="41AF3BCB" w14:textId="77777777" w:rsidR="00C61704" w:rsidRDefault="00C61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AB49" w14:textId="77777777" w:rsidR="00A4261E" w:rsidRDefault="00A4261E" w:rsidP="00FB0DE5">
    <w:pPr>
      <w:pStyle w:val="Header"/>
      <w:rPr>
        <w:color w:val="FF0000"/>
      </w:rPr>
    </w:pPr>
  </w:p>
  <w:p w14:paraId="07237AE6" w14:textId="0A88B2F5" w:rsidR="0046450A" w:rsidRPr="00FB0DE5" w:rsidRDefault="00FB0DE5" w:rsidP="00FB0DE5">
    <w:pPr>
      <w:pStyle w:val="Footer"/>
      <w:tabs>
        <w:tab w:val="clear" w:pos="4513"/>
        <w:tab w:val="clear" w:pos="9026"/>
        <w:tab w:val="right" w:pos="9638"/>
      </w:tabs>
    </w:pPr>
    <w:r>
      <w:t>Inspector - General of Water Compliance</w:t>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77B0" w14:textId="77777777" w:rsidR="00A4261E" w:rsidRDefault="00A4261E" w:rsidP="00FB0DE5">
    <w:pPr>
      <w:pStyle w:val="Footerclassification"/>
    </w:pPr>
  </w:p>
  <w:p w14:paraId="53452873" w14:textId="105C7428" w:rsidR="009F0367" w:rsidRPr="009F0367" w:rsidRDefault="00DC6237" w:rsidP="00DE06C0">
    <w:pPr>
      <w:pStyle w:val="Footer"/>
      <w:tabs>
        <w:tab w:val="clear" w:pos="4513"/>
        <w:tab w:val="clear" w:pos="9026"/>
        <w:tab w:val="right" w:pos="9638"/>
      </w:tabs>
    </w:pPr>
    <w:r>
      <w:t>Inspector - General of Water Compliance</w:t>
    </w:r>
    <w:r w:rsidR="00DE06C0">
      <w:tab/>
    </w:r>
    <w:r w:rsidR="009F0367">
      <w:fldChar w:fldCharType="begin"/>
    </w:r>
    <w:r w:rsidR="009F0367">
      <w:instrText xml:space="preserve"> PAGE   \* MERGEFORMAT </w:instrText>
    </w:r>
    <w:r w:rsidR="009F0367">
      <w:fldChar w:fldCharType="separate"/>
    </w:r>
    <w:r w:rsidR="009F0367">
      <w:t>1</w:t>
    </w:r>
    <w:r w:rsidR="009F03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410D" w14:textId="77777777" w:rsidR="00DB1401" w:rsidRDefault="00DB1401">
      <w:r>
        <w:separator/>
      </w:r>
    </w:p>
  </w:footnote>
  <w:footnote w:type="continuationSeparator" w:id="0">
    <w:p w14:paraId="60C3CD41" w14:textId="77777777" w:rsidR="00DB1401" w:rsidRDefault="00DB1401">
      <w:r>
        <w:continuationSeparator/>
      </w:r>
    </w:p>
  </w:footnote>
  <w:footnote w:type="continuationNotice" w:id="1">
    <w:p w14:paraId="545EA0F2" w14:textId="77777777" w:rsidR="00C61704" w:rsidRDefault="00C617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FCE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6EEA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160A8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F3CA2A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7838D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62E3CE4"/>
    <w:multiLevelType w:val="hybridMultilevel"/>
    <w:tmpl w:val="58A6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713454"/>
    <w:multiLevelType w:val="hybridMultilevel"/>
    <w:tmpl w:val="7262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0"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1" w15:restartNumberingAfterBreak="0">
    <w:nsid w:val="1F745BC2"/>
    <w:multiLevelType w:val="multilevel"/>
    <w:tmpl w:val="E5E89F92"/>
    <w:numStyleLink w:val="BulletList"/>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5"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6"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257244B"/>
    <w:multiLevelType w:val="hybridMultilevel"/>
    <w:tmpl w:val="3422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CF72C0"/>
    <w:multiLevelType w:val="multilevel"/>
    <w:tmpl w:val="211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6"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53882569">
    <w:abstractNumId w:val="27"/>
  </w:num>
  <w:num w:numId="2" w16cid:durableId="708839943">
    <w:abstractNumId w:val="6"/>
  </w:num>
  <w:num w:numId="3" w16cid:durableId="785348423">
    <w:abstractNumId w:val="25"/>
  </w:num>
  <w:num w:numId="4" w16cid:durableId="173542859">
    <w:abstractNumId w:val="23"/>
  </w:num>
  <w:num w:numId="5" w16cid:durableId="1679846274">
    <w:abstractNumId w:val="13"/>
  </w:num>
  <w:num w:numId="6" w16cid:durableId="1145439856">
    <w:abstractNumId w:val="12"/>
  </w:num>
  <w:num w:numId="7" w16cid:durableId="1963421248">
    <w:abstractNumId w:val="22"/>
  </w:num>
  <w:num w:numId="8" w16cid:durableId="108820026">
    <w:abstractNumId w:val="11"/>
  </w:num>
  <w:num w:numId="9" w16cid:durableId="563369993">
    <w:abstractNumId w:val="10"/>
  </w:num>
  <w:num w:numId="10" w16cid:durableId="251821415">
    <w:abstractNumId w:val="26"/>
  </w:num>
  <w:num w:numId="11" w16cid:durableId="1896971166">
    <w:abstractNumId w:val="22"/>
  </w:num>
  <w:num w:numId="12" w16cid:durableId="534315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315154">
    <w:abstractNumId w:val="15"/>
  </w:num>
  <w:num w:numId="14" w16cid:durableId="701129840">
    <w:abstractNumId w:val="21"/>
  </w:num>
  <w:num w:numId="15" w16cid:durableId="751317047">
    <w:abstractNumId w:val="24"/>
  </w:num>
  <w:num w:numId="16" w16cid:durableId="1444421000">
    <w:abstractNumId w:val="22"/>
  </w:num>
  <w:num w:numId="17" w16cid:durableId="197047620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460205">
    <w:abstractNumId w:val="22"/>
  </w:num>
  <w:num w:numId="19" w16cid:durableId="826441073">
    <w:abstractNumId w:val="16"/>
  </w:num>
  <w:num w:numId="20" w16cid:durableId="563641559">
    <w:abstractNumId w:val="22"/>
  </w:num>
  <w:num w:numId="21" w16cid:durableId="1877083964">
    <w:abstractNumId w:val="20"/>
  </w:num>
  <w:num w:numId="22" w16cid:durableId="712853052">
    <w:abstractNumId w:val="14"/>
  </w:num>
  <w:num w:numId="23" w16cid:durableId="725448677">
    <w:abstractNumId w:val="9"/>
  </w:num>
  <w:num w:numId="24" w16cid:durableId="1516382302">
    <w:abstractNumId w:val="22"/>
  </w:num>
  <w:num w:numId="25" w16cid:durableId="1855223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05530">
    <w:abstractNumId w:val="5"/>
  </w:num>
  <w:num w:numId="27" w16cid:durableId="1977249617">
    <w:abstractNumId w:val="18"/>
  </w:num>
  <w:num w:numId="28" w16cid:durableId="2018724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2805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8421385">
    <w:abstractNumId w:val="22"/>
  </w:num>
  <w:num w:numId="31" w16cid:durableId="2084521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4376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4905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486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3389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978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8374190">
    <w:abstractNumId w:val="0"/>
  </w:num>
  <w:num w:numId="38" w16cid:durableId="856583033">
    <w:abstractNumId w:val="1"/>
  </w:num>
  <w:num w:numId="39" w16cid:durableId="1806896289">
    <w:abstractNumId w:val="2"/>
  </w:num>
  <w:num w:numId="40" w16cid:durableId="853685470">
    <w:abstractNumId w:val="3"/>
  </w:num>
  <w:num w:numId="41" w16cid:durableId="613757274">
    <w:abstractNumId w:val="4"/>
  </w:num>
  <w:num w:numId="42" w16cid:durableId="1943685943">
    <w:abstractNumId w:val="19"/>
  </w:num>
  <w:num w:numId="43" w16cid:durableId="1519658553">
    <w:abstractNumId w:val="8"/>
  </w:num>
  <w:num w:numId="44" w16cid:durableId="671763384">
    <w:abstractNumId w:val="7"/>
  </w:num>
  <w:num w:numId="45" w16cid:durableId="74969282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0E7F"/>
    <w:rsid w:val="000131EE"/>
    <w:rsid w:val="000514BD"/>
    <w:rsid w:val="000613B1"/>
    <w:rsid w:val="00071327"/>
    <w:rsid w:val="00082E59"/>
    <w:rsid w:val="00091B06"/>
    <w:rsid w:val="000A1305"/>
    <w:rsid w:val="000C6BD7"/>
    <w:rsid w:val="000D06D9"/>
    <w:rsid w:val="000D1751"/>
    <w:rsid w:val="000E5C12"/>
    <w:rsid w:val="000F55E7"/>
    <w:rsid w:val="00114BA0"/>
    <w:rsid w:val="001345C9"/>
    <w:rsid w:val="0014182C"/>
    <w:rsid w:val="00156132"/>
    <w:rsid w:val="0015695F"/>
    <w:rsid w:val="0017077A"/>
    <w:rsid w:val="00170D66"/>
    <w:rsid w:val="00170DC6"/>
    <w:rsid w:val="0017351A"/>
    <w:rsid w:val="0017617F"/>
    <w:rsid w:val="001827C2"/>
    <w:rsid w:val="00186E6F"/>
    <w:rsid w:val="00191A17"/>
    <w:rsid w:val="001C0255"/>
    <w:rsid w:val="001F2A15"/>
    <w:rsid w:val="00204E35"/>
    <w:rsid w:val="0022532B"/>
    <w:rsid w:val="00231A97"/>
    <w:rsid w:val="00234177"/>
    <w:rsid w:val="00234917"/>
    <w:rsid w:val="002561B9"/>
    <w:rsid w:val="00272B0B"/>
    <w:rsid w:val="002820D6"/>
    <w:rsid w:val="00286755"/>
    <w:rsid w:val="002A7384"/>
    <w:rsid w:val="002B4251"/>
    <w:rsid w:val="002C086E"/>
    <w:rsid w:val="002C6C13"/>
    <w:rsid w:val="002D3EC0"/>
    <w:rsid w:val="002E351B"/>
    <w:rsid w:val="00302146"/>
    <w:rsid w:val="0034207B"/>
    <w:rsid w:val="00352BB1"/>
    <w:rsid w:val="0035670A"/>
    <w:rsid w:val="00374588"/>
    <w:rsid w:val="00374903"/>
    <w:rsid w:val="00376A5A"/>
    <w:rsid w:val="00384EC2"/>
    <w:rsid w:val="0039416C"/>
    <w:rsid w:val="003A6733"/>
    <w:rsid w:val="003A7927"/>
    <w:rsid w:val="003B10AF"/>
    <w:rsid w:val="003B64C4"/>
    <w:rsid w:val="003B7B80"/>
    <w:rsid w:val="003C464C"/>
    <w:rsid w:val="003D63BD"/>
    <w:rsid w:val="003F20DE"/>
    <w:rsid w:val="003F7DA8"/>
    <w:rsid w:val="00406DCC"/>
    <w:rsid w:val="00407D3B"/>
    <w:rsid w:val="004119E4"/>
    <w:rsid w:val="00412531"/>
    <w:rsid w:val="0041656D"/>
    <w:rsid w:val="00422D8D"/>
    <w:rsid w:val="00463BE8"/>
    <w:rsid w:val="0046450A"/>
    <w:rsid w:val="00474D5B"/>
    <w:rsid w:val="00482C26"/>
    <w:rsid w:val="00490047"/>
    <w:rsid w:val="004A3264"/>
    <w:rsid w:val="004B6AB8"/>
    <w:rsid w:val="004C561D"/>
    <w:rsid w:val="004E30CC"/>
    <w:rsid w:val="004F33A8"/>
    <w:rsid w:val="004F5BB5"/>
    <w:rsid w:val="005102AB"/>
    <w:rsid w:val="00510BCE"/>
    <w:rsid w:val="005268BF"/>
    <w:rsid w:val="005359F0"/>
    <w:rsid w:val="00564FB9"/>
    <w:rsid w:val="00585FD1"/>
    <w:rsid w:val="00597E72"/>
    <w:rsid w:val="005B2F67"/>
    <w:rsid w:val="005C5D99"/>
    <w:rsid w:val="005E3F3F"/>
    <w:rsid w:val="005F48DD"/>
    <w:rsid w:val="00606C45"/>
    <w:rsid w:val="00617D03"/>
    <w:rsid w:val="00622053"/>
    <w:rsid w:val="00650806"/>
    <w:rsid w:val="00655D0A"/>
    <w:rsid w:val="006701E1"/>
    <w:rsid w:val="00681224"/>
    <w:rsid w:val="006B2B83"/>
    <w:rsid w:val="006C52D1"/>
    <w:rsid w:val="006D01B3"/>
    <w:rsid w:val="006E0EC3"/>
    <w:rsid w:val="006E2B5F"/>
    <w:rsid w:val="006F3470"/>
    <w:rsid w:val="00710673"/>
    <w:rsid w:val="0072163B"/>
    <w:rsid w:val="00723BDE"/>
    <w:rsid w:val="00725B2A"/>
    <w:rsid w:val="00740258"/>
    <w:rsid w:val="00743ABB"/>
    <w:rsid w:val="007440F7"/>
    <w:rsid w:val="0074454B"/>
    <w:rsid w:val="00770DD9"/>
    <w:rsid w:val="00774B4C"/>
    <w:rsid w:val="00783454"/>
    <w:rsid w:val="00792822"/>
    <w:rsid w:val="007A29DB"/>
    <w:rsid w:val="007B2D29"/>
    <w:rsid w:val="007C13C6"/>
    <w:rsid w:val="007E17AB"/>
    <w:rsid w:val="007F176C"/>
    <w:rsid w:val="007F774D"/>
    <w:rsid w:val="00843C1C"/>
    <w:rsid w:val="00854106"/>
    <w:rsid w:val="00857B18"/>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427AA"/>
    <w:rsid w:val="00965E41"/>
    <w:rsid w:val="009A412F"/>
    <w:rsid w:val="009A74DE"/>
    <w:rsid w:val="009C3510"/>
    <w:rsid w:val="009D62DE"/>
    <w:rsid w:val="009D6ACF"/>
    <w:rsid w:val="009E078F"/>
    <w:rsid w:val="009E7B0F"/>
    <w:rsid w:val="009F0367"/>
    <w:rsid w:val="00A0041E"/>
    <w:rsid w:val="00A210F6"/>
    <w:rsid w:val="00A27E49"/>
    <w:rsid w:val="00A30460"/>
    <w:rsid w:val="00A4261E"/>
    <w:rsid w:val="00A645E5"/>
    <w:rsid w:val="00A74736"/>
    <w:rsid w:val="00A74C3E"/>
    <w:rsid w:val="00A74C64"/>
    <w:rsid w:val="00A94BCC"/>
    <w:rsid w:val="00AA2167"/>
    <w:rsid w:val="00AA7CB2"/>
    <w:rsid w:val="00AC4678"/>
    <w:rsid w:val="00AE4132"/>
    <w:rsid w:val="00AE75C4"/>
    <w:rsid w:val="00AF63BF"/>
    <w:rsid w:val="00B1156A"/>
    <w:rsid w:val="00B12041"/>
    <w:rsid w:val="00B51968"/>
    <w:rsid w:val="00B531C9"/>
    <w:rsid w:val="00B86445"/>
    <w:rsid w:val="00B924B6"/>
    <w:rsid w:val="00B92F34"/>
    <w:rsid w:val="00BA0F24"/>
    <w:rsid w:val="00BA7881"/>
    <w:rsid w:val="00BE76F0"/>
    <w:rsid w:val="00BF7140"/>
    <w:rsid w:val="00C0103F"/>
    <w:rsid w:val="00C322D8"/>
    <w:rsid w:val="00C4688F"/>
    <w:rsid w:val="00C53B8B"/>
    <w:rsid w:val="00C5495A"/>
    <w:rsid w:val="00C61704"/>
    <w:rsid w:val="00C65F8C"/>
    <w:rsid w:val="00C721EA"/>
    <w:rsid w:val="00C827DA"/>
    <w:rsid w:val="00C82C04"/>
    <w:rsid w:val="00C83D74"/>
    <w:rsid w:val="00C97741"/>
    <w:rsid w:val="00CA68B7"/>
    <w:rsid w:val="00CB1878"/>
    <w:rsid w:val="00CC76D5"/>
    <w:rsid w:val="00CC7983"/>
    <w:rsid w:val="00CD12E6"/>
    <w:rsid w:val="00CF1FE5"/>
    <w:rsid w:val="00CF7A50"/>
    <w:rsid w:val="00D02834"/>
    <w:rsid w:val="00D3516F"/>
    <w:rsid w:val="00D37335"/>
    <w:rsid w:val="00D446A8"/>
    <w:rsid w:val="00D52CD2"/>
    <w:rsid w:val="00D55F96"/>
    <w:rsid w:val="00D624A3"/>
    <w:rsid w:val="00D80621"/>
    <w:rsid w:val="00D8779C"/>
    <w:rsid w:val="00DB1401"/>
    <w:rsid w:val="00DB4BB7"/>
    <w:rsid w:val="00DC6237"/>
    <w:rsid w:val="00DE06C0"/>
    <w:rsid w:val="00DF5A18"/>
    <w:rsid w:val="00DF6DAB"/>
    <w:rsid w:val="00E03EA0"/>
    <w:rsid w:val="00E200CC"/>
    <w:rsid w:val="00E26062"/>
    <w:rsid w:val="00E361BC"/>
    <w:rsid w:val="00E37723"/>
    <w:rsid w:val="00E51BFA"/>
    <w:rsid w:val="00E75161"/>
    <w:rsid w:val="00E77B8C"/>
    <w:rsid w:val="00E97A4A"/>
    <w:rsid w:val="00ED1B2C"/>
    <w:rsid w:val="00ED30D0"/>
    <w:rsid w:val="00ED327E"/>
    <w:rsid w:val="00F0093B"/>
    <w:rsid w:val="00F0693E"/>
    <w:rsid w:val="00F23F93"/>
    <w:rsid w:val="00F267AC"/>
    <w:rsid w:val="00F33200"/>
    <w:rsid w:val="00F33452"/>
    <w:rsid w:val="00F40402"/>
    <w:rsid w:val="00F70602"/>
    <w:rsid w:val="00F8107D"/>
    <w:rsid w:val="00F81F21"/>
    <w:rsid w:val="00F92297"/>
    <w:rsid w:val="00F93899"/>
    <w:rsid w:val="00FA0421"/>
    <w:rsid w:val="00FA69DC"/>
    <w:rsid w:val="00FB0DE5"/>
    <w:rsid w:val="00FC2697"/>
    <w:rsid w:val="00FD1C48"/>
    <w:rsid w:val="00FE21E0"/>
    <w:rsid w:val="00FF6D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Header"/>
    <w:next w:val="Normal"/>
    <w:link w:val="Heading1Char"/>
    <w:uiPriority w:val="9"/>
    <w:qFormat/>
    <w:rsid w:val="00482C26"/>
    <w:pPr>
      <w:spacing w:before="480" w:after="480"/>
      <w:jc w:val="left"/>
      <w:outlineLvl w:val="0"/>
    </w:pPr>
    <w:rPr>
      <w:color w:val="4C6968" w:themeColor="text1"/>
      <w:sz w:val="40"/>
      <w:szCs w:val="24"/>
    </w:rPr>
  </w:style>
  <w:style w:type="paragraph" w:styleId="Heading2">
    <w:name w:val="heading 2"/>
    <w:basedOn w:val="Normal"/>
    <w:next w:val="Normal"/>
    <w:link w:val="Heading2Char"/>
    <w:uiPriority w:val="9"/>
    <w:qFormat/>
    <w:rsid w:val="00740258"/>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740258"/>
    <w:pPr>
      <w:keepNext/>
      <w:spacing w:after="120"/>
      <w:outlineLvl w:val="2"/>
    </w:pPr>
    <w:rPr>
      <w:rFonts w:cs="Arial"/>
      <w:b/>
      <w:color w:val="48555E" w:themeColor="text2"/>
      <w:sz w:val="26"/>
    </w:rPr>
  </w:style>
  <w:style w:type="paragraph" w:styleId="Heading4">
    <w:name w:val="heading 4"/>
    <w:basedOn w:val="Normal"/>
    <w:next w:val="Normal"/>
    <w:link w:val="Heading4Char"/>
    <w:uiPriority w:val="9"/>
    <w:qFormat/>
    <w:rsid w:val="00740258"/>
    <w:pPr>
      <w:keepNext/>
      <w:outlineLvl w:val="3"/>
    </w:pPr>
    <w:rPr>
      <w:rFonts w:cs="Arial"/>
      <w:i/>
      <w:sz w:val="22"/>
    </w:rPr>
  </w:style>
  <w:style w:type="paragraph" w:styleId="Heading5">
    <w:name w:val="heading 5"/>
    <w:basedOn w:val="Normal"/>
    <w:next w:val="Normal"/>
    <w:link w:val="Heading5Char"/>
    <w:uiPriority w:val="9"/>
    <w:semiHidden/>
    <w:unhideWhenUsed/>
    <w:rsid w:val="00740258"/>
    <w:pPr>
      <w:keepNext/>
      <w:keepLines/>
      <w:spacing w:before="40" w:after="240"/>
      <w:outlineLvl w:val="4"/>
    </w:pPr>
    <w:rPr>
      <w:rFonts w:eastAsiaTheme="majorEastAsia" w:cstheme="majorBidi"/>
      <w:i/>
      <w:color w:val="384E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jc w:val="center"/>
    </w:pPr>
    <w:rPr>
      <w:b/>
    </w:rPr>
  </w:style>
  <w:style w:type="character" w:customStyle="1" w:styleId="HeaderChar">
    <w:name w:val="Header Char"/>
    <w:basedOn w:val="DefaultParagraphFont"/>
    <w:link w:val="Header"/>
    <w:uiPriority w:val="99"/>
    <w:rPr>
      <w:b/>
      <w:sz w:val="22"/>
      <w:szCs w:val="22"/>
      <w:lang w:eastAsia="en-US"/>
    </w:rPr>
  </w:style>
  <w:style w:type="paragraph" w:styleId="Footer">
    <w:name w:val="footer"/>
    <w:basedOn w:val="Normal"/>
    <w:link w:val="FooterChar"/>
    <w:uiPriority w:val="27"/>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27"/>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482C26"/>
    <w:rPr>
      <w:rFonts w:ascii="Verdana" w:hAnsi="Verdana"/>
      <w:b/>
      <w:color w:val="4C6968" w:themeColor="text1"/>
      <w:sz w:val="40"/>
      <w:szCs w:val="24"/>
      <w:lang w:eastAsia="en-US"/>
    </w:rPr>
  </w:style>
  <w:style w:type="character" w:customStyle="1" w:styleId="Heading2Char">
    <w:name w:val="Heading 2 Char"/>
    <w:basedOn w:val="DefaultParagraphFont"/>
    <w:link w:val="Heading2"/>
    <w:uiPriority w:val="9"/>
    <w:rsid w:val="00740258"/>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740258"/>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740258"/>
    <w:rPr>
      <w:rFonts w:ascii="Verdana" w:hAnsi="Verdana" w:cs="Arial"/>
      <w:i/>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paragraph" w:customStyle="1" w:styleId="Classification">
    <w:name w:val="Classification"/>
    <w:basedOn w:val="Normal"/>
    <w:autoRedefine/>
    <w:uiPriority w:val="10"/>
    <w:qFormat/>
    <w:rsid w:val="00DE06C0"/>
    <w:pPr>
      <w:tabs>
        <w:tab w:val="center" w:pos="4536"/>
        <w:tab w:val="center" w:pos="4819"/>
        <w:tab w:val="right" w:pos="9356"/>
      </w:tabs>
      <w:spacing w:after="0"/>
      <w:jc w:val="center"/>
    </w:pPr>
    <w:rPr>
      <w:rFonts w:eastAsia="Times New Roman" w:cs="Arial"/>
      <w:color w:val="4C6968" w:themeColor="text1"/>
      <w:sz w:val="28"/>
      <w:szCs w:val="28"/>
      <w:lang w:eastAsia="en-AU"/>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B92F34"/>
    <w:pPr>
      <w:numPr>
        <w:ilvl w:val="1"/>
        <w:numId w:val="11"/>
      </w:numPr>
      <w:spacing w:after="120"/>
    </w:pPr>
    <w:rPr>
      <w:rFonts w:cs="Segoe UI"/>
    </w:rPr>
  </w:style>
  <w:style w:type="paragraph" w:styleId="ListNumber3">
    <w:name w:val="List Number 3"/>
    <w:basedOn w:val="Normal"/>
    <w:uiPriority w:val="99"/>
    <w:rsid w:val="00B92F34"/>
    <w:pPr>
      <w:numPr>
        <w:ilvl w:val="2"/>
        <w:numId w:val="11"/>
      </w:numPr>
      <w:spacing w:after="120"/>
      <w:ind w:left="1106"/>
    </w:pPr>
    <w:rPr>
      <w:rFonts w:cs="Segoe UI"/>
    </w:rPr>
  </w:style>
  <w:style w:type="paragraph" w:customStyle="1" w:styleId="Footerclassification">
    <w:name w:val="Footer classification"/>
    <w:basedOn w:val="Header"/>
    <w:uiPriority w:val="10"/>
    <w:rsid w:val="00FB0DE5"/>
    <w:rPr>
      <w:b w:val="0"/>
      <w:color w:val="FF0000"/>
      <w:sz w:val="18"/>
      <w:szCs w:val="24"/>
    </w:rPr>
  </w:style>
  <w:style w:type="paragraph" w:customStyle="1" w:styleId="Refnumber">
    <w:name w:val="Ref number"/>
    <w:basedOn w:val="Normal"/>
    <w:next w:val="Normal"/>
    <w:uiPriority w:val="14"/>
    <w:rsid w:val="00FA69DC"/>
    <w:pPr>
      <w:spacing w:before="120" w:after="120"/>
      <w:jc w:val="right"/>
    </w:p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customStyle="1" w:styleId="Agreed">
    <w:name w:val="Agreed"/>
    <w:basedOn w:val="Normal"/>
    <w:pPr>
      <w:jc w:val="right"/>
    </w:pPr>
    <w:rPr>
      <w:b/>
    </w:rPr>
  </w:style>
  <w:style w:type="paragraph" w:customStyle="1" w:styleId="Tabletext">
    <w:name w:val="Table text"/>
    <w:basedOn w:val="Normal"/>
    <w:uiPriority w:val="9"/>
    <w:qFormat/>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Calibri" w:hAnsi="Calibr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Emphasis">
    <w:name w:val="Emphasis"/>
    <w:basedOn w:val="DefaultParagraphFont"/>
    <w:uiPriority w:val="20"/>
    <w:rPr>
      <w:i/>
      <w:iCs/>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Instructions">
    <w:name w:val="Instructions"/>
    <w:basedOn w:val="Normal"/>
    <w:qFormat/>
    <w:rsid w:val="00770DD9"/>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table" w:styleId="TableGridLight">
    <w:name w:val="Grid Table Light"/>
    <w:aliases w:val="IGWC Table"/>
    <w:basedOn w:val="TableNormal"/>
    <w:uiPriority w:val="40"/>
    <w:rsid w:val="00740258"/>
    <w:tblPr>
      <w:tblBorders>
        <w:bottom w:val="single" w:sz="4" w:space="0" w:color="48555E" w:themeColor="text2"/>
        <w:insideH w:val="single" w:sz="4" w:space="0" w:color="48555E" w:themeColor="text2"/>
      </w:tblBorders>
    </w:tblPr>
    <w:tblStylePr w:type="firstRow">
      <w:tblPr/>
      <w:trPr>
        <w:tblHeader/>
      </w:trPr>
      <w:tcPr>
        <w:shd w:val="clear" w:color="auto" w:fill="4C6968" w:themeFill="text1"/>
      </w:tcPr>
    </w:tblStylePr>
  </w:style>
  <w:style w:type="character" w:customStyle="1" w:styleId="Heading5Char">
    <w:name w:val="Heading 5 Char"/>
    <w:basedOn w:val="DefaultParagraphFont"/>
    <w:link w:val="Heading5"/>
    <w:uiPriority w:val="9"/>
    <w:semiHidden/>
    <w:rsid w:val="00740258"/>
    <w:rPr>
      <w:rFonts w:ascii="Verdana" w:eastAsiaTheme="majorEastAsia" w:hAnsi="Verdana" w:cstheme="majorBidi"/>
      <w:i/>
      <w:color w:val="384E4D" w:themeColor="accent1" w:themeShade="BF"/>
      <w:sz w:val="20"/>
      <w:lang w:eastAsia="en-US"/>
    </w:rPr>
  </w:style>
  <w:style w:type="paragraph" w:styleId="Title">
    <w:name w:val="Title"/>
    <w:basedOn w:val="Normal"/>
    <w:next w:val="Normal"/>
    <w:link w:val="TitleChar"/>
    <w:uiPriority w:val="10"/>
    <w:qFormat/>
    <w:rsid w:val="009D6ACF"/>
    <w:pPr>
      <w:spacing w:before="1600" w:after="1600"/>
      <w:contextualSpacing/>
    </w:pPr>
    <w:rPr>
      <w:rFonts w:eastAsiaTheme="majorEastAsia" w:cstheme="majorBidi"/>
      <w:b/>
      <w:color w:val="FFFFFF"/>
      <w:spacing w:val="-10"/>
      <w:kern w:val="28"/>
      <w:sz w:val="50"/>
      <w:szCs w:val="56"/>
    </w:rPr>
  </w:style>
  <w:style w:type="character" w:customStyle="1" w:styleId="TitleChar">
    <w:name w:val="Title Char"/>
    <w:basedOn w:val="DefaultParagraphFont"/>
    <w:link w:val="Title"/>
    <w:uiPriority w:val="10"/>
    <w:rsid w:val="009D6ACF"/>
    <w:rPr>
      <w:rFonts w:ascii="Verdana" w:eastAsiaTheme="majorEastAsia" w:hAnsi="Verdana" w:cstheme="majorBidi"/>
      <w:b/>
      <w:color w:val="FFFFFF"/>
      <w:spacing w:val="-10"/>
      <w:kern w:val="28"/>
      <w:sz w:val="50"/>
      <w:szCs w:val="56"/>
      <w:lang w:eastAsia="en-US"/>
    </w:rPr>
  </w:style>
  <w:style w:type="paragraph" w:customStyle="1" w:styleId="TableHeader">
    <w:name w:val="Table Header"/>
    <w:basedOn w:val="Normal"/>
    <w:qFormat/>
    <w:rsid w:val="00740258"/>
    <w:pPr>
      <w:spacing w:before="120" w:after="120"/>
    </w:pPr>
    <w:rPr>
      <w:b/>
      <w:color w:val="FFFFFF"/>
    </w:rPr>
  </w:style>
  <w:style w:type="paragraph" w:customStyle="1" w:styleId="TableText0">
    <w:name w:val="Table Text"/>
    <w:basedOn w:val="Normal"/>
    <w:qFormat/>
    <w:rsid w:val="00740258"/>
    <w:pPr>
      <w:spacing w:before="120" w:after="120"/>
    </w:pPr>
  </w:style>
  <w:style w:type="paragraph" w:customStyle="1" w:styleId="TableHeading">
    <w:name w:val="Table Heading"/>
    <w:basedOn w:val="Normal"/>
    <w:qFormat/>
    <w:rsid w:val="00740258"/>
    <w:pPr>
      <w:spacing w:before="240" w:after="120"/>
    </w:pPr>
    <w:rPr>
      <w:color w:val="4C6968" w:themeColor="text1"/>
    </w:rPr>
  </w:style>
  <w:style w:type="paragraph" w:customStyle="1" w:styleId="FigureHeading">
    <w:name w:val="Figure Heading"/>
    <w:basedOn w:val="TableHeading"/>
    <w:qFormat/>
    <w:rsid w:val="00740258"/>
  </w:style>
  <w:style w:type="table" w:customStyle="1" w:styleId="Style1">
    <w:name w:val="Style1"/>
    <w:basedOn w:val="TableNormal"/>
    <w:uiPriority w:val="99"/>
    <w:rsid w:val="00740258"/>
    <w:tblPr>
      <w:tblBorders>
        <w:bottom w:val="single" w:sz="4" w:space="0" w:color="48555E" w:themeColor="text2"/>
        <w:insideH w:val="single" w:sz="4" w:space="0" w:color="48555E" w:themeColor="text2"/>
      </w:tblBorders>
    </w:tblPr>
    <w:tblStylePr w:type="firstRow">
      <w:tblPr/>
      <w:trPr>
        <w:tblHeader/>
      </w:trPr>
    </w:tblStylePr>
  </w:style>
  <w:style w:type="paragraph" w:styleId="ListParagraph">
    <w:name w:val="List Paragraph"/>
    <w:basedOn w:val="Normal"/>
    <w:uiPriority w:val="34"/>
    <w:qFormat/>
    <w:rsid w:val="00965E41"/>
    <w:pPr>
      <w:spacing w:after="160" w:line="259" w:lineRule="auto"/>
      <w:ind w:left="720"/>
      <w:contextualSpacing/>
    </w:pPr>
    <w:rPr>
      <w:rFonts w:asciiTheme="minorHAnsi" w:eastAsiaTheme="minorHAnsi" w:hAnsiTheme="minorHAnsi"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C2EE05-EC99-4838-AC4F-122F8B06A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A6F5-EFC9-4A70-B2B4-33526FAB4B23}">
  <ds:schemaRefs>
    <ds:schemaRef ds:uri="http://schemas.microsoft.com/sharepoint/v3/contenttype/forms"/>
  </ds:schemaRefs>
</ds:datastoreItem>
</file>

<file path=customXml/itemProps3.xml><?xml version="1.0" encoding="utf-8"?>
<ds:datastoreItem xmlns:ds="http://schemas.openxmlformats.org/officeDocument/2006/customXml" ds:itemID="{F758F29F-70EF-4181-AD5D-EFC3A37EABC4}">
  <ds:schemaRefs>
    <ds:schemaRef ds:uri="http://schemas.openxmlformats.org/package/2006/metadata/core-properties"/>
    <ds:schemaRef ds:uri="http://purl.org/dc/dcmitype/"/>
    <ds:schemaRef ds:uri="http://purl.org/dc/terms/"/>
    <ds:schemaRef ds:uri="b98728ac-f998-415c-abee-6b046fb1441e"/>
    <ds:schemaRef ds:uri="http://purl.org/dc/elements/1.1/"/>
    <ds:schemaRef ds:uri="http://www.w3.org/XML/1998/namespace"/>
    <ds:schemaRef ds:uri="http://schemas.microsoft.com/office/2006/documentManagement/types"/>
    <ds:schemaRef ds:uri="http://schemas.microsoft.com/office/infopath/2007/PartnerControls"/>
    <ds:schemaRef ds:uri="d869c146-c82e-4435-92e4-da91542262fd"/>
    <ds:schemaRef ds:uri="a95247a4-6a6b-40fb-87b6-0fb2f012c536"/>
    <ds:schemaRef ds:uri="d81c2681-db7b-4a56-9abd-a3238a78f6b2"/>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93a64bb5-f182-4e4d-a085-f03dc1365c6f}"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Statement of Intent </vt:lpstr>
    </vt:vector>
  </TitlesOfParts>
  <Manager/>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dc:title>
  <dc:subject>
  </dc:subject>
  <dc:creator>IGWC</dc:creator>
  <cp:keywords>
  </cp:keywords>
  <dc:description>
  </dc:description>
  <cp:revision>4</cp:revision>
  <cp:lastPrinted>2021-12-15T06:45:00Z</cp:lastPrinted>
  <dcterms:created xsi:type="dcterms:W3CDTF">2025-06-05T04:13:00Z</dcterms:created>
  <dcterms:modified xsi:type="dcterms:W3CDTF">2025-06-10T23:12:00Z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