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C73F" w14:textId="48F75B5D" w:rsidR="00473F5B" w:rsidRDefault="0082062F" w:rsidP="00473F5B">
      <w:pPr>
        <w:pStyle w:val="Title"/>
      </w:pPr>
      <w:bookmarkStart w:id="0" w:name="_Hlk170395365"/>
      <w:r w:rsidRPr="00FC1B50">
        <w:rPr>
          <w:noProof/>
        </w:rPr>
        <w:drawing>
          <wp:anchor distT="0" distB="0" distL="114300" distR="114300" simplePos="0" relativeHeight="251658240" behindDoc="1" locked="0" layoutInCell="1" allowOverlap="1" wp14:anchorId="54E80EE2" wp14:editId="5EBEB292">
            <wp:simplePos x="0" y="0"/>
            <wp:positionH relativeFrom="column">
              <wp:posOffset>-708660</wp:posOffset>
            </wp:positionH>
            <wp:positionV relativeFrom="paragraph">
              <wp:posOffset>-2586355</wp:posOffset>
            </wp:positionV>
            <wp:extent cx="7597140" cy="10751185"/>
            <wp:effectExtent l="0" t="0" r="0" b="5715"/>
            <wp:wrapNone/>
            <wp:docPr id="1940210160" name="Picture 1940210160" descr="Australian Government and Inspector-General of Water Complianc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45191" name="Picture 964945191" descr="Australian Government and Inspector-General of Water Compliance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r w:rsidRPr="00FC1B50">
        <w:rPr>
          <w:noProof/>
        </w:rPr>
        <w:drawing>
          <wp:anchor distT="0" distB="0" distL="114300" distR="114300" simplePos="0" relativeHeight="251658241" behindDoc="1" locked="0" layoutInCell="1" allowOverlap="1" wp14:anchorId="5C65DF7C" wp14:editId="1F0777DC">
            <wp:simplePos x="0" y="0"/>
            <wp:positionH relativeFrom="page">
              <wp:posOffset>646430</wp:posOffset>
            </wp:positionH>
            <wp:positionV relativeFrom="page">
              <wp:posOffset>557530</wp:posOffset>
            </wp:positionV>
            <wp:extent cx="3600450" cy="1040130"/>
            <wp:effectExtent l="0" t="0" r="0" b="0"/>
            <wp:wrapNone/>
            <wp:docPr id="1711261378"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1261378" name="Picture 13">
                      <a:extLst>
                        <a:ext uri="{C183D7F6-B498-43B3-948B-1728B52AA6E4}">
                          <adec:decorative xmlns:adec="http://schemas.microsoft.com/office/drawing/2017/decorative" val="1"/>
                        </a:ext>
                      </a:extLst>
                    </pic:cNvPr>
                    <pic:cNvPicPr>
                      <a:picLocks/>
                    </pic:cNvPicPr>
                  </pic:nvPicPr>
                  <pic:blipFill>
                    <a:blip r:embed="rId1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C465">
        <w:rPr>
          <w:noProof/>
        </w:rPr>
        <w:t>M</w:t>
      </w:r>
      <w:r w:rsidR="00514CC2">
        <w:rPr>
          <w:noProof/>
        </w:rPr>
        <w:t>onitoring</w:t>
      </w:r>
      <w:r w:rsidR="58C36FD8">
        <w:rPr>
          <w:noProof/>
        </w:rPr>
        <w:t xml:space="preserve"> and</w:t>
      </w:r>
      <w:r w:rsidR="00514CC2">
        <w:rPr>
          <w:noProof/>
        </w:rPr>
        <w:t xml:space="preserve"> evaluation reporting of </w:t>
      </w:r>
      <w:r w:rsidR="001D09A2">
        <w:rPr>
          <w:noProof/>
        </w:rPr>
        <w:t>environmental outcomes</w:t>
      </w:r>
      <w:r w:rsidR="7749A484">
        <w:rPr>
          <w:noProof/>
        </w:rPr>
        <w:t xml:space="preserve"> – </w:t>
      </w:r>
      <w:r w:rsidR="00D678E3">
        <w:rPr>
          <w:noProof/>
        </w:rPr>
        <w:t>S</w:t>
      </w:r>
      <w:r w:rsidR="7749A484">
        <w:rPr>
          <w:noProof/>
        </w:rPr>
        <w:t>tocktake report</w:t>
      </w:r>
    </w:p>
    <w:bookmarkEnd w:id="0"/>
    <w:p w14:paraId="6568BD23" w14:textId="6836012F" w:rsidR="00473F5B" w:rsidRDefault="00D60D67" w:rsidP="00E56ACF">
      <w:pPr>
        <w:pStyle w:val="Subtitle"/>
      </w:pPr>
      <w:r>
        <w:t>Environmental Outcomes Program</w:t>
      </w:r>
    </w:p>
    <w:p w14:paraId="723B916E" w14:textId="40B0475C" w:rsidR="00473F5B" w:rsidRDefault="00D60D67" w:rsidP="00E56ACF">
      <w:pPr>
        <w:pStyle w:val="Author"/>
      </w:pPr>
      <w:r>
        <w:t>Inspector</w:t>
      </w:r>
      <w:r w:rsidR="00FA1F07">
        <w:t>–</w:t>
      </w:r>
      <w:r>
        <w:t>General</w:t>
      </w:r>
      <w:r w:rsidR="0051142E">
        <w:t xml:space="preserve"> of Water Compliance</w:t>
      </w:r>
    </w:p>
    <w:p w14:paraId="417DDF8F" w14:textId="13DCB99F" w:rsidR="0051142E" w:rsidRPr="00473F5B" w:rsidRDefault="00781EAD" w:rsidP="00E56ACF">
      <w:pPr>
        <w:pStyle w:val="Author"/>
      </w:pPr>
      <w:r>
        <w:t>June</w:t>
      </w:r>
      <w:r w:rsidR="003370E5" w:rsidRPr="00932A9A">
        <w:t xml:space="preserve"> </w:t>
      </w:r>
      <w:r w:rsidR="0051142E" w:rsidRPr="00932A9A">
        <w:t>2025</w:t>
      </w:r>
    </w:p>
    <w:p w14:paraId="07FC3C62" w14:textId="75AFBFD2" w:rsidR="00473F5B" w:rsidRPr="00FC1B50" w:rsidRDefault="00473F5B">
      <w:pPr>
        <w:spacing w:after="0"/>
        <w:rPr>
          <w:b/>
          <w:color w:val="FFFFFF"/>
          <w:sz w:val="60"/>
          <w:szCs w:val="60"/>
        </w:rPr>
      </w:pPr>
      <w:r>
        <w:br w:type="page"/>
      </w:r>
    </w:p>
    <w:p w14:paraId="4044C11E" w14:textId="75494F40" w:rsidR="00C118DE" w:rsidRPr="00FC1B50" w:rsidRDefault="00C118DE" w:rsidP="00C118DE">
      <w:r w:rsidRPr="00FC1B50">
        <w:lastRenderedPageBreak/>
        <w:t>© Commonwealth of Australia 202</w:t>
      </w:r>
      <w:r w:rsidR="00781EAD" w:rsidRPr="00FC1B50">
        <w:t>5</w:t>
      </w:r>
    </w:p>
    <w:p w14:paraId="28B179DA" w14:textId="77777777" w:rsidR="00C118DE" w:rsidRPr="00FC1B50" w:rsidRDefault="00C118DE" w:rsidP="00C118DE">
      <w:pPr>
        <w:rPr>
          <w:rStyle w:val="Strong"/>
        </w:rPr>
      </w:pPr>
      <w:r w:rsidRPr="00FC1B50">
        <w:rPr>
          <w:rStyle w:val="Strong"/>
        </w:rPr>
        <w:t>Ownership of intellectual property rights</w:t>
      </w:r>
    </w:p>
    <w:p w14:paraId="3B9C6235" w14:textId="2A242A30" w:rsidR="00C118DE" w:rsidRPr="00FC1B50" w:rsidRDefault="00C118DE" w:rsidP="00C118DE">
      <w:r w:rsidRPr="00FC1B50">
        <w:t>Unless otherwise noted, copyright (and any other intellectual property rights) in this publication is owned by the Commonwealth of Australia (referred to as the Commonwealth).</w:t>
      </w:r>
    </w:p>
    <w:p w14:paraId="79706610" w14:textId="77777777" w:rsidR="00C118DE" w:rsidRPr="00FC1B50" w:rsidRDefault="00C118DE" w:rsidP="00C118DE">
      <w:pPr>
        <w:rPr>
          <w:rStyle w:val="Strong"/>
        </w:rPr>
      </w:pPr>
      <w:r w:rsidRPr="00FC1B50">
        <w:rPr>
          <w:rStyle w:val="Strong"/>
        </w:rPr>
        <w:t xml:space="preserve">Creative Commons licence </w:t>
      </w:r>
    </w:p>
    <w:p w14:paraId="680879B5" w14:textId="77777777" w:rsidR="00C118DE" w:rsidRPr="00FC1B50" w:rsidRDefault="00C118DE" w:rsidP="00C118DE">
      <w:r w:rsidRPr="00FC1B50">
        <w:t xml:space="preserve">All material in this publication is licensed under a Creative Commons Attribution 4.0 International Licence, except for content supplied by third parties, logos and the Commonwealth Coat of Arms. </w:t>
      </w:r>
    </w:p>
    <w:p w14:paraId="2832055F" w14:textId="7933332C" w:rsidR="00C118DE" w:rsidRPr="00FC1B50" w:rsidRDefault="00C118DE" w:rsidP="00C118DE">
      <w:r w:rsidRPr="00FC1B50">
        <w:t xml:space="preserve">Inquiries about the licence and any use of this document should be emailed to </w:t>
      </w:r>
      <w:hyperlink r:id="rId13">
        <w:r w:rsidRPr="00FC1B50">
          <w:rPr>
            <w:rStyle w:val="Hyperlink"/>
          </w:rPr>
          <w:t>copyright@dcceew.gov.au</w:t>
        </w:r>
      </w:hyperlink>
      <w:r w:rsidRPr="00FC1B50">
        <w:t>.</w:t>
      </w:r>
    </w:p>
    <w:p w14:paraId="2204E794" w14:textId="77777777" w:rsidR="00C118DE" w:rsidRPr="00FC1B50" w:rsidRDefault="00C118DE" w:rsidP="00C118DE">
      <w:r w:rsidRPr="00FC1B50">
        <w:rPr>
          <w:noProof/>
        </w:rPr>
        <w:drawing>
          <wp:inline distT="0" distB="0" distL="0" distR="0" wp14:anchorId="05DB0953" wp14:editId="3F0175E4">
            <wp:extent cx="724535" cy="25527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134D8FB" w14:textId="77777777" w:rsidR="00C118DE" w:rsidRPr="00FC1B50" w:rsidRDefault="00C118DE" w:rsidP="00C118DE">
      <w:pPr>
        <w:rPr>
          <w:rStyle w:val="Strong"/>
        </w:rPr>
      </w:pPr>
      <w:r w:rsidRPr="00FC1B50">
        <w:rPr>
          <w:rStyle w:val="Strong"/>
        </w:rPr>
        <w:t>Cataloguing data</w:t>
      </w:r>
    </w:p>
    <w:p w14:paraId="5374E236" w14:textId="3D404B19" w:rsidR="00C118DE" w:rsidRPr="00FC1B50" w:rsidRDefault="00C118DE" w:rsidP="00C118DE">
      <w:r w:rsidRPr="00FC1B50">
        <w:t>This publication (and any material sourced from it) should be attributed as: Inspector</w:t>
      </w:r>
      <w:r w:rsidR="005B4B0E" w:rsidRPr="00FC1B50">
        <w:t>–</w:t>
      </w:r>
      <w:r w:rsidRPr="00FC1B50">
        <w:t>General of Water Compliance 202</w:t>
      </w:r>
      <w:r w:rsidR="0051142E" w:rsidRPr="00FC1B50">
        <w:t>5</w:t>
      </w:r>
      <w:r w:rsidRPr="00FC1B50">
        <w:t xml:space="preserve">, </w:t>
      </w:r>
      <w:r w:rsidR="00AC3476" w:rsidRPr="00FC1B50">
        <w:rPr>
          <w:i/>
        </w:rPr>
        <w:t xml:space="preserve">Monitoring and evaluation reporting of environmental outcomes – </w:t>
      </w:r>
      <w:r w:rsidR="00D678E3">
        <w:rPr>
          <w:i/>
        </w:rPr>
        <w:t>S</w:t>
      </w:r>
      <w:r w:rsidR="00AC3476" w:rsidRPr="00FC1B50">
        <w:rPr>
          <w:i/>
        </w:rPr>
        <w:t>tocktake report</w:t>
      </w:r>
      <w:r w:rsidR="0051142E" w:rsidRPr="00FC1B50">
        <w:rPr>
          <w:i/>
        </w:rPr>
        <w:t xml:space="preserve"> – Environmental Outcomes Program</w:t>
      </w:r>
      <w:r w:rsidRPr="00FC1B50">
        <w:t xml:space="preserve">, the Australian Government, Canberra, </w:t>
      </w:r>
      <w:r w:rsidR="008615D5" w:rsidRPr="00FC1B50">
        <w:t>May</w:t>
      </w:r>
      <w:r w:rsidRPr="00FC1B50">
        <w:t xml:space="preserve"> 202</w:t>
      </w:r>
      <w:r w:rsidR="0051142E" w:rsidRPr="00FC1B50">
        <w:t>5</w:t>
      </w:r>
      <w:r w:rsidRPr="00FC1B50">
        <w:t>. CC BY 4.0.</w:t>
      </w:r>
    </w:p>
    <w:p w14:paraId="461700F7" w14:textId="3A8B6EE7" w:rsidR="00C118DE" w:rsidRPr="00FC1B50" w:rsidRDefault="00C118DE" w:rsidP="00C118DE">
      <w:pPr>
        <w:rPr>
          <w:rStyle w:val="Hyperlink"/>
        </w:rPr>
      </w:pPr>
      <w:r w:rsidRPr="00FC1B50">
        <w:t xml:space="preserve">This publication is available at </w:t>
      </w:r>
      <w:hyperlink r:id="rId15" w:history="1">
        <w:r w:rsidR="00B75AE7" w:rsidRPr="00FC1B50">
          <w:rPr>
            <w:rStyle w:val="Hyperlink"/>
          </w:rPr>
          <w:t>https://www.igwc.gov.au/publications/reviews-reports</w:t>
        </w:r>
      </w:hyperlink>
    </w:p>
    <w:p w14:paraId="7B8CEB47" w14:textId="0D7408A0" w:rsidR="00C118DE" w:rsidRPr="00FC1B50" w:rsidRDefault="00C118DE" w:rsidP="00C118DE">
      <w:r w:rsidRPr="00FC1B50">
        <w:t>Inspector</w:t>
      </w:r>
      <w:r w:rsidR="005B4B0E" w:rsidRPr="00FC1B50">
        <w:t>–</w:t>
      </w:r>
      <w:r w:rsidRPr="00FC1B50">
        <w:t>General of Water Compliance</w:t>
      </w:r>
      <w:r w:rsidRPr="00FC1B50">
        <w:br/>
        <w:t>GPO Box 3090 Canberra ACT 2601</w:t>
      </w:r>
    </w:p>
    <w:p w14:paraId="682B040B" w14:textId="77777777" w:rsidR="00C118DE" w:rsidRPr="00FC1B50" w:rsidRDefault="00C118DE" w:rsidP="00C118DE">
      <w:pPr>
        <w:rPr>
          <w:rStyle w:val="Strong"/>
        </w:rPr>
      </w:pPr>
      <w:r w:rsidRPr="00FC1B50">
        <w:rPr>
          <w:rStyle w:val="Strong"/>
        </w:rPr>
        <w:t>Disclaimer</w:t>
      </w:r>
    </w:p>
    <w:p w14:paraId="55470092" w14:textId="034C782D" w:rsidR="00C118DE" w:rsidRPr="00FC1B50" w:rsidRDefault="00C118DE" w:rsidP="00C118DE">
      <w:r w:rsidRPr="00FC1B50">
        <w:t>The Australian Government represented by the Inspector</w:t>
      </w:r>
      <w:r w:rsidR="005B4B0E" w:rsidRPr="00FC1B50">
        <w:t>–</w:t>
      </w:r>
      <w:r w:rsidRPr="00FC1B50">
        <w:t>General of Water Compliance, has exercised due care and skill in preparing and compiling the information and data in this publication. Notwithstanding, the</w:t>
      </w:r>
      <w:r w:rsidR="005B4B0E" w:rsidRPr="00FC1B50">
        <w:t xml:space="preserve"> </w:t>
      </w:r>
      <w:r w:rsidRPr="00FC1B50">
        <w:t>Inspector</w:t>
      </w:r>
      <w:r w:rsidR="005B4B0E" w:rsidRPr="00FC1B50">
        <w:t>–</w:t>
      </w:r>
      <w:r w:rsidRPr="00FC1B50">
        <w:t>General of Water Compliance, the Australian Government’s employees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FEDD46E" w14:textId="77777777" w:rsidR="00C118DE" w:rsidRPr="00FC1B50" w:rsidRDefault="00C118DE" w:rsidP="00C118DE">
      <w:pPr>
        <w:rPr>
          <w:rStyle w:val="Strong"/>
        </w:rPr>
      </w:pPr>
      <w:r w:rsidRPr="00FC1B50">
        <w:rPr>
          <w:rStyle w:val="Strong"/>
        </w:rPr>
        <w:t>Acknowledgement of the Traditional Owners of the Murray–Darling Basin</w:t>
      </w:r>
    </w:p>
    <w:p w14:paraId="45B7AE50" w14:textId="53EEBF5E" w:rsidR="00537A12" w:rsidRPr="00FC1B50" w:rsidRDefault="00537A12" w:rsidP="00537A12">
      <w:r w:rsidRPr="00537A12">
        <w:t xml:space="preserve">We pay our respects to the Traditional Owners and their Nations of the </w:t>
      </w:r>
      <w:r w:rsidR="008F4141">
        <w:t>Murray–Darling</w:t>
      </w:r>
      <w:r w:rsidRPr="00537A12">
        <w:t xml:space="preserve"> Basin. We acknowledge their deep cultural, social, environmental, spiritual and economic connection to their lands and waters.</w:t>
      </w:r>
    </w:p>
    <w:p w14:paraId="4EC63EA8" w14:textId="77777777" w:rsidR="00537A12" w:rsidRPr="00537A12" w:rsidRDefault="00537A12" w:rsidP="00537A12">
      <w:r w:rsidRPr="00537A12">
        <w:t xml:space="preserve">Aboriginal people should be aware that this publication may contain images, names or quotations of deceased persons. </w:t>
      </w:r>
    </w:p>
    <w:p w14:paraId="10795F39" w14:textId="77777777" w:rsidR="00C118DE" w:rsidRPr="00FC1B50" w:rsidRDefault="00C118DE" w:rsidP="00C118DE">
      <w:pPr>
        <w:rPr>
          <w:rStyle w:val="Strong"/>
        </w:rPr>
      </w:pPr>
      <w:r w:rsidRPr="00FC1B50">
        <w:rPr>
          <w:rStyle w:val="Strong"/>
        </w:rPr>
        <w:t>Accessibility</w:t>
      </w:r>
    </w:p>
    <w:p w14:paraId="1B46CAB4" w14:textId="565308EB" w:rsidR="00C118DE" w:rsidRDefault="00C118DE" w:rsidP="00C118DE">
      <w:r>
        <w:t xml:space="preserve">The document and information </w:t>
      </w:r>
      <w:bookmarkStart w:id="1" w:name="_Int_m3iR1SCA"/>
      <w:r>
        <w:t>is</w:t>
      </w:r>
      <w:bookmarkEnd w:id="1"/>
      <w:r>
        <w:t xml:space="preserve"> available in accessible formats. On some occasions the highly technical nature of the document means that we cannot make some sections fully accessible. If you encounter accessibility problems or the document is in a format that you cannot access, please contact us</w:t>
      </w:r>
      <w:r w:rsidR="002E7966">
        <w:t xml:space="preserve"> at </w:t>
      </w:r>
      <w:hyperlink r:id="rId16">
        <w:r w:rsidR="002E7966" w:rsidRPr="77B5E0AB">
          <w:rPr>
            <w:rStyle w:val="Hyperlink"/>
          </w:rPr>
          <w:t>contact@igwc.gov.au</w:t>
        </w:r>
      </w:hyperlink>
      <w:r w:rsidR="002E7966">
        <w:t xml:space="preserve">. </w:t>
      </w:r>
    </w:p>
    <w:p w14:paraId="3481D538" w14:textId="01C53F82" w:rsidR="00473F5B" w:rsidRDefault="00473F5B" w:rsidP="006318A8">
      <w:r>
        <w:br w:type="page"/>
      </w:r>
    </w:p>
    <w:p w14:paraId="456BF396" w14:textId="1F350116" w:rsidR="00CA62BF" w:rsidRDefault="00473F5B" w:rsidP="00473F5B">
      <w:pPr>
        <w:pStyle w:val="Heading1"/>
      </w:pPr>
      <w:bookmarkStart w:id="2" w:name="_Toc200716129"/>
      <w:r>
        <w:lastRenderedPageBreak/>
        <w:t>Foreword</w:t>
      </w:r>
      <w:bookmarkEnd w:id="2"/>
    </w:p>
    <w:p w14:paraId="4543E6C2" w14:textId="2F43C24B" w:rsidR="00EA290E" w:rsidRPr="00CF5F58" w:rsidRDefault="00DD12B5" w:rsidP="00DD12B5">
      <w:r w:rsidRPr="00CF5F58">
        <w:t>The Murray–Darling Basin is a vital national resource, supporting diverse ecosystems, agricultural activities, and communities. Over $</w:t>
      </w:r>
      <w:r w:rsidRPr="00C40253">
        <w:t>1</w:t>
      </w:r>
      <w:r w:rsidR="0016472F">
        <w:t>3</w:t>
      </w:r>
      <w:r w:rsidRPr="00C40253">
        <w:t xml:space="preserve"> billion has been </w:t>
      </w:r>
      <w:r w:rsidR="0016472F">
        <w:t>committed</w:t>
      </w:r>
      <w:r w:rsidR="0016472F" w:rsidRPr="00CF5F58">
        <w:t xml:space="preserve"> </w:t>
      </w:r>
      <w:r w:rsidRPr="00CF5F58">
        <w:t>in water reform</w:t>
      </w:r>
      <w:r w:rsidR="00132E00" w:rsidRPr="00CF5F58">
        <w:t xml:space="preserve"> </w:t>
      </w:r>
      <w:r w:rsidR="00C15EDA" w:rsidRPr="00CF5F58">
        <w:t xml:space="preserve">to date </w:t>
      </w:r>
      <w:r w:rsidR="00132E00" w:rsidRPr="00CF5F58">
        <w:t>to improve the environment</w:t>
      </w:r>
      <w:r w:rsidRPr="00CF5F58">
        <w:t xml:space="preserve">, and the community rightly expects this investment to deliver tangible outcomes, with clear and transparent reporting on progress. </w:t>
      </w:r>
    </w:p>
    <w:p w14:paraId="3412CAF3" w14:textId="5EF5E5A6" w:rsidR="00C80A44" w:rsidRPr="00CF5F58" w:rsidRDefault="00C80A44" w:rsidP="00C80A44">
      <w:r w:rsidRPr="00CF5F58">
        <w:t xml:space="preserve">In 2020, I was consistently </w:t>
      </w:r>
      <w:r w:rsidRPr="00C40253">
        <w:t>hearing from the community</w:t>
      </w:r>
      <w:r w:rsidRPr="00CF5F58">
        <w:t xml:space="preserve"> that </w:t>
      </w:r>
      <w:r w:rsidR="00AE01DD">
        <w:t>C</w:t>
      </w:r>
      <w:r w:rsidRPr="00CF5F58">
        <w:t xml:space="preserve">ommonwealth water management agencies were not doing their job. The ‘Steady as it </w:t>
      </w:r>
      <w:r w:rsidR="00917CC3" w:rsidRPr="00CF5F58">
        <w:t xml:space="preserve">flows’ </w:t>
      </w:r>
      <w:r w:rsidRPr="00CF5F58">
        <w:t xml:space="preserve">assessment of the </w:t>
      </w:r>
      <w:r w:rsidR="00AF1329" w:rsidRPr="00CF5F58">
        <w:t>Murray</w:t>
      </w:r>
      <w:r w:rsidR="0063302A" w:rsidRPr="0063302A">
        <w:t>–</w:t>
      </w:r>
      <w:r w:rsidR="00AF1329" w:rsidRPr="00CF5F58">
        <w:t>Darling Basin Authority</w:t>
      </w:r>
      <w:r w:rsidR="006C624B" w:rsidRPr="00CF5F58">
        <w:t xml:space="preserve"> (MDBA)</w:t>
      </w:r>
      <w:r w:rsidR="00AF1329" w:rsidRPr="00CF5F58">
        <w:t xml:space="preserve"> </w:t>
      </w:r>
      <w:r w:rsidRPr="00CF5F58">
        <w:t xml:space="preserve">river operations and the </w:t>
      </w:r>
      <w:r w:rsidR="00AF1329" w:rsidRPr="00CF5F58">
        <w:t xml:space="preserve">Commonwealth Environmental Water Holder </w:t>
      </w:r>
      <w:r w:rsidR="00DE112B" w:rsidRPr="00CF5F58">
        <w:t xml:space="preserve">(CEWH) </w:t>
      </w:r>
      <w:r w:rsidRPr="00CF5F58">
        <w:t xml:space="preserve">which I published in 2022 highlighted the sentiment was </w:t>
      </w:r>
      <w:r w:rsidR="0016472F">
        <w:t>somewhat</w:t>
      </w:r>
      <w:r w:rsidR="0016472F" w:rsidRPr="00CF5F58">
        <w:t xml:space="preserve"> </w:t>
      </w:r>
      <w:r w:rsidRPr="00CF5F58">
        <w:t xml:space="preserve">misplaced, however I found significant gaps in communication and public understanding of how water was being managed and whether it </w:t>
      </w:r>
      <w:r w:rsidR="0016472F">
        <w:t>wa</w:t>
      </w:r>
      <w:r w:rsidRPr="00CF5F58">
        <w:t>s achieving its intended benefits.</w:t>
      </w:r>
      <w:r w:rsidRPr="00CF5F58">
        <w:rPr>
          <w:rStyle w:val="FootnoteReference"/>
        </w:rPr>
        <w:footnoteReference w:id="2"/>
      </w:r>
      <w:r w:rsidRPr="00CF5F58">
        <w:t xml:space="preserve"> </w:t>
      </w:r>
    </w:p>
    <w:p w14:paraId="500098DA" w14:textId="34B0B732" w:rsidR="00C80A44" w:rsidRPr="00CF5F58" w:rsidRDefault="00C80A44" w:rsidP="00C80A44">
      <w:r w:rsidRPr="00CF5F58">
        <w:t>In late 2023, I was hearing a consistent theme across all stakeholders</w:t>
      </w:r>
      <w:r w:rsidR="00FD41F1" w:rsidRPr="00CF5F58">
        <w:t xml:space="preserve"> </w:t>
      </w:r>
      <w:r w:rsidR="0016472F">
        <w:t>who were asking</w:t>
      </w:r>
      <w:r w:rsidR="00214E9B" w:rsidRPr="00CF5F58">
        <w:t xml:space="preserve"> </w:t>
      </w:r>
      <w:r w:rsidR="0016472F">
        <w:t>‘</w:t>
      </w:r>
      <w:r w:rsidRPr="00C40253">
        <w:t>why can’t we see the environmental outcomes</w:t>
      </w:r>
      <w:r w:rsidRPr="00CF5F58">
        <w:t xml:space="preserve"> from the billions of dollars invested?</w:t>
      </w:r>
      <w:r w:rsidR="0016472F">
        <w:t>’.</w:t>
      </w:r>
      <w:r w:rsidRPr="00CF5F58">
        <w:t xml:space="preserve"> When I looked for a simple status of environmental outcomes on the ground across the Basin in a single user-friendly report, I couldn’t find one. That’s a problem</w:t>
      </w:r>
      <w:r w:rsidR="0016472F">
        <w:t xml:space="preserve"> when demonstrated delivery of outcomes is </w:t>
      </w:r>
      <w:r w:rsidR="00554CF6">
        <w:t>critical</w:t>
      </w:r>
      <w:r w:rsidR="0016472F">
        <w:t xml:space="preserve"> to build</w:t>
      </w:r>
      <w:r w:rsidR="00554CF6">
        <w:t>ing</w:t>
      </w:r>
      <w:r w:rsidR="0016472F">
        <w:t xml:space="preserve"> trust in the Basin Plan</w:t>
      </w:r>
      <w:r w:rsidRPr="00CF5F58">
        <w:t xml:space="preserve">. </w:t>
      </w:r>
    </w:p>
    <w:p w14:paraId="4DF450AF" w14:textId="6A46D9A6" w:rsidR="00C15EDA" w:rsidRPr="00CF5F58" w:rsidRDefault="00C15EDA" w:rsidP="00C80A44">
      <w:r w:rsidRPr="00CF5F58">
        <w:t>In some ways, it’s a</w:t>
      </w:r>
      <w:r w:rsidR="0016472F">
        <w:t>n understandable</w:t>
      </w:r>
      <w:r w:rsidR="0016472F" w:rsidRPr="00CF5F58">
        <w:t xml:space="preserve"> problem</w:t>
      </w:r>
      <w:r w:rsidRPr="00CF5F58">
        <w:t xml:space="preserve"> to have</w:t>
      </w:r>
      <w:r w:rsidR="0016472F">
        <w:t xml:space="preserve"> in 2025</w:t>
      </w:r>
      <w:r w:rsidRPr="00CF5F58">
        <w:t>. Only 1</w:t>
      </w:r>
      <w:r w:rsidR="0016472F">
        <w:t>3</w:t>
      </w:r>
      <w:r w:rsidRPr="00CF5F58">
        <w:t xml:space="preserve"> years ago we didn’t even have a </w:t>
      </w:r>
      <w:r w:rsidRPr="00C40253">
        <w:t xml:space="preserve">Basin Plan </w:t>
      </w:r>
      <w:r w:rsidRPr="00CF5F58">
        <w:t xml:space="preserve">and investment was just commencing. We must continually remind ourselves to </w:t>
      </w:r>
      <w:r w:rsidR="008955BB" w:rsidRPr="00CF5F58">
        <w:t>look at</w:t>
      </w:r>
      <w:r w:rsidRPr="00CF5F58">
        <w:t xml:space="preserve"> the big picture and remember where we have come from, and where we are now in terms of maturity in the way we are managing the Murray</w:t>
      </w:r>
      <w:r w:rsidR="0063302A" w:rsidRPr="0063302A">
        <w:t>–</w:t>
      </w:r>
      <w:r w:rsidRPr="00CF5F58">
        <w:t>Darling Basin.</w:t>
      </w:r>
    </w:p>
    <w:p w14:paraId="41F4D576" w14:textId="5C24253E" w:rsidR="00C80A44" w:rsidRPr="00CF5F58" w:rsidRDefault="00C15EDA" w:rsidP="00C80A44">
      <w:r w:rsidRPr="00CF5F58">
        <w:t>However, there is evidence that some stakeholders</w:t>
      </w:r>
      <w:r w:rsidR="00C80A44" w:rsidRPr="00CF5F58">
        <w:t xml:space="preserve"> </w:t>
      </w:r>
      <w:r w:rsidRPr="00CF5F58">
        <w:t>are</w:t>
      </w:r>
      <w:r w:rsidR="00C80A44" w:rsidRPr="00C40253">
        <w:t xml:space="preserve"> lacking confidence</w:t>
      </w:r>
      <w:r w:rsidR="00C80A44" w:rsidRPr="00CF5F58">
        <w:t xml:space="preserve"> that governments and agencies are monitoring, evaluating and reporting on the </w:t>
      </w:r>
      <w:r w:rsidR="00C3615B" w:rsidRPr="00CF5F58">
        <w:t xml:space="preserve">Basin </w:t>
      </w:r>
      <w:r w:rsidR="00C80A44" w:rsidRPr="00CF5F58">
        <w:t>Plan</w:t>
      </w:r>
      <w:r w:rsidR="00892599" w:rsidRPr="00CF5F58">
        <w:t>’</w:t>
      </w:r>
      <w:r w:rsidR="00C80A44" w:rsidRPr="00CF5F58">
        <w:t>s environmental outcomes. As the Inspector</w:t>
      </w:r>
      <w:r w:rsidR="002E50E7">
        <w:t>–</w:t>
      </w:r>
      <w:r w:rsidR="00C80A44" w:rsidRPr="00CF5F58">
        <w:t xml:space="preserve">General with oversight of agency performance against the </w:t>
      </w:r>
      <w:r w:rsidR="00853C95" w:rsidRPr="00CF5F58">
        <w:t xml:space="preserve">Basin </w:t>
      </w:r>
      <w:r w:rsidR="00C80A44" w:rsidRPr="00CF5F58">
        <w:t>Plan, I wanted to know as a first step</w:t>
      </w:r>
      <w:r w:rsidR="0016472F">
        <w:t xml:space="preserve"> how the evaluation system was set up and also</w:t>
      </w:r>
      <w:r w:rsidR="00C80A44" w:rsidRPr="00CF5F58">
        <w:t xml:space="preserve"> if the system has a fundamental gap</w:t>
      </w:r>
      <w:r w:rsidR="00AD141E">
        <w:t xml:space="preserve"> in design</w:t>
      </w:r>
      <w:r w:rsidR="00853C95" w:rsidRPr="00CF5F58">
        <w:t>.</w:t>
      </w:r>
      <w:r w:rsidR="00AD141E">
        <w:t xml:space="preserve"> This report seeks to answer those two </w:t>
      </w:r>
      <w:r w:rsidR="00554CF6">
        <w:t>foundational</w:t>
      </w:r>
      <w:r w:rsidR="00AD141E">
        <w:t xml:space="preserve"> questions.</w:t>
      </w:r>
    </w:p>
    <w:p w14:paraId="611551A3" w14:textId="5661FC46" w:rsidR="00FC2961" w:rsidRPr="00CF5F58" w:rsidRDefault="00FC2961" w:rsidP="00FC2961">
      <w:r w:rsidRPr="00CF5F58">
        <w:t xml:space="preserve">My approach to performance assurance is simple; </w:t>
      </w:r>
      <w:r w:rsidR="00A8632C" w:rsidRPr="00CF5F58">
        <w:t>it is not enough for</w:t>
      </w:r>
      <w:r w:rsidRPr="00CF5F58">
        <w:t xml:space="preserve"> agencies to tell me they’re meeting their obligations; I need them to </w:t>
      </w:r>
      <w:r w:rsidRPr="00C40253">
        <w:t>show me the evidence</w:t>
      </w:r>
      <w:r w:rsidRPr="00CF5F58">
        <w:t xml:space="preserve"> so I can make an independent assessment. I acknowledge the collaborative efforts of all agencies involved in this stocktake and their support of my approach and of transparency.</w:t>
      </w:r>
    </w:p>
    <w:p w14:paraId="745E09C2" w14:textId="6F9D2401" w:rsidR="00C80A44" w:rsidRPr="00CF5F58" w:rsidRDefault="003623B1" w:rsidP="003623B1">
      <w:r w:rsidRPr="00CF5F58">
        <w:t xml:space="preserve">This report provides </w:t>
      </w:r>
      <w:r w:rsidR="00D42B16" w:rsidRPr="00CF5F58">
        <w:t>evidence that the</w:t>
      </w:r>
      <w:r w:rsidR="00E6754D" w:rsidRPr="00CF5F58">
        <w:t>re is a</w:t>
      </w:r>
      <w:r w:rsidR="00D42B16" w:rsidRPr="00C40253">
        <w:t xml:space="preserve"> </w:t>
      </w:r>
      <w:r w:rsidR="00E0564B" w:rsidRPr="00C40253">
        <w:t>legislated</w:t>
      </w:r>
      <w:r w:rsidR="00D42B16" w:rsidRPr="00C40253">
        <w:t xml:space="preserve"> framewor</w:t>
      </w:r>
      <w:r w:rsidR="004350DE" w:rsidRPr="00C40253">
        <w:t>k</w:t>
      </w:r>
      <w:r w:rsidR="00ED2BB3" w:rsidRPr="00C40253">
        <w:t xml:space="preserve"> </w:t>
      </w:r>
      <w:r w:rsidR="00E6754D" w:rsidRPr="00C40253">
        <w:t>in place</w:t>
      </w:r>
      <w:r w:rsidR="00ED2BB3" w:rsidRPr="00CF5F58">
        <w:t xml:space="preserve"> </w:t>
      </w:r>
      <w:r w:rsidR="00E4387F" w:rsidRPr="00CF5F58">
        <w:t xml:space="preserve">in the Basin Plan </w:t>
      </w:r>
      <w:r w:rsidR="00ED2BB3" w:rsidRPr="00CF5F58">
        <w:t xml:space="preserve">and that </w:t>
      </w:r>
      <w:r w:rsidR="002A00D1" w:rsidRPr="00CF5F58">
        <w:t xml:space="preserve">the Basin </w:t>
      </w:r>
      <w:r w:rsidR="00DE112B" w:rsidRPr="00CF5F58">
        <w:t>S</w:t>
      </w:r>
      <w:r w:rsidR="002A00D1" w:rsidRPr="00CF5F58">
        <w:t xml:space="preserve">tate agencies </w:t>
      </w:r>
      <w:r w:rsidR="00E4387F" w:rsidRPr="00CF5F58">
        <w:t xml:space="preserve">understand their role and </w:t>
      </w:r>
      <w:r w:rsidR="002A00D1" w:rsidRPr="00CF5F58">
        <w:t xml:space="preserve">are discharging their </w:t>
      </w:r>
      <w:r w:rsidR="00E6754D" w:rsidRPr="00CF5F58">
        <w:t>obligations</w:t>
      </w:r>
      <w:r w:rsidR="00155462" w:rsidRPr="00CF5F58">
        <w:t xml:space="preserve"> to produce monitoring and evaluation reports</w:t>
      </w:r>
      <w:r w:rsidR="00E6754D" w:rsidRPr="00CF5F58">
        <w:t xml:space="preserve"> to the Commonwealth</w:t>
      </w:r>
      <w:r w:rsidR="00155462" w:rsidRPr="00CF5F58">
        <w:t>.</w:t>
      </w:r>
      <w:r w:rsidR="00E6754D" w:rsidRPr="00CF5F58">
        <w:t xml:space="preserve"> This is no small achievement</w:t>
      </w:r>
      <w:r w:rsidR="00C80A44" w:rsidRPr="00CF5F58">
        <w:t xml:space="preserve"> given the collaborative federalism model which underpins the Basin Plan</w:t>
      </w:r>
      <w:r w:rsidR="00E6754D" w:rsidRPr="00CF5F58">
        <w:t>.</w:t>
      </w:r>
      <w:r w:rsidR="00EA290E" w:rsidRPr="00CF5F58">
        <w:t xml:space="preserve"> </w:t>
      </w:r>
    </w:p>
    <w:p w14:paraId="5E03DE67" w14:textId="63B45C7C" w:rsidR="005335BD" w:rsidRPr="00CF5F58" w:rsidRDefault="00B42565" w:rsidP="005335BD">
      <w:r w:rsidRPr="00CF5F58">
        <w:t xml:space="preserve">This stocktake highlights the </w:t>
      </w:r>
      <w:r w:rsidRPr="00C40253">
        <w:t>efforts</w:t>
      </w:r>
      <w:r w:rsidRPr="00CF5F58">
        <w:t xml:space="preserve"> of Basin State and Commonwealth agencies in reporting on water management and environmental outcomes. </w:t>
      </w:r>
      <w:r w:rsidR="005335BD" w:rsidRPr="00CF5F58">
        <w:t>Their ongoing efforts in provid</w:t>
      </w:r>
      <w:r w:rsidR="00E463DC" w:rsidRPr="00CF5F58">
        <w:t>ing</w:t>
      </w:r>
      <w:r w:rsidR="005335BD" w:rsidRPr="00CF5F58">
        <w:t xml:space="preserve"> information about water management is commendable. </w:t>
      </w:r>
    </w:p>
    <w:p w14:paraId="050492A6" w14:textId="2B8D4FBD" w:rsidR="00C15EDA" w:rsidRPr="00CF5F58" w:rsidRDefault="00C15EDA" w:rsidP="005335BD">
      <w:r w:rsidRPr="00CF5F58">
        <w:t>I note a recurring theme</w:t>
      </w:r>
      <w:r w:rsidR="0016472F">
        <w:t xml:space="preserve"> which I am seeing</w:t>
      </w:r>
      <w:r w:rsidRPr="00CF5F58">
        <w:t xml:space="preserve"> in this piece of work and others; there are lots of </w:t>
      </w:r>
      <w:r w:rsidRPr="00C40253">
        <w:t>plans</w:t>
      </w:r>
      <w:r w:rsidRPr="00CF5F58">
        <w:t>.</w:t>
      </w:r>
      <w:r w:rsidR="0011089D" w:rsidRPr="00CF5F58">
        <w:t xml:space="preserve"> As part of the stocktake we received more than 50 management plans to demonstrate monitoring</w:t>
      </w:r>
      <w:r w:rsidR="00917CC3" w:rsidRPr="00CF5F58">
        <w:t xml:space="preserve"> </w:t>
      </w:r>
      <w:r w:rsidR="00DE112B" w:rsidRPr="00CF5F58">
        <w:t>and evaluation</w:t>
      </w:r>
      <w:r w:rsidR="0011089D" w:rsidRPr="00CF5F58">
        <w:t xml:space="preserve"> reporting.</w:t>
      </w:r>
      <w:r w:rsidRPr="00CF5F58">
        <w:t xml:space="preserve"> Plans are great, but unless they are fully </w:t>
      </w:r>
      <w:r w:rsidR="0011089D" w:rsidRPr="00CF5F58">
        <w:t>implemented,</w:t>
      </w:r>
      <w:r w:rsidRPr="00CF5F58">
        <w:t xml:space="preserve"> they don’t deliver the outcomes promised, and that’s why </w:t>
      </w:r>
      <w:r w:rsidR="0011089D" w:rsidRPr="00CF5F58">
        <w:t xml:space="preserve">evidence-based </w:t>
      </w:r>
      <w:r w:rsidRPr="00CF5F58">
        <w:t>monitoring</w:t>
      </w:r>
      <w:r w:rsidR="00917CC3" w:rsidRPr="00CF5F58">
        <w:t xml:space="preserve"> and </w:t>
      </w:r>
      <w:r w:rsidRPr="00CF5F58">
        <w:t>evaluation reporting is so critically important.</w:t>
      </w:r>
    </w:p>
    <w:p w14:paraId="3CAAE02C" w14:textId="5CE5AE9F" w:rsidR="00A26A15" w:rsidRPr="00CF5F58" w:rsidRDefault="00E4387F" w:rsidP="003623B1">
      <w:r w:rsidRPr="00CF5F58">
        <w:lastRenderedPageBreak/>
        <w:t>N</w:t>
      </w:r>
      <w:r w:rsidR="00B42565" w:rsidRPr="00CF5F58">
        <w:t xml:space="preserve">avigating and interpreting </w:t>
      </w:r>
      <w:r w:rsidR="00001FFB" w:rsidRPr="00CF5F58">
        <w:t>how the</w:t>
      </w:r>
      <w:r w:rsidR="00001FFB" w:rsidRPr="00C40253">
        <w:t xml:space="preserve"> </w:t>
      </w:r>
      <w:r w:rsidRPr="00C40253">
        <w:t>200+</w:t>
      </w:r>
      <w:r w:rsidR="00B42565" w:rsidRPr="00C40253">
        <w:t xml:space="preserve"> report</w:t>
      </w:r>
      <w:r w:rsidR="0072186A" w:rsidRPr="00C40253">
        <w:t xml:space="preserve">s </w:t>
      </w:r>
      <w:r w:rsidR="0072186A" w:rsidRPr="00CF5F58">
        <w:t>in this stocktake</w:t>
      </w:r>
      <w:r w:rsidR="00001FFB" w:rsidRPr="00CF5F58">
        <w:t xml:space="preserve"> fit together</w:t>
      </w:r>
      <w:r w:rsidR="00B42565" w:rsidRPr="00CF5F58">
        <w:t xml:space="preserve"> </w:t>
      </w:r>
      <w:r w:rsidRPr="00CF5F58">
        <w:t>is difficult</w:t>
      </w:r>
      <w:r w:rsidR="00B42565" w:rsidRPr="00CF5F58">
        <w:t xml:space="preserve">. While the presence of </w:t>
      </w:r>
      <w:r w:rsidR="00303433" w:rsidRPr="00CF5F58">
        <w:t>legislated</w:t>
      </w:r>
      <w:r w:rsidR="00B42565" w:rsidRPr="00CF5F58">
        <w:t xml:space="preserve"> frameworks </w:t>
      </w:r>
      <w:r w:rsidR="0048572A" w:rsidRPr="00CF5F58">
        <w:t>provide</w:t>
      </w:r>
      <w:r w:rsidR="00B42565" w:rsidRPr="00CF5F58">
        <w:t xml:space="preserve"> reassurance that </w:t>
      </w:r>
      <w:r w:rsidR="00C67FCE" w:rsidRPr="00CF5F58">
        <w:t>reporting and monitoring</w:t>
      </w:r>
      <w:r w:rsidR="00B42565" w:rsidRPr="00CF5F58">
        <w:t xml:space="preserve"> </w:t>
      </w:r>
      <w:r w:rsidR="003B741A" w:rsidRPr="00CF5F58">
        <w:t>must be undertaken</w:t>
      </w:r>
      <w:r w:rsidR="00B42565" w:rsidRPr="00CF5F58">
        <w:t xml:space="preserve">, their effectiveness remains a separate </w:t>
      </w:r>
      <w:r w:rsidR="000746E1">
        <w:t xml:space="preserve">and unresolved </w:t>
      </w:r>
      <w:r w:rsidR="00B42565" w:rsidRPr="00CF5F58">
        <w:t xml:space="preserve">consideration. </w:t>
      </w:r>
    </w:p>
    <w:p w14:paraId="507E119C" w14:textId="4BEB479E" w:rsidR="00B42565" w:rsidRPr="00CF5F58" w:rsidRDefault="00A760BE" w:rsidP="003623B1">
      <w:r w:rsidRPr="00CF5F58">
        <w:t>These 200</w:t>
      </w:r>
      <w:r w:rsidR="008011D4" w:rsidRPr="00CF5F58">
        <w:t>+ reports then cite</w:t>
      </w:r>
      <w:r w:rsidR="00B42565" w:rsidRPr="00CF5F58">
        <w:t xml:space="preserve"> </w:t>
      </w:r>
      <w:r w:rsidR="000640B8" w:rsidRPr="00CF5F58">
        <w:t>various</w:t>
      </w:r>
      <w:r w:rsidR="00B42565" w:rsidRPr="00CF5F58">
        <w:t xml:space="preserve"> </w:t>
      </w:r>
      <w:r w:rsidR="008011D4" w:rsidRPr="00CF5F58">
        <w:t>technical reports</w:t>
      </w:r>
      <w:r w:rsidR="00EA2707" w:rsidRPr="00CF5F58">
        <w:t xml:space="preserve"> and data, typically at a catchment</w:t>
      </w:r>
      <w:r w:rsidR="00EA2707">
        <w:t xml:space="preserve"> scale, which may not always</w:t>
      </w:r>
      <w:r w:rsidR="00B42565" w:rsidRPr="00806C06">
        <w:t xml:space="preserve"> be </w:t>
      </w:r>
      <w:r w:rsidR="00EA2707">
        <w:t xml:space="preserve">accessible to the public. This can make it difficult to identify </w:t>
      </w:r>
      <w:r w:rsidR="00EA2707" w:rsidRPr="00CF5F58">
        <w:t xml:space="preserve">the </w:t>
      </w:r>
      <w:r w:rsidR="00B42565" w:rsidRPr="00C40253">
        <w:t xml:space="preserve">key </w:t>
      </w:r>
      <w:r w:rsidR="00EA2707" w:rsidRPr="00C40253">
        <w:t>evidence</w:t>
      </w:r>
      <w:r w:rsidR="00EA2707" w:rsidRPr="00CF5F58">
        <w:t xml:space="preserve"> used for</w:t>
      </w:r>
      <w:r w:rsidR="00B42565" w:rsidRPr="00CF5F58">
        <w:t xml:space="preserve"> Basin</w:t>
      </w:r>
      <w:r w:rsidR="00EA2707" w:rsidRPr="00CF5F58">
        <w:t>-scale evaluations.</w:t>
      </w:r>
      <w:r w:rsidR="000746E1">
        <w:t xml:space="preserve"> Improved publication of underlying data would help deliver further transparency and support improved trust and confidence. </w:t>
      </w:r>
      <w:r w:rsidR="000E19A8" w:rsidRPr="00CF5F58">
        <w:t xml:space="preserve"> </w:t>
      </w:r>
    </w:p>
    <w:p w14:paraId="5B1C0035" w14:textId="4972BAE8" w:rsidR="00EA290E" w:rsidRPr="00CF5F58" w:rsidRDefault="000746E1" w:rsidP="00EA290E">
      <w:r>
        <w:t>A</w:t>
      </w:r>
      <w:r w:rsidRPr="00CF5F58">
        <w:t xml:space="preserve"> </w:t>
      </w:r>
      <w:r w:rsidR="009409B6" w:rsidRPr="00CF5F58">
        <w:t xml:space="preserve">legislated </w:t>
      </w:r>
      <w:r w:rsidR="0072186A" w:rsidRPr="00CF5F58">
        <w:t xml:space="preserve">framework </w:t>
      </w:r>
      <w:r w:rsidR="00A539C8" w:rsidRPr="00CF5F58">
        <w:t>is</w:t>
      </w:r>
      <w:r w:rsidR="009409B6" w:rsidRPr="00CF5F58">
        <w:t xml:space="preserve"> in place and the </w:t>
      </w:r>
      <w:r w:rsidR="00EF5F05" w:rsidRPr="00CF5F58">
        <w:t>reports are being submitted</w:t>
      </w:r>
      <w:r w:rsidR="0016335A" w:rsidRPr="00CF5F58">
        <w:t>,</w:t>
      </w:r>
      <w:r w:rsidR="00EF5F05" w:rsidRPr="00CF5F58">
        <w:t xml:space="preserve"> but a recent </w:t>
      </w:r>
      <w:r w:rsidR="00F2156C" w:rsidRPr="00CF5F58">
        <w:t xml:space="preserve">audit by the Australian National Audit Office (ANAO) </w:t>
      </w:r>
      <w:r w:rsidR="009251BD" w:rsidRPr="00CF5F58">
        <w:t xml:space="preserve">on </w:t>
      </w:r>
      <w:r>
        <w:t>‘</w:t>
      </w:r>
      <w:r w:rsidR="009251BD" w:rsidRPr="00CF5F58">
        <w:t>Strategic Water Purchasing</w:t>
      </w:r>
      <w:r w:rsidR="00D41FD5" w:rsidRPr="00CF5F58">
        <w:t xml:space="preserve"> – Bridging the Gap 2023</w:t>
      </w:r>
      <w:r>
        <w:t>’</w:t>
      </w:r>
      <w:r w:rsidR="0072186A" w:rsidRPr="00CF5F58">
        <w:t xml:space="preserve"> </w:t>
      </w:r>
      <w:r w:rsidR="00EA290E" w:rsidRPr="00CF5F58">
        <w:t xml:space="preserve">highlighted that whilst there </w:t>
      </w:r>
      <w:r w:rsidR="00E463DC" w:rsidRPr="00CF5F58">
        <w:t>were</w:t>
      </w:r>
      <w:r w:rsidR="00EA290E" w:rsidRPr="00CF5F58">
        <w:t xml:space="preserve"> evaluations of the program undertaken</w:t>
      </w:r>
      <w:r w:rsidR="00CE10D6" w:rsidRPr="00CF5F58">
        <w:t xml:space="preserve"> by the D</w:t>
      </w:r>
      <w:r w:rsidR="00DB146F" w:rsidRPr="00CF5F58">
        <w:t xml:space="preserve">epartment of Climate Change, </w:t>
      </w:r>
      <w:r w:rsidR="001804D1" w:rsidRPr="00CF5F58">
        <w:t xml:space="preserve">Energy, the </w:t>
      </w:r>
      <w:r w:rsidR="00DB146F" w:rsidRPr="00CF5F58">
        <w:t>Environment</w:t>
      </w:r>
      <w:r w:rsidR="001804D1" w:rsidRPr="00CF5F58">
        <w:t xml:space="preserve"> </w:t>
      </w:r>
      <w:r w:rsidR="00DB146F" w:rsidRPr="00CF5F58">
        <w:t>and Water</w:t>
      </w:r>
      <w:r w:rsidR="00EA290E" w:rsidRPr="00CF5F58">
        <w:t xml:space="preserve">, the </w:t>
      </w:r>
      <w:r w:rsidR="00EA290E" w:rsidRPr="00C40253">
        <w:t>evaluations did not link the outputs</w:t>
      </w:r>
      <w:r w:rsidR="00EA290E" w:rsidRPr="00CF5F58">
        <w:t xml:space="preserve"> (water recovered) to </w:t>
      </w:r>
      <w:r w:rsidR="00001FFB" w:rsidRPr="00CF5F58">
        <w:t>the program purpose under the Basin Plan (</w:t>
      </w:r>
      <w:r w:rsidR="00E463DC" w:rsidRPr="00CF5F58">
        <w:t>b</w:t>
      </w:r>
      <w:r w:rsidR="00001FFB" w:rsidRPr="00CF5F58">
        <w:t>ridging the gap</w:t>
      </w:r>
      <w:r w:rsidR="00E463DC" w:rsidRPr="00CF5F58">
        <w:t xml:space="preserve"> to sustainable limits</w:t>
      </w:r>
      <w:r w:rsidR="00001FFB" w:rsidRPr="00CF5F58">
        <w:t xml:space="preserve">) or to </w:t>
      </w:r>
      <w:r w:rsidR="00EA290E" w:rsidRPr="00CF5F58">
        <w:t>environmental outcomes under the Basin Plan.</w:t>
      </w:r>
      <w:r w:rsidR="00284C9C" w:rsidRPr="00CF5F58">
        <w:rPr>
          <w:rStyle w:val="FootnoteReference"/>
        </w:rPr>
        <w:footnoteReference w:id="3"/>
      </w:r>
      <w:r w:rsidR="009B2E06" w:rsidRPr="00CF5F58">
        <w:t xml:space="preserve"> </w:t>
      </w:r>
      <w:r w:rsidR="00E042E8" w:rsidRPr="00CF5F58">
        <w:t>This raises questions about</w:t>
      </w:r>
      <w:r w:rsidR="00B315CA" w:rsidRPr="00CF5F58">
        <w:t xml:space="preserve"> </w:t>
      </w:r>
      <w:r w:rsidR="00184FA5" w:rsidRPr="00CF5F58">
        <w:t xml:space="preserve">whether </w:t>
      </w:r>
      <w:r w:rsidR="000139B7">
        <w:t>the design and content of</w:t>
      </w:r>
      <w:r w:rsidR="00184FA5" w:rsidRPr="00CF5F58">
        <w:t xml:space="preserve"> evaluation</w:t>
      </w:r>
      <w:r w:rsidR="000139B7">
        <w:t>s</w:t>
      </w:r>
      <w:r w:rsidR="00184FA5" w:rsidRPr="00CF5F58">
        <w:t xml:space="preserve"> </w:t>
      </w:r>
      <w:r w:rsidR="004F0E33" w:rsidRPr="00CF5F58">
        <w:t xml:space="preserve">is part of a systemic </w:t>
      </w:r>
      <w:r>
        <w:t>risk</w:t>
      </w:r>
      <w:r w:rsidR="004F0E33" w:rsidRPr="00CF5F58">
        <w:t>.</w:t>
      </w:r>
    </w:p>
    <w:p w14:paraId="0B413A6A" w14:textId="4AE4E5E9" w:rsidR="00A1466C" w:rsidRPr="00CF5F58" w:rsidRDefault="00C80A44" w:rsidP="00C80A44">
      <w:r w:rsidRPr="00CF5F58">
        <w:t xml:space="preserve">There have been annual </w:t>
      </w:r>
      <w:r w:rsidRPr="00C40253">
        <w:t>evaluations undertaken</w:t>
      </w:r>
      <w:r w:rsidRPr="00CF5F58">
        <w:t xml:space="preserve"> by the MDBA (and more detailed on a five yearly basis), but to date they haven’t provided the outcomes-based information people are looking for to clearly assess performance of the Basin Plan. </w:t>
      </w:r>
      <w:r w:rsidR="00E463DC" w:rsidRPr="00CF5F58">
        <w:t xml:space="preserve">In part, this is expected given </w:t>
      </w:r>
      <w:r w:rsidR="0007604A" w:rsidRPr="00CF5F58">
        <w:t>it</w:t>
      </w:r>
      <w:r w:rsidR="00E463DC" w:rsidRPr="00CF5F58">
        <w:t xml:space="preserve"> is still relatively new in macro terms. </w:t>
      </w:r>
      <w:r w:rsidR="008744A8" w:rsidRPr="00CF5F58">
        <w:t>Also, impl</w:t>
      </w:r>
      <w:r w:rsidR="00813BC1" w:rsidRPr="00CF5F58">
        <w:t>emen</w:t>
      </w:r>
      <w:r w:rsidR="008744A8" w:rsidRPr="00CF5F58">
        <w:t xml:space="preserve">tation of the </w:t>
      </w:r>
      <w:r w:rsidR="0007604A" w:rsidRPr="00CF5F58">
        <w:t xml:space="preserve">Basin </w:t>
      </w:r>
      <w:r w:rsidR="008744A8" w:rsidRPr="00CF5F58">
        <w:t xml:space="preserve">Plan has occurred at a much slower pace than originally anticipated and </w:t>
      </w:r>
      <w:r w:rsidR="00813BC1" w:rsidRPr="00CF5F58">
        <w:t>scheduled</w:t>
      </w:r>
      <w:r w:rsidR="0007604A" w:rsidRPr="00CF5F58">
        <w:t>.</w:t>
      </w:r>
    </w:p>
    <w:p w14:paraId="3CAEA20C" w14:textId="5E4CE010" w:rsidR="00A1466C" w:rsidRPr="00CF5F58" w:rsidRDefault="00A1466C" w:rsidP="00A1466C">
      <w:r w:rsidRPr="00C40253">
        <w:t>Delays in Basin Plan implementation</w:t>
      </w:r>
      <w:r w:rsidRPr="00CF5F58">
        <w:t xml:space="preserve"> are </w:t>
      </w:r>
      <w:r w:rsidR="00D22576" w:rsidRPr="00CF5F58">
        <w:t>influencing</w:t>
      </w:r>
      <w:r w:rsidRPr="00CF5F58">
        <w:t xml:space="preserve"> the ability to demonstrate </w:t>
      </w:r>
      <w:r w:rsidR="004F0542" w:rsidRPr="00CF5F58">
        <w:t>its</w:t>
      </w:r>
      <w:r w:rsidR="00F06FDB" w:rsidRPr="00CF5F58">
        <w:t xml:space="preserve"> </w:t>
      </w:r>
      <w:r w:rsidRPr="00CF5F58">
        <w:t>impact on environmental outcomes. Key elements of the Basin Plan were scheduled to be completed across the Basin in 2019 (</w:t>
      </w:r>
      <w:r w:rsidR="00DE1192">
        <w:t>e.g.</w:t>
      </w:r>
      <w:r w:rsidRPr="00CF5F58">
        <w:t xml:space="preserve"> accreditation and implementation of </w:t>
      </w:r>
      <w:r w:rsidR="004F0542" w:rsidRPr="00CF5F58">
        <w:t>w</w:t>
      </w:r>
      <w:r w:rsidRPr="00CF5F58">
        <w:t xml:space="preserve">ater </w:t>
      </w:r>
      <w:r w:rsidR="004F0542" w:rsidRPr="00CF5F58">
        <w:t>r</w:t>
      </w:r>
      <w:r w:rsidRPr="00CF5F58">
        <w:t xml:space="preserve">esource </w:t>
      </w:r>
      <w:r w:rsidR="004F0542" w:rsidRPr="00CF5F58">
        <w:t>p</w:t>
      </w:r>
      <w:r w:rsidRPr="00CF5F58">
        <w:t>lans). A further tranche of key reforms were due for completion in 2024 (</w:t>
      </w:r>
      <w:r w:rsidR="00FD5635">
        <w:t>e.g.</w:t>
      </w:r>
      <w:r w:rsidRPr="00CF5F58">
        <w:t xml:space="preserve"> the recovery or reconciliation of </w:t>
      </w:r>
      <w:r w:rsidR="001223CF" w:rsidRPr="00C40253">
        <w:t>60</w:t>
      </w:r>
      <w:r w:rsidR="00CF5F58">
        <w:t>5</w:t>
      </w:r>
      <w:r w:rsidR="001223CF" w:rsidRPr="00C40253">
        <w:t>GL</w:t>
      </w:r>
      <w:r w:rsidR="001223CF" w:rsidRPr="00CF5F58">
        <w:t xml:space="preserve"> </w:t>
      </w:r>
      <w:r w:rsidRPr="00CF5F58">
        <w:t>through the Sustainable Diversion Limit adjustment mechanism). As we sit here in 2025</w:t>
      </w:r>
      <w:r w:rsidR="00195B06" w:rsidRPr="00CF5F58">
        <w:t xml:space="preserve">, we are </w:t>
      </w:r>
      <w:r w:rsidR="00C954AD" w:rsidRPr="00CF5F58">
        <w:t xml:space="preserve">still not </w:t>
      </w:r>
      <w:r w:rsidR="004F0542" w:rsidRPr="00CF5F58">
        <w:t>able</w:t>
      </w:r>
      <w:r w:rsidR="00C954AD" w:rsidRPr="00CF5F58">
        <w:t xml:space="preserve"> to </w:t>
      </w:r>
      <w:r w:rsidR="00E95850" w:rsidRPr="00CF5F58">
        <w:t xml:space="preserve">fully </w:t>
      </w:r>
      <w:r w:rsidR="00C954AD" w:rsidRPr="00CF5F58">
        <w:t xml:space="preserve">assess </w:t>
      </w:r>
      <w:r w:rsidR="00D22576" w:rsidRPr="00CF5F58">
        <w:t>whether</w:t>
      </w:r>
      <w:r w:rsidR="00C954AD" w:rsidRPr="00CF5F58">
        <w:t xml:space="preserve"> the Basin Plan is working as intended</w:t>
      </w:r>
      <w:r w:rsidRPr="00CF5F58">
        <w:t>. The reality is we are still in the middle of implementation with key reforms still underway.</w:t>
      </w:r>
    </w:p>
    <w:p w14:paraId="511D1E3A" w14:textId="71309615" w:rsidR="00C80A44" w:rsidRPr="00CF5F58" w:rsidRDefault="008744A8" w:rsidP="00C80A44">
      <w:r w:rsidRPr="00CF5F58">
        <w:t xml:space="preserve">Regardless, as a matter of good practice, </w:t>
      </w:r>
      <w:r w:rsidR="000139B7">
        <w:t>evaluation</w:t>
      </w:r>
      <w:r w:rsidR="000139B7" w:rsidRPr="00CF5F58">
        <w:t xml:space="preserve"> </w:t>
      </w:r>
      <w:r w:rsidR="00C80A44" w:rsidRPr="00CF5F58">
        <w:t xml:space="preserve">reports need to </w:t>
      </w:r>
      <w:r w:rsidR="00C80A44" w:rsidRPr="00C40253">
        <w:t>mature</w:t>
      </w:r>
      <w:r w:rsidR="00C80A44" w:rsidRPr="00CF5F58">
        <w:t xml:space="preserve"> over time</w:t>
      </w:r>
      <w:r w:rsidR="0017236C" w:rsidRPr="00CF5F58">
        <w:t xml:space="preserve"> to support confidence in the </w:t>
      </w:r>
      <w:r w:rsidR="00F06FDB" w:rsidRPr="00CF5F58">
        <w:t xml:space="preserve">Basin </w:t>
      </w:r>
      <w:r w:rsidR="0017236C" w:rsidRPr="00CF5F58">
        <w:t>Plan</w:t>
      </w:r>
      <w:r w:rsidR="00C80A44" w:rsidRPr="00CF5F58">
        <w:t>.</w:t>
      </w:r>
      <w:r w:rsidR="00381E4A" w:rsidRPr="00CF5F58">
        <w:t xml:space="preserve"> </w:t>
      </w:r>
      <w:r w:rsidR="00C15EDA" w:rsidRPr="00CF5F58">
        <w:t xml:space="preserve">Whilst I haven’t in this report </w:t>
      </w:r>
      <w:r w:rsidR="00543C74" w:rsidRPr="00CF5F58">
        <w:t>examined</w:t>
      </w:r>
      <w:r w:rsidR="00C15EDA" w:rsidRPr="00CF5F58">
        <w:t xml:space="preserve"> the quality of report content, I can observe from my broader work </w:t>
      </w:r>
      <w:r w:rsidR="00543C74" w:rsidRPr="00CF5F58">
        <w:t>over three</w:t>
      </w:r>
      <w:r w:rsidR="00C15EDA" w:rsidRPr="00CF5F58">
        <w:t xml:space="preserve"> years that there are </w:t>
      </w:r>
      <w:r w:rsidR="000139B7">
        <w:t xml:space="preserve">some specific </w:t>
      </w:r>
      <w:r w:rsidR="00C15EDA" w:rsidRPr="00CF5F58">
        <w:t xml:space="preserve">parts of the reporting system which are not </w:t>
      </w:r>
      <w:r w:rsidR="00554CF6">
        <w:t>meeting the specific needs of 2025</w:t>
      </w:r>
      <w:r w:rsidR="00C15EDA" w:rsidRPr="00CF5F58">
        <w:t>.</w:t>
      </w:r>
      <w:r w:rsidR="00543C74" w:rsidRPr="00CF5F58">
        <w:t xml:space="preserve"> Developing clear, detailed and consistent expectations and requirements is difficult and time consuming, however it is necessary to drive continuous improvement.</w:t>
      </w:r>
    </w:p>
    <w:p w14:paraId="7AE2CCFF" w14:textId="0D9444C3" w:rsidR="008373EE" w:rsidRPr="00CF5F58" w:rsidRDefault="00132E00" w:rsidP="00C40253">
      <w:pPr>
        <w:spacing w:after="120"/>
      </w:pPr>
      <w:r w:rsidRPr="00FC1B50">
        <w:rPr>
          <w:rFonts w:cstheme="minorBidi"/>
        </w:rPr>
        <w:t xml:space="preserve">The MDBA </w:t>
      </w:r>
      <w:r w:rsidR="0017236C" w:rsidRPr="00FC1B50">
        <w:rPr>
          <w:rFonts w:cstheme="minorBidi"/>
        </w:rPr>
        <w:t>is currently</w:t>
      </w:r>
      <w:r w:rsidRPr="00FC1B50">
        <w:rPr>
          <w:rFonts w:cstheme="minorBidi"/>
        </w:rPr>
        <w:t xml:space="preserve"> conduct</w:t>
      </w:r>
      <w:r w:rsidR="0017236C" w:rsidRPr="00FC1B50">
        <w:rPr>
          <w:rFonts w:cstheme="minorBidi"/>
        </w:rPr>
        <w:t>ing</w:t>
      </w:r>
      <w:r w:rsidRPr="00FC1B50">
        <w:rPr>
          <w:rFonts w:cstheme="minorBidi"/>
        </w:rPr>
        <w:t xml:space="preserve"> its 5-yearly evaluation of the Basin </w:t>
      </w:r>
      <w:r w:rsidR="0017236C" w:rsidRPr="00FC1B50">
        <w:rPr>
          <w:rFonts w:cstheme="minorBidi"/>
        </w:rPr>
        <w:t>Plan and is due to report this year (2025</w:t>
      </w:r>
      <w:r w:rsidR="00EE5199" w:rsidRPr="00FC1B50">
        <w:rPr>
          <w:rFonts w:cstheme="minorBidi"/>
        </w:rPr>
        <w:t>).</w:t>
      </w:r>
      <w:r w:rsidRPr="00FC1B50">
        <w:rPr>
          <w:rStyle w:val="FootnoteReference"/>
          <w:rFonts w:cstheme="minorBidi"/>
        </w:rPr>
        <w:footnoteReference w:id="4"/>
      </w:r>
      <w:r w:rsidR="00ED7F95" w:rsidRPr="00FC1B50">
        <w:rPr>
          <w:rFonts w:cstheme="minorBidi"/>
        </w:rPr>
        <w:t xml:space="preserve"> </w:t>
      </w:r>
      <w:r w:rsidR="008373EE" w:rsidRPr="00CF5F58">
        <w:t xml:space="preserve">I note that a large piece of the puzzle has recently been put in place. Basin-wide </w:t>
      </w:r>
      <w:r w:rsidR="008373EE" w:rsidRPr="00C40253">
        <w:t>condition monitoring</w:t>
      </w:r>
      <w:r w:rsidR="008373EE" w:rsidRPr="00CF5F58">
        <w:t xml:space="preserve"> by scientists is an essential evidence base for any meaningful assessment of environmental outcomes. The MDBA have recently completed a Sustainable Rivers Audit as an input to their 2025 Basin Plan Evaluation. These results should become available mid this year, providing an opportunity to reduce the gap between expectations and data.</w:t>
      </w:r>
    </w:p>
    <w:p w14:paraId="6F2A68EE" w14:textId="64DDFB97" w:rsidR="0072186A" w:rsidRPr="00CF5F58" w:rsidRDefault="0072186A" w:rsidP="0072186A">
      <w:r w:rsidRPr="00CF5F58">
        <w:t xml:space="preserve">The five yearly reports from </w:t>
      </w:r>
      <w:r w:rsidR="004F0542" w:rsidRPr="00CF5F58">
        <w:t>Basin State</w:t>
      </w:r>
      <w:r w:rsidR="00DE112B" w:rsidRPr="00CF5F58">
        <w:t xml:space="preserve"> agencies</w:t>
      </w:r>
      <w:r w:rsidRPr="00CF5F58">
        <w:t xml:space="preserve">, combined with an independent scientific evidence base on condition monitoring provide the </w:t>
      </w:r>
      <w:r w:rsidRPr="00C40253">
        <w:t>opportunity</w:t>
      </w:r>
      <w:r w:rsidRPr="00CF5F58">
        <w:t xml:space="preserve"> for the first </w:t>
      </w:r>
      <w:r w:rsidR="000D29F2" w:rsidRPr="00CF5F58">
        <w:t xml:space="preserve">detailed and </w:t>
      </w:r>
      <w:r w:rsidRPr="00CF5F58">
        <w:t xml:space="preserve">meaningful assessment and evaluation of the impact the Basin Plan is having on the environment </w:t>
      </w:r>
      <w:r w:rsidR="002228E0" w:rsidRPr="00CF5F58">
        <w:t>across</w:t>
      </w:r>
      <w:r w:rsidRPr="00CF5F58">
        <w:t xml:space="preserve"> the </w:t>
      </w:r>
      <w:r w:rsidR="002228E0" w:rsidRPr="00CF5F58">
        <w:t xml:space="preserve">entire </w:t>
      </w:r>
      <w:r w:rsidRPr="00CF5F58">
        <w:t>Murray</w:t>
      </w:r>
      <w:r w:rsidR="0063302A" w:rsidRPr="0063302A">
        <w:t>–</w:t>
      </w:r>
      <w:r w:rsidRPr="00CF5F58">
        <w:t>Darling Basin.</w:t>
      </w:r>
    </w:p>
    <w:p w14:paraId="7A20C4F2" w14:textId="76207288" w:rsidR="003623B1" w:rsidRDefault="003623B1" w:rsidP="003623B1">
      <w:r w:rsidRPr="00CF5F58">
        <w:t xml:space="preserve">As the </w:t>
      </w:r>
      <w:r w:rsidR="00813BC1" w:rsidRPr="00C40253">
        <w:t>10-year</w:t>
      </w:r>
      <w:r w:rsidRPr="00C40253">
        <w:t xml:space="preserve"> review</w:t>
      </w:r>
      <w:r w:rsidRPr="00CF5F58">
        <w:t xml:space="preserve"> of the Basin Plan approaches</w:t>
      </w:r>
      <w:r w:rsidR="00813BC1" w:rsidRPr="00CF5F58">
        <w:t xml:space="preserve"> in 2026</w:t>
      </w:r>
      <w:r w:rsidRPr="00CF5F58">
        <w:t xml:space="preserve">, it is </w:t>
      </w:r>
      <w:r w:rsidR="005C40A3" w:rsidRPr="00CF5F58">
        <w:t>not sufficient</w:t>
      </w:r>
      <w:r w:rsidR="004E28CE" w:rsidRPr="00CF5F58">
        <w:t xml:space="preserve"> to merely produce </w:t>
      </w:r>
      <w:r w:rsidR="00813BC1" w:rsidRPr="00CF5F58">
        <w:t xml:space="preserve">evaluation </w:t>
      </w:r>
      <w:r w:rsidR="004E28CE" w:rsidRPr="00CF5F58">
        <w:t>reports; these report</w:t>
      </w:r>
      <w:r w:rsidR="00CC6CE7" w:rsidRPr="00CF5F58">
        <w:t>s must effectively demon</w:t>
      </w:r>
      <w:r w:rsidR="00CC6CE7">
        <w:t xml:space="preserve">strate </w:t>
      </w:r>
      <w:r w:rsidR="008373EE">
        <w:t xml:space="preserve">performance against </w:t>
      </w:r>
      <w:r w:rsidR="00CC6CE7">
        <w:lastRenderedPageBreak/>
        <w:t>outcome</w:t>
      </w:r>
      <w:r w:rsidR="009D0693">
        <w:t xml:space="preserve">s and tell the </w:t>
      </w:r>
      <w:r w:rsidR="0053214C">
        <w:t>story</w:t>
      </w:r>
      <w:r w:rsidR="00106E52">
        <w:t xml:space="preserve"> of the Basin, providing a clear narrative of progress</w:t>
      </w:r>
      <w:r w:rsidR="002024C2">
        <w:t xml:space="preserve"> and impact</w:t>
      </w:r>
      <w:r w:rsidR="000D29F2">
        <w:t xml:space="preserve"> </w:t>
      </w:r>
      <w:r w:rsidR="00CF5F58">
        <w:t>(or</w:t>
      </w:r>
      <w:r w:rsidR="000D29F2">
        <w:t xml:space="preserve"> otherwise)</w:t>
      </w:r>
      <w:r w:rsidR="002024C2">
        <w:t>.</w:t>
      </w:r>
    </w:p>
    <w:p w14:paraId="590EF4A7" w14:textId="2C283991" w:rsidR="00992848" w:rsidRDefault="00483D0C" w:rsidP="003623B1">
      <w:r w:rsidRPr="003D54D9">
        <w:rPr>
          <w:noProof/>
        </w:rPr>
        <w:drawing>
          <wp:anchor distT="0" distB="0" distL="114300" distR="114300" simplePos="0" relativeHeight="251659266" behindDoc="1" locked="0" layoutInCell="1" allowOverlap="1" wp14:anchorId="78B185F7" wp14:editId="1A026F46">
            <wp:simplePos x="0" y="0"/>
            <wp:positionH relativeFrom="margin">
              <wp:align>left</wp:align>
            </wp:positionH>
            <wp:positionV relativeFrom="paragraph">
              <wp:posOffset>847280</wp:posOffset>
            </wp:positionV>
            <wp:extent cx="1591310" cy="748030"/>
            <wp:effectExtent l="0" t="0" r="8890" b="0"/>
            <wp:wrapTopAndBottom/>
            <wp:docPr id="1172091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1310" cy="748030"/>
                    </a:xfrm>
                    <a:prstGeom prst="rect">
                      <a:avLst/>
                    </a:prstGeom>
                    <a:noFill/>
                    <a:ln>
                      <a:noFill/>
                    </a:ln>
                  </pic:spPr>
                </pic:pic>
              </a:graphicData>
            </a:graphic>
          </wp:anchor>
        </w:drawing>
      </w:r>
      <w:r w:rsidR="002228E0">
        <w:t xml:space="preserve">I am </w:t>
      </w:r>
      <w:r w:rsidR="002228E0" w:rsidRPr="00442647">
        <w:t>satisfied</w:t>
      </w:r>
      <w:r w:rsidR="002228E0">
        <w:t xml:space="preserve"> with the frameworks, effort and activity, </w:t>
      </w:r>
      <w:r w:rsidR="002228E0" w:rsidRPr="00CF5F58">
        <w:t>however t</w:t>
      </w:r>
      <w:r w:rsidR="00992848" w:rsidRPr="00CF5F58">
        <w:t xml:space="preserve">he </w:t>
      </w:r>
      <w:r w:rsidR="00992848" w:rsidRPr="00C40253">
        <w:t>unanswered question</w:t>
      </w:r>
      <w:r w:rsidR="00992848" w:rsidRPr="00CF5F58">
        <w:t xml:space="preserve"> at this point is the</w:t>
      </w:r>
      <w:r w:rsidR="0042484D">
        <w:t xml:space="preserve"> design of outcomes-based </w:t>
      </w:r>
      <w:r w:rsidR="00554CF6">
        <w:t>metrics</w:t>
      </w:r>
      <w:r w:rsidR="0042484D">
        <w:t xml:space="preserve"> and the </w:t>
      </w:r>
      <w:r w:rsidR="00992848" w:rsidRPr="00CF5F58">
        <w:t xml:space="preserve">quality of </w:t>
      </w:r>
      <w:r w:rsidR="002228E0" w:rsidRPr="00CF5F58">
        <w:t>the content of public</w:t>
      </w:r>
      <w:r w:rsidR="00992848" w:rsidRPr="00CF5F58">
        <w:t xml:space="preserve"> report</w:t>
      </w:r>
      <w:r w:rsidR="002228E0" w:rsidRPr="00CF5F58">
        <w:t>ing</w:t>
      </w:r>
      <w:r w:rsidR="00992848" w:rsidRPr="00CF5F58">
        <w:t>.</w:t>
      </w:r>
      <w:r w:rsidR="00992848">
        <w:t xml:space="preserve"> The next step is to see what the MDBA produce in the 5-yearly evaluation in mid-2025. </w:t>
      </w:r>
      <w:r w:rsidR="002228E0">
        <w:t>I</w:t>
      </w:r>
      <w:r w:rsidR="00992848">
        <w:t xml:space="preserve"> will monitor </w:t>
      </w:r>
      <w:r w:rsidR="00787F12">
        <w:t xml:space="preserve">throughout </w:t>
      </w:r>
      <w:r w:rsidR="00992848">
        <w:t xml:space="preserve">this year before committing to any further </w:t>
      </w:r>
      <w:r w:rsidR="002228E0">
        <w:t xml:space="preserve">oversight </w:t>
      </w:r>
      <w:r w:rsidR="00992848">
        <w:t xml:space="preserve">work </w:t>
      </w:r>
      <w:r w:rsidR="002228E0">
        <w:t xml:space="preserve">in this </w:t>
      </w:r>
      <w:r w:rsidR="00554CF6">
        <w:t>area</w:t>
      </w:r>
      <w:r w:rsidR="00992848">
        <w:t>.</w:t>
      </w:r>
    </w:p>
    <w:p w14:paraId="3D4AA81F" w14:textId="147A1FF2" w:rsidR="00A27909" w:rsidRDefault="001113C3" w:rsidP="004E2F8D">
      <w:pPr>
        <w:spacing w:after="120"/>
      </w:pPr>
      <w:r>
        <w:t xml:space="preserve">The </w:t>
      </w:r>
      <w:r w:rsidR="00A27909">
        <w:t>Hon</w:t>
      </w:r>
      <w:r w:rsidR="00490B06">
        <w:t>ourable</w:t>
      </w:r>
      <w:r w:rsidR="00A27909">
        <w:t xml:space="preserve"> Troy Grant</w:t>
      </w:r>
    </w:p>
    <w:p w14:paraId="7859DE26" w14:textId="17974A35" w:rsidR="00A27909" w:rsidRDefault="00A27909" w:rsidP="00A27909">
      <w:pPr>
        <w:spacing w:after="0"/>
      </w:pPr>
      <w:r>
        <w:t>Inspector</w:t>
      </w:r>
      <w:r w:rsidR="00113A3F">
        <w:t>–</w:t>
      </w:r>
      <w:r>
        <w:t>General of Water Compliance</w:t>
      </w:r>
    </w:p>
    <w:p w14:paraId="3F67FBFB" w14:textId="50159A96" w:rsidR="000B3534" w:rsidRPr="00473F5B" w:rsidRDefault="00C86A8F" w:rsidP="00960BD1">
      <w:r>
        <w:br w:type="page"/>
      </w:r>
    </w:p>
    <w:p w14:paraId="63152B14" w14:textId="65E437F2" w:rsidR="00C86A8F" w:rsidRDefault="004D4277" w:rsidP="00C86A8F">
      <w:pPr>
        <w:pStyle w:val="Heading1"/>
      </w:pPr>
      <w:bookmarkStart w:id="3" w:name="_Toc200716130"/>
      <w:r>
        <w:lastRenderedPageBreak/>
        <w:t xml:space="preserve">Key </w:t>
      </w:r>
      <w:r w:rsidR="00837A88">
        <w:t>i</w:t>
      </w:r>
      <w:r w:rsidR="003B5556">
        <w:t>nsights</w:t>
      </w:r>
      <w:bookmarkEnd w:id="3"/>
    </w:p>
    <w:p w14:paraId="6867DC49" w14:textId="4AD04FD2" w:rsidR="00544C04" w:rsidRDefault="00EA055A" w:rsidP="00960BD1">
      <w:r>
        <w:t xml:space="preserve">We identified </w:t>
      </w:r>
      <w:r w:rsidR="00AF66C3">
        <w:t>eight</w:t>
      </w:r>
      <w:r w:rsidR="005205EE" w:rsidRPr="008F2390">
        <w:t xml:space="preserve"> key insights from our stocktake of reports on environmental outcomes in the Murray</w:t>
      </w:r>
      <w:r w:rsidR="00CD07EB">
        <w:t>–</w:t>
      </w:r>
      <w:r w:rsidR="005205EE" w:rsidRPr="008F2390">
        <w:t>Darling Basin. These insights highlight the complexity of the reporting requirements and their impact on managing the Basin's water.</w:t>
      </w:r>
    </w:p>
    <w:p w14:paraId="1355AB1B" w14:textId="76C43263" w:rsidR="00671F8A" w:rsidRDefault="002F7118" w:rsidP="03773003">
      <w:pPr>
        <w:pStyle w:val="ListParagraph"/>
        <w:numPr>
          <w:ilvl w:val="0"/>
          <w:numId w:val="64"/>
        </w:numPr>
        <w:spacing w:before="120" w:after="120"/>
      </w:pPr>
      <w:r>
        <w:rPr>
          <w:b/>
          <w:bCs/>
        </w:rPr>
        <w:t>Multi-faceted reporting</w:t>
      </w:r>
      <w:r w:rsidR="00671F8A">
        <w:t xml:space="preserve">: </w:t>
      </w:r>
      <w:r w:rsidR="00671F8A" w:rsidRPr="00671F8A">
        <w:t xml:space="preserve">It </w:t>
      </w:r>
      <w:r w:rsidR="00671F8A">
        <w:t>is</w:t>
      </w:r>
      <w:r w:rsidR="00671F8A" w:rsidRPr="00671F8A">
        <w:t xml:space="preserve"> </w:t>
      </w:r>
      <w:r w:rsidR="00544C04">
        <w:t>very difficult</w:t>
      </w:r>
      <w:r w:rsidR="00671F8A" w:rsidRPr="00671F8A">
        <w:t xml:space="preserve"> to navigate and</w:t>
      </w:r>
      <w:r w:rsidR="00992848">
        <w:t xml:space="preserve"> </w:t>
      </w:r>
      <w:r w:rsidR="00671F8A" w:rsidRPr="00671F8A">
        <w:t>understand how the large number of publicly available reports are interconnected</w:t>
      </w:r>
      <w:r w:rsidR="00D628D5">
        <w:t>. These reports then reference numerous technical reports and data, usually at a catchment scale</w:t>
      </w:r>
      <w:r w:rsidR="002E7500">
        <w:t>, which may not always be publicly available</w:t>
      </w:r>
      <w:r w:rsidR="00400951">
        <w:t xml:space="preserve">. </w:t>
      </w:r>
      <w:r w:rsidR="00EC7497">
        <w:t>T</w:t>
      </w:r>
      <w:r w:rsidR="00DD2D69">
        <w:t>his may present challenges in</w:t>
      </w:r>
      <w:r w:rsidR="00670F3E">
        <w:t xml:space="preserve"> </w:t>
      </w:r>
      <w:r w:rsidR="00717B2B">
        <w:t>determin</w:t>
      </w:r>
      <w:r w:rsidR="00DD2D69">
        <w:t>ing</w:t>
      </w:r>
      <w:r w:rsidR="00717B2B">
        <w:t xml:space="preserve"> the</w:t>
      </w:r>
      <w:r w:rsidR="00670F3E">
        <w:t xml:space="preserve"> </w:t>
      </w:r>
      <w:r w:rsidR="00671F8A">
        <w:t xml:space="preserve">key </w:t>
      </w:r>
      <w:r w:rsidR="00992848">
        <w:t xml:space="preserve">evidence </w:t>
      </w:r>
      <w:r w:rsidR="00717B2B">
        <w:t xml:space="preserve">used to </w:t>
      </w:r>
      <w:r w:rsidR="00A43185">
        <w:t>inform</w:t>
      </w:r>
      <w:r w:rsidR="00544C04">
        <w:t xml:space="preserve"> </w:t>
      </w:r>
      <w:r w:rsidR="00E70328">
        <w:t>Basin-scale</w:t>
      </w:r>
      <w:r w:rsidR="00544C04">
        <w:t xml:space="preserve"> evaluation</w:t>
      </w:r>
      <w:r w:rsidR="00671F8A" w:rsidRPr="00671F8A">
        <w:t>.</w:t>
      </w:r>
      <w:r w:rsidR="00856D9C">
        <w:t xml:space="preserve"> </w:t>
      </w:r>
    </w:p>
    <w:p w14:paraId="5BDE48C4" w14:textId="69274427" w:rsidR="005952A3" w:rsidRPr="005205EE" w:rsidRDefault="005952A3" w:rsidP="03773003">
      <w:pPr>
        <w:pStyle w:val="ListParagraph"/>
        <w:numPr>
          <w:ilvl w:val="0"/>
          <w:numId w:val="64"/>
        </w:numPr>
        <w:spacing w:before="120" w:after="120"/>
        <w:ind w:left="714" w:hanging="357"/>
      </w:pPr>
      <w:r>
        <w:rPr>
          <w:b/>
        </w:rPr>
        <w:t>Structured</w:t>
      </w:r>
      <w:r w:rsidRPr="00960BD1">
        <w:rPr>
          <w:b/>
        </w:rPr>
        <w:t xml:space="preserve"> </w:t>
      </w:r>
      <w:r w:rsidR="00EC340B">
        <w:rPr>
          <w:b/>
        </w:rPr>
        <w:t>r</w:t>
      </w:r>
      <w:r w:rsidRPr="00960BD1">
        <w:rPr>
          <w:b/>
        </w:rPr>
        <w:t xml:space="preserve">eporting </w:t>
      </w:r>
      <w:r w:rsidR="00EC340B">
        <w:rPr>
          <w:b/>
        </w:rPr>
        <w:t>f</w:t>
      </w:r>
      <w:r>
        <w:rPr>
          <w:b/>
        </w:rPr>
        <w:t>rameworks</w:t>
      </w:r>
      <w:r w:rsidRPr="005205EE">
        <w:t xml:space="preserve">: The </w:t>
      </w:r>
      <w:r w:rsidR="00B06CC5">
        <w:t>s</w:t>
      </w:r>
      <w:r w:rsidR="00F766FD">
        <w:t>tocktake</w:t>
      </w:r>
      <w:r w:rsidRPr="005205EE">
        <w:t xml:space="preserve"> of reports </w:t>
      </w:r>
      <w:r w:rsidR="00745230" w:rsidRPr="005205EE">
        <w:t>shows that</w:t>
      </w:r>
      <w:r w:rsidR="00C81E21">
        <w:t xml:space="preserve"> the</w:t>
      </w:r>
      <w:r w:rsidR="009D2379">
        <w:t xml:space="preserve"> leg</w:t>
      </w:r>
      <w:r w:rsidR="00194AE9">
        <w:t>islated</w:t>
      </w:r>
      <w:r w:rsidR="009D2379">
        <w:t xml:space="preserve"> </w:t>
      </w:r>
      <w:r w:rsidR="00A11D87">
        <w:t>framework</w:t>
      </w:r>
      <w:r w:rsidR="00544C04">
        <w:t xml:space="preserve"> in </w:t>
      </w:r>
      <w:r w:rsidR="00F31306">
        <w:t xml:space="preserve">place </w:t>
      </w:r>
      <w:r w:rsidR="00ED15D6">
        <w:t>for monitoring</w:t>
      </w:r>
      <w:r w:rsidR="001A6ED0">
        <w:t xml:space="preserve"> and </w:t>
      </w:r>
      <w:r w:rsidR="00ED15D6">
        <w:t>evaluation reporting</w:t>
      </w:r>
      <w:r w:rsidR="00E524B0">
        <w:t xml:space="preserve"> </w:t>
      </w:r>
      <w:r w:rsidR="00FA4045">
        <w:t xml:space="preserve">is clear and has been implemented. </w:t>
      </w:r>
    </w:p>
    <w:p w14:paraId="69B372CC" w14:textId="516C2BB5" w:rsidR="00992848" w:rsidRPr="006C2C40" w:rsidRDefault="00EC340B" w:rsidP="03773003">
      <w:pPr>
        <w:pStyle w:val="ListParagraph"/>
        <w:numPr>
          <w:ilvl w:val="0"/>
          <w:numId w:val="64"/>
        </w:numPr>
        <w:spacing w:before="120" w:after="120"/>
        <w:ind w:left="714" w:hanging="357"/>
        <w:rPr>
          <w:bCs/>
        </w:rPr>
      </w:pPr>
      <w:r>
        <w:rPr>
          <w:b/>
        </w:rPr>
        <w:t>Roles and responsibilities</w:t>
      </w:r>
      <w:r>
        <w:rPr>
          <w:bCs/>
        </w:rPr>
        <w:t xml:space="preserve">: </w:t>
      </w:r>
      <w:r w:rsidR="00DE1310">
        <w:rPr>
          <w:bCs/>
        </w:rPr>
        <w:t>It is clear within the leg</w:t>
      </w:r>
      <w:r w:rsidR="00194AE9">
        <w:rPr>
          <w:bCs/>
        </w:rPr>
        <w:t>islated</w:t>
      </w:r>
      <w:r w:rsidR="00DE1310">
        <w:rPr>
          <w:bCs/>
        </w:rPr>
        <w:t xml:space="preserve"> framework that </w:t>
      </w:r>
      <w:r w:rsidR="000752D1">
        <w:rPr>
          <w:bCs/>
        </w:rPr>
        <w:t xml:space="preserve">Basin </w:t>
      </w:r>
      <w:r w:rsidR="00DE112B">
        <w:rPr>
          <w:bCs/>
        </w:rPr>
        <w:t>S</w:t>
      </w:r>
      <w:r w:rsidR="000752D1">
        <w:rPr>
          <w:bCs/>
        </w:rPr>
        <w:t xml:space="preserve">tate and Commonwealth </w:t>
      </w:r>
      <w:r w:rsidR="00B3624A">
        <w:rPr>
          <w:bCs/>
        </w:rPr>
        <w:t xml:space="preserve">agencies </w:t>
      </w:r>
      <w:r w:rsidR="000752D1">
        <w:rPr>
          <w:bCs/>
        </w:rPr>
        <w:t xml:space="preserve">have well defined roles and </w:t>
      </w:r>
      <w:r w:rsidR="00B3624A">
        <w:rPr>
          <w:bCs/>
        </w:rPr>
        <w:t>responsibilities</w:t>
      </w:r>
      <w:r w:rsidR="00256910">
        <w:rPr>
          <w:bCs/>
        </w:rPr>
        <w:t xml:space="preserve">. </w:t>
      </w:r>
      <w:r w:rsidR="00A04447">
        <w:rPr>
          <w:bCs/>
        </w:rPr>
        <w:t>Under this framewor</w:t>
      </w:r>
      <w:r w:rsidR="0017456A">
        <w:rPr>
          <w:bCs/>
        </w:rPr>
        <w:t xml:space="preserve">k </w:t>
      </w:r>
      <w:r w:rsidR="00137A5B" w:rsidRPr="00137A5B">
        <w:rPr>
          <w:bCs/>
        </w:rPr>
        <w:t>the MDBA reports on Basin-wide outcomes, including water usage and environmental health, while the CEWH reports on the use and outcomes of Commonwealth environmental water. Basin State</w:t>
      </w:r>
      <w:r w:rsidR="00DE112B">
        <w:rPr>
          <w:bCs/>
        </w:rPr>
        <w:t xml:space="preserve"> agencies</w:t>
      </w:r>
      <w:r w:rsidR="00137A5B" w:rsidRPr="00137A5B">
        <w:rPr>
          <w:bCs/>
        </w:rPr>
        <w:t xml:space="preserve"> are responsible for reporting on their water resource plans, compliance with sustainable </w:t>
      </w:r>
      <w:r w:rsidR="001A6ED0">
        <w:rPr>
          <w:bCs/>
        </w:rPr>
        <w:t>diversion</w:t>
      </w:r>
      <w:r w:rsidR="00137A5B" w:rsidRPr="00137A5B">
        <w:rPr>
          <w:bCs/>
        </w:rPr>
        <w:t xml:space="preserve"> limits, and local environmental outcomes.</w:t>
      </w:r>
    </w:p>
    <w:p w14:paraId="7DE877D3" w14:textId="466E0CB3" w:rsidR="005A6C89" w:rsidRPr="005205EE" w:rsidRDefault="00992848" w:rsidP="03773003">
      <w:pPr>
        <w:pStyle w:val="ListParagraph"/>
        <w:numPr>
          <w:ilvl w:val="0"/>
          <w:numId w:val="64"/>
        </w:numPr>
        <w:spacing w:before="120" w:after="120"/>
        <w:ind w:left="714" w:hanging="357"/>
      </w:pPr>
      <w:r w:rsidRPr="006C2C40">
        <w:rPr>
          <w:b/>
        </w:rPr>
        <w:t>Co</w:t>
      </w:r>
      <w:r>
        <w:rPr>
          <w:b/>
        </w:rPr>
        <w:t>mpliance</w:t>
      </w:r>
      <w:r w:rsidRPr="00992848">
        <w:rPr>
          <w:bCs/>
        </w:rPr>
        <w:t>:</w:t>
      </w:r>
      <w:r>
        <w:rPr>
          <w:bCs/>
        </w:rPr>
        <w:t xml:space="preserve"> </w:t>
      </w:r>
      <w:r w:rsidR="00256910">
        <w:rPr>
          <w:bCs/>
        </w:rPr>
        <w:t>Th</w:t>
      </w:r>
      <w:r w:rsidR="002F32C9">
        <w:rPr>
          <w:bCs/>
        </w:rPr>
        <w:t xml:space="preserve">ere </w:t>
      </w:r>
      <w:r w:rsidR="00745230">
        <w:rPr>
          <w:bCs/>
        </w:rPr>
        <w:t>is evidence</w:t>
      </w:r>
      <w:r w:rsidR="00256910">
        <w:rPr>
          <w:bCs/>
        </w:rPr>
        <w:t xml:space="preserve"> </w:t>
      </w:r>
      <w:r w:rsidR="002F32C9">
        <w:rPr>
          <w:bCs/>
        </w:rPr>
        <w:t xml:space="preserve">that </w:t>
      </w:r>
      <w:r>
        <w:rPr>
          <w:bCs/>
        </w:rPr>
        <w:t>agencies</w:t>
      </w:r>
      <w:r w:rsidR="000752D1">
        <w:rPr>
          <w:bCs/>
        </w:rPr>
        <w:t xml:space="preserve"> </w:t>
      </w:r>
      <w:bookmarkStart w:id="4" w:name="_Hlk195192006"/>
      <w:r w:rsidR="000752D1">
        <w:rPr>
          <w:bCs/>
        </w:rPr>
        <w:t xml:space="preserve">are discharging </w:t>
      </w:r>
      <w:r w:rsidR="00F31306">
        <w:rPr>
          <w:bCs/>
        </w:rPr>
        <w:t>their</w:t>
      </w:r>
      <w:r w:rsidR="00E0067E">
        <w:rPr>
          <w:bCs/>
        </w:rPr>
        <w:t xml:space="preserve"> roles and responsibilities</w:t>
      </w:r>
      <w:r w:rsidR="00B401A7">
        <w:rPr>
          <w:bCs/>
        </w:rPr>
        <w:t xml:space="preserve"> </w:t>
      </w:r>
      <w:r w:rsidR="00B3624A">
        <w:rPr>
          <w:bCs/>
        </w:rPr>
        <w:t>to produce monitoring and evaluation reports</w:t>
      </w:r>
      <w:r w:rsidR="008F0FF4">
        <w:rPr>
          <w:bCs/>
        </w:rPr>
        <w:t xml:space="preserve"> and </w:t>
      </w:r>
      <w:r w:rsidR="008F0FF4" w:rsidRPr="005205EE">
        <w:t xml:space="preserve">are </w:t>
      </w:r>
      <w:r w:rsidR="008F0FF4">
        <w:t>committed</w:t>
      </w:r>
      <w:r w:rsidR="008F0FF4" w:rsidRPr="005205EE">
        <w:t xml:space="preserve"> to provid</w:t>
      </w:r>
      <w:r w:rsidR="008F0FF4">
        <w:t>ing</w:t>
      </w:r>
      <w:r w:rsidR="008F0FF4" w:rsidRPr="005205EE">
        <w:t xml:space="preserve"> timely information about water management.</w:t>
      </w:r>
    </w:p>
    <w:bookmarkEnd w:id="4"/>
    <w:p w14:paraId="3C50B711" w14:textId="51D0144F" w:rsidR="005205EE" w:rsidRDefault="005205EE" w:rsidP="03773003">
      <w:pPr>
        <w:pStyle w:val="ListParagraph"/>
        <w:numPr>
          <w:ilvl w:val="0"/>
          <w:numId w:val="64"/>
        </w:numPr>
        <w:spacing w:before="120" w:after="120"/>
        <w:ind w:left="714" w:hanging="357"/>
      </w:pPr>
      <w:r w:rsidRPr="00960BD1">
        <w:rPr>
          <w:b/>
        </w:rPr>
        <w:t xml:space="preserve">Complex </w:t>
      </w:r>
      <w:r w:rsidR="00EC340B">
        <w:rPr>
          <w:b/>
        </w:rPr>
        <w:t>r</w:t>
      </w:r>
      <w:r w:rsidR="00EC340B" w:rsidRPr="00960BD1">
        <w:rPr>
          <w:b/>
        </w:rPr>
        <w:t xml:space="preserve">eporting </w:t>
      </w:r>
      <w:r w:rsidR="00EC340B">
        <w:rPr>
          <w:b/>
        </w:rPr>
        <w:t>n</w:t>
      </w:r>
      <w:r w:rsidR="00EC340B" w:rsidRPr="00960BD1">
        <w:rPr>
          <w:b/>
        </w:rPr>
        <w:t>eeds</w:t>
      </w:r>
      <w:r w:rsidRPr="005205EE">
        <w:t xml:space="preserve">: </w:t>
      </w:r>
      <w:r w:rsidR="00D049D2">
        <w:t>The management of the Murray</w:t>
      </w:r>
      <w:r w:rsidR="00F85DBC">
        <w:t>–</w:t>
      </w:r>
      <w:r w:rsidR="00D049D2">
        <w:t>Darling Basin requires detailed reporting across complex themes – environmental, social and economic, each of which have multiple indicators. This complexity is compounded by the involvement of multiple agencies and differing approaches to reporting, and reporting at different geographical scales – such as catchments, water resource plan areas, and Basin-scale.</w:t>
      </w:r>
    </w:p>
    <w:p w14:paraId="5F350170" w14:textId="378E1BFC" w:rsidR="00671F8A" w:rsidRPr="005205EE" w:rsidRDefault="00671F8A" w:rsidP="03773003">
      <w:pPr>
        <w:pStyle w:val="ListParagraph"/>
        <w:numPr>
          <w:ilvl w:val="0"/>
          <w:numId w:val="64"/>
        </w:numPr>
        <w:spacing w:before="120" w:after="120"/>
        <w:ind w:left="714" w:hanging="357"/>
      </w:pPr>
      <w:r w:rsidRPr="00671F8A">
        <w:rPr>
          <w:b/>
          <w:bCs/>
        </w:rPr>
        <w:t>Aggregation at Basin-scale is a challenge</w:t>
      </w:r>
      <w:r>
        <w:t xml:space="preserve">: </w:t>
      </w:r>
      <w:r w:rsidR="00366F56">
        <w:t xml:space="preserve">The complex reporting requirements (mentioned </w:t>
      </w:r>
      <w:r w:rsidR="00985CC9">
        <w:t xml:space="preserve">in </w:t>
      </w:r>
      <w:r w:rsidR="00436AD7">
        <w:t xml:space="preserve">point </w:t>
      </w:r>
      <w:r w:rsidR="009D3E1D">
        <w:t xml:space="preserve">5 </w:t>
      </w:r>
      <w:r w:rsidR="004F4DCE">
        <w:t>of this list</w:t>
      </w:r>
      <w:r w:rsidR="00366F56">
        <w:t>) may contribute to difficulties in synthesising information in a way that meaningfully reflects Basin-wide trends or progress towards achieving environmental outcomes.</w:t>
      </w:r>
      <w:r w:rsidR="00992848">
        <w:t xml:space="preserve"> </w:t>
      </w:r>
    </w:p>
    <w:p w14:paraId="1E640955" w14:textId="20729F64" w:rsidR="005205EE" w:rsidRPr="005205EE" w:rsidRDefault="00881392" w:rsidP="03773003">
      <w:pPr>
        <w:pStyle w:val="ListParagraph"/>
        <w:numPr>
          <w:ilvl w:val="0"/>
          <w:numId w:val="64"/>
        </w:numPr>
        <w:spacing w:before="120" w:after="120"/>
        <w:ind w:left="714" w:hanging="357"/>
      </w:pPr>
      <w:r>
        <w:rPr>
          <w:b/>
        </w:rPr>
        <w:t>Potential for continuous improvement</w:t>
      </w:r>
      <w:r w:rsidR="005205EE" w:rsidRPr="005205EE">
        <w:t>: The</w:t>
      </w:r>
      <w:r w:rsidR="00324148">
        <w:t xml:space="preserve">re are </w:t>
      </w:r>
      <w:r w:rsidR="005205EE" w:rsidRPr="005205EE">
        <w:t>monitoring and evaluation</w:t>
      </w:r>
      <w:r w:rsidR="00B70120">
        <w:t xml:space="preserve"> reports</w:t>
      </w:r>
      <w:r w:rsidR="005205EE" w:rsidRPr="005205EE">
        <w:t xml:space="preserve"> </w:t>
      </w:r>
      <w:r w:rsidR="00D4749F">
        <w:t xml:space="preserve">available </w:t>
      </w:r>
      <w:r w:rsidR="001930F0">
        <w:t>to</w:t>
      </w:r>
      <w:r w:rsidR="00D30A55">
        <w:t xml:space="preserve"> </w:t>
      </w:r>
      <w:r w:rsidR="005205EE" w:rsidRPr="005205EE">
        <w:t xml:space="preserve">support informed decision-making </w:t>
      </w:r>
      <w:r>
        <w:t xml:space="preserve">and improved </w:t>
      </w:r>
      <w:r w:rsidR="005205EE" w:rsidRPr="005205EE">
        <w:t>management of water resources in response to changing conditions.</w:t>
      </w:r>
    </w:p>
    <w:p w14:paraId="1F194DFC" w14:textId="4EDBEA35" w:rsidR="006E7181" w:rsidRDefault="00476ECC" w:rsidP="03773003">
      <w:pPr>
        <w:pStyle w:val="ListParagraph"/>
        <w:numPr>
          <w:ilvl w:val="0"/>
          <w:numId w:val="64"/>
        </w:numPr>
        <w:spacing w:before="120" w:after="120"/>
        <w:ind w:left="714" w:hanging="357"/>
      </w:pPr>
      <w:r>
        <w:rPr>
          <w:b/>
        </w:rPr>
        <w:t xml:space="preserve">Information </w:t>
      </w:r>
      <w:r w:rsidR="00F25B82">
        <w:rPr>
          <w:b/>
        </w:rPr>
        <w:t xml:space="preserve">access and </w:t>
      </w:r>
      <w:r>
        <w:rPr>
          <w:b/>
        </w:rPr>
        <w:t>availability</w:t>
      </w:r>
      <w:r w:rsidR="005205EE" w:rsidRPr="005205EE">
        <w:t xml:space="preserve">: The </w:t>
      </w:r>
      <w:r w:rsidR="00772735">
        <w:t xml:space="preserve">public </w:t>
      </w:r>
      <w:r w:rsidR="005205EE" w:rsidRPr="005205EE">
        <w:t xml:space="preserve">availability of these reports </w:t>
      </w:r>
      <w:r w:rsidR="00DE3D17">
        <w:t xml:space="preserve">via </w:t>
      </w:r>
      <w:r w:rsidR="007562D9">
        <w:t>agency websites shows that the community has access to monitoring and evaluation</w:t>
      </w:r>
      <w:r w:rsidR="00A21635">
        <w:t xml:space="preserve"> information</w:t>
      </w:r>
      <w:r w:rsidR="00ED64FE">
        <w:t>.</w:t>
      </w:r>
      <w:r w:rsidR="0001464B">
        <w:t xml:space="preserve"> Navigating these </w:t>
      </w:r>
      <w:r w:rsidR="00F67E01">
        <w:t xml:space="preserve">websites </w:t>
      </w:r>
      <w:r w:rsidR="0001464B">
        <w:t xml:space="preserve">however </w:t>
      </w:r>
      <w:r w:rsidR="00F67E01">
        <w:t>can be challenging</w:t>
      </w:r>
      <w:r w:rsidR="00AA35A1">
        <w:t xml:space="preserve"> because the</w:t>
      </w:r>
      <w:r w:rsidR="00F67E01">
        <w:t xml:space="preserve"> information is often deeply embedded within multiple layers of menus</w:t>
      </w:r>
      <w:r w:rsidR="002A4DA5">
        <w:t xml:space="preserve"> and subpages, making it difficult for </w:t>
      </w:r>
      <w:r w:rsidR="00193BBF">
        <w:t>individuals to</w:t>
      </w:r>
      <w:r w:rsidR="001C51E2">
        <w:t xml:space="preserve"> locate the necessary information efficiently.</w:t>
      </w:r>
    </w:p>
    <w:p w14:paraId="3460CABB" w14:textId="77777777" w:rsidR="00931A90" w:rsidRPr="005205EE" w:rsidRDefault="00931A90" w:rsidP="00C13D1F"/>
    <w:p w14:paraId="75AAC00F" w14:textId="34DEC50B" w:rsidR="00473F5B" w:rsidRDefault="00553759" w:rsidP="00473F5B">
      <w:pPr>
        <w:pStyle w:val="Heading1"/>
      </w:pPr>
      <w:bookmarkStart w:id="5" w:name="_Toc200539140"/>
      <w:bookmarkStart w:id="6" w:name="_Toc200716131"/>
      <w:r>
        <w:lastRenderedPageBreak/>
        <w:t>Table of c</w:t>
      </w:r>
      <w:r w:rsidR="00837A88">
        <w:t>ontents</w:t>
      </w:r>
      <w:bookmarkEnd w:id="5"/>
      <w:bookmarkEnd w:id="6"/>
    </w:p>
    <w:p w14:paraId="5D68188D" w14:textId="788F548C" w:rsidR="009E7B59" w:rsidRDefault="006C375C">
      <w:pPr>
        <w:pStyle w:val="TOC1"/>
        <w:rPr>
          <w:rFonts w:asciiTheme="minorHAnsi" w:eastAsiaTheme="minorEastAsia" w:hAnsiTheme="minorHAnsi" w:cstheme="minorBidi"/>
          <w:b w:val="0"/>
          <w:bCs w:val="0"/>
          <w:color w:val="auto"/>
          <w:kern w:val="2"/>
          <w:lang w:eastAsia="en-AU"/>
          <w14:ligatures w14:val="standardContextual"/>
        </w:rPr>
      </w:pPr>
      <w:r w:rsidRPr="00FC1B50">
        <w:fldChar w:fldCharType="begin"/>
      </w:r>
      <w:r>
        <w:instrText xml:space="preserve"> TOC \o "1-2" \h \z \u </w:instrText>
      </w:r>
      <w:r w:rsidRPr="00FC1B50">
        <w:fldChar w:fldCharType="separate"/>
      </w:r>
      <w:hyperlink w:anchor="_Toc200716129" w:history="1">
        <w:r w:rsidR="009E7B59" w:rsidRPr="00A72901">
          <w:rPr>
            <w:rStyle w:val="Hyperlink"/>
          </w:rPr>
          <w:t>Foreword</w:t>
        </w:r>
        <w:r w:rsidR="009E7B59">
          <w:rPr>
            <w:webHidden/>
          </w:rPr>
          <w:tab/>
        </w:r>
        <w:r w:rsidR="009E7B59">
          <w:rPr>
            <w:webHidden/>
          </w:rPr>
          <w:fldChar w:fldCharType="begin"/>
        </w:r>
        <w:r w:rsidR="009E7B59">
          <w:rPr>
            <w:webHidden/>
          </w:rPr>
          <w:instrText xml:space="preserve"> PAGEREF _Toc200716129 \h </w:instrText>
        </w:r>
        <w:r w:rsidR="009E7B59">
          <w:rPr>
            <w:webHidden/>
          </w:rPr>
        </w:r>
        <w:r w:rsidR="009E7B59">
          <w:rPr>
            <w:webHidden/>
          </w:rPr>
          <w:fldChar w:fldCharType="separate"/>
        </w:r>
        <w:r w:rsidR="009E7B59">
          <w:rPr>
            <w:webHidden/>
          </w:rPr>
          <w:t>iii</w:t>
        </w:r>
        <w:r w:rsidR="009E7B59">
          <w:rPr>
            <w:webHidden/>
          </w:rPr>
          <w:fldChar w:fldCharType="end"/>
        </w:r>
      </w:hyperlink>
    </w:p>
    <w:p w14:paraId="7D82B2E9" w14:textId="1C991AA4" w:rsidR="009E7B59" w:rsidRDefault="009E7B59">
      <w:pPr>
        <w:pStyle w:val="TOC1"/>
        <w:rPr>
          <w:rFonts w:asciiTheme="minorHAnsi" w:eastAsiaTheme="minorEastAsia" w:hAnsiTheme="minorHAnsi" w:cstheme="minorBidi"/>
          <w:b w:val="0"/>
          <w:bCs w:val="0"/>
          <w:color w:val="auto"/>
          <w:kern w:val="2"/>
          <w:lang w:eastAsia="en-AU"/>
          <w14:ligatures w14:val="standardContextual"/>
        </w:rPr>
      </w:pPr>
      <w:hyperlink w:anchor="_Toc200716130" w:history="1">
        <w:r w:rsidRPr="00A72901">
          <w:rPr>
            <w:rStyle w:val="Hyperlink"/>
          </w:rPr>
          <w:t>Key insights</w:t>
        </w:r>
        <w:r>
          <w:rPr>
            <w:webHidden/>
          </w:rPr>
          <w:tab/>
        </w:r>
        <w:r>
          <w:rPr>
            <w:webHidden/>
          </w:rPr>
          <w:fldChar w:fldCharType="begin"/>
        </w:r>
        <w:r>
          <w:rPr>
            <w:webHidden/>
          </w:rPr>
          <w:instrText xml:space="preserve"> PAGEREF _Toc200716130 \h </w:instrText>
        </w:r>
        <w:r>
          <w:rPr>
            <w:webHidden/>
          </w:rPr>
        </w:r>
        <w:r>
          <w:rPr>
            <w:webHidden/>
          </w:rPr>
          <w:fldChar w:fldCharType="separate"/>
        </w:r>
        <w:r>
          <w:rPr>
            <w:webHidden/>
          </w:rPr>
          <w:t>vi</w:t>
        </w:r>
        <w:r>
          <w:rPr>
            <w:webHidden/>
          </w:rPr>
          <w:fldChar w:fldCharType="end"/>
        </w:r>
      </w:hyperlink>
    </w:p>
    <w:p w14:paraId="6C0920A7" w14:textId="5373DAA6" w:rsidR="009E7B59" w:rsidRDefault="009E7B59">
      <w:pPr>
        <w:pStyle w:val="TOC1"/>
        <w:rPr>
          <w:rFonts w:asciiTheme="minorHAnsi" w:eastAsiaTheme="minorEastAsia" w:hAnsiTheme="minorHAnsi" w:cstheme="minorBidi"/>
          <w:b w:val="0"/>
          <w:bCs w:val="0"/>
          <w:color w:val="auto"/>
          <w:kern w:val="2"/>
          <w:lang w:eastAsia="en-AU"/>
          <w14:ligatures w14:val="standardContextual"/>
        </w:rPr>
      </w:pPr>
      <w:hyperlink w:anchor="_Toc200716132" w:history="1">
        <w:r w:rsidRPr="00A72901">
          <w:rPr>
            <w:rStyle w:val="Hyperlink"/>
          </w:rPr>
          <w:t>Introduction</w:t>
        </w:r>
        <w:r>
          <w:rPr>
            <w:webHidden/>
          </w:rPr>
          <w:tab/>
        </w:r>
        <w:r>
          <w:rPr>
            <w:webHidden/>
          </w:rPr>
          <w:fldChar w:fldCharType="begin"/>
        </w:r>
        <w:r>
          <w:rPr>
            <w:webHidden/>
          </w:rPr>
          <w:instrText xml:space="preserve"> PAGEREF _Toc200716132 \h </w:instrText>
        </w:r>
        <w:r>
          <w:rPr>
            <w:webHidden/>
          </w:rPr>
        </w:r>
        <w:r>
          <w:rPr>
            <w:webHidden/>
          </w:rPr>
          <w:fldChar w:fldCharType="separate"/>
        </w:r>
        <w:r>
          <w:rPr>
            <w:webHidden/>
          </w:rPr>
          <w:t>2</w:t>
        </w:r>
        <w:r>
          <w:rPr>
            <w:webHidden/>
          </w:rPr>
          <w:fldChar w:fldCharType="end"/>
        </w:r>
      </w:hyperlink>
    </w:p>
    <w:p w14:paraId="35369A82" w14:textId="1FF7CDDF" w:rsidR="009E7B59" w:rsidRDefault="009E7B59">
      <w:pPr>
        <w:pStyle w:val="TOC1"/>
        <w:rPr>
          <w:rFonts w:asciiTheme="minorHAnsi" w:eastAsiaTheme="minorEastAsia" w:hAnsiTheme="minorHAnsi" w:cstheme="minorBidi"/>
          <w:b w:val="0"/>
          <w:bCs w:val="0"/>
          <w:color w:val="auto"/>
          <w:kern w:val="2"/>
          <w:lang w:eastAsia="en-AU"/>
          <w14:ligatures w14:val="standardContextual"/>
        </w:rPr>
      </w:pPr>
      <w:hyperlink w:anchor="_Toc200716133" w:history="1">
        <w:r w:rsidRPr="00A72901">
          <w:rPr>
            <w:rStyle w:val="Hyperlink"/>
          </w:rPr>
          <w:t>Methods</w:t>
        </w:r>
        <w:r>
          <w:rPr>
            <w:webHidden/>
          </w:rPr>
          <w:tab/>
        </w:r>
        <w:r>
          <w:rPr>
            <w:webHidden/>
          </w:rPr>
          <w:fldChar w:fldCharType="begin"/>
        </w:r>
        <w:r>
          <w:rPr>
            <w:webHidden/>
          </w:rPr>
          <w:instrText xml:space="preserve"> PAGEREF _Toc200716133 \h </w:instrText>
        </w:r>
        <w:r>
          <w:rPr>
            <w:webHidden/>
          </w:rPr>
        </w:r>
        <w:r>
          <w:rPr>
            <w:webHidden/>
          </w:rPr>
          <w:fldChar w:fldCharType="separate"/>
        </w:r>
        <w:r>
          <w:rPr>
            <w:webHidden/>
          </w:rPr>
          <w:t>3</w:t>
        </w:r>
        <w:r>
          <w:rPr>
            <w:webHidden/>
          </w:rPr>
          <w:fldChar w:fldCharType="end"/>
        </w:r>
      </w:hyperlink>
    </w:p>
    <w:p w14:paraId="0AD2402D" w14:textId="45E384AA" w:rsidR="009E7B59" w:rsidRDefault="009E7B59">
      <w:pPr>
        <w:pStyle w:val="TOC2"/>
        <w:rPr>
          <w:rFonts w:asciiTheme="minorHAnsi" w:eastAsiaTheme="minorEastAsia" w:hAnsiTheme="minorHAnsi" w:cstheme="minorBidi"/>
          <w:kern w:val="2"/>
          <w:sz w:val="24"/>
          <w:szCs w:val="24"/>
          <w:lang w:eastAsia="en-AU"/>
          <w14:ligatures w14:val="standardContextual"/>
        </w:rPr>
      </w:pPr>
      <w:hyperlink w:anchor="_Toc200716134" w:history="1">
        <w:r w:rsidRPr="00A72901">
          <w:rPr>
            <w:rStyle w:val="Hyperlink"/>
          </w:rPr>
          <w:t>Document collection</w:t>
        </w:r>
        <w:r>
          <w:rPr>
            <w:webHidden/>
          </w:rPr>
          <w:tab/>
        </w:r>
        <w:r>
          <w:rPr>
            <w:webHidden/>
          </w:rPr>
          <w:fldChar w:fldCharType="begin"/>
        </w:r>
        <w:r>
          <w:rPr>
            <w:webHidden/>
          </w:rPr>
          <w:instrText xml:space="preserve"> PAGEREF _Toc200716134 \h </w:instrText>
        </w:r>
        <w:r>
          <w:rPr>
            <w:webHidden/>
          </w:rPr>
        </w:r>
        <w:r>
          <w:rPr>
            <w:webHidden/>
          </w:rPr>
          <w:fldChar w:fldCharType="separate"/>
        </w:r>
        <w:r>
          <w:rPr>
            <w:webHidden/>
          </w:rPr>
          <w:t>3</w:t>
        </w:r>
        <w:r>
          <w:rPr>
            <w:webHidden/>
          </w:rPr>
          <w:fldChar w:fldCharType="end"/>
        </w:r>
      </w:hyperlink>
    </w:p>
    <w:p w14:paraId="3EF4B4BF" w14:textId="2F63D16E" w:rsidR="009E7B59" w:rsidRDefault="009E7B59">
      <w:pPr>
        <w:pStyle w:val="TOC2"/>
        <w:rPr>
          <w:rFonts w:asciiTheme="minorHAnsi" w:eastAsiaTheme="minorEastAsia" w:hAnsiTheme="minorHAnsi" w:cstheme="minorBidi"/>
          <w:kern w:val="2"/>
          <w:sz w:val="24"/>
          <w:szCs w:val="24"/>
          <w:lang w:eastAsia="en-AU"/>
          <w14:ligatures w14:val="standardContextual"/>
        </w:rPr>
      </w:pPr>
      <w:hyperlink w:anchor="_Toc200716135" w:history="1">
        <w:r w:rsidRPr="00A72901">
          <w:rPr>
            <w:rStyle w:val="Hyperlink"/>
          </w:rPr>
          <w:t>Commonwealth and Basin State agency involvement</w:t>
        </w:r>
        <w:r>
          <w:rPr>
            <w:webHidden/>
          </w:rPr>
          <w:tab/>
        </w:r>
        <w:r>
          <w:rPr>
            <w:webHidden/>
          </w:rPr>
          <w:fldChar w:fldCharType="begin"/>
        </w:r>
        <w:r>
          <w:rPr>
            <w:webHidden/>
          </w:rPr>
          <w:instrText xml:space="preserve"> PAGEREF _Toc200716135 \h </w:instrText>
        </w:r>
        <w:r>
          <w:rPr>
            <w:webHidden/>
          </w:rPr>
        </w:r>
        <w:r>
          <w:rPr>
            <w:webHidden/>
          </w:rPr>
          <w:fldChar w:fldCharType="separate"/>
        </w:r>
        <w:r>
          <w:rPr>
            <w:webHidden/>
          </w:rPr>
          <w:t>4</w:t>
        </w:r>
        <w:r>
          <w:rPr>
            <w:webHidden/>
          </w:rPr>
          <w:fldChar w:fldCharType="end"/>
        </w:r>
      </w:hyperlink>
    </w:p>
    <w:p w14:paraId="4CC6D848" w14:textId="7F10EDE0" w:rsidR="009E7B59" w:rsidRDefault="009E7B59">
      <w:pPr>
        <w:pStyle w:val="TOC1"/>
        <w:rPr>
          <w:rFonts w:asciiTheme="minorHAnsi" w:eastAsiaTheme="minorEastAsia" w:hAnsiTheme="minorHAnsi" w:cstheme="minorBidi"/>
          <w:b w:val="0"/>
          <w:bCs w:val="0"/>
          <w:color w:val="auto"/>
          <w:kern w:val="2"/>
          <w:lang w:eastAsia="en-AU"/>
          <w14:ligatures w14:val="standardContextual"/>
        </w:rPr>
      </w:pPr>
      <w:hyperlink w:anchor="_Toc200716136" w:history="1">
        <w:r w:rsidRPr="00A72901">
          <w:rPr>
            <w:rStyle w:val="Hyperlink"/>
          </w:rPr>
          <w:t>Hierarchy of monitoring and evaluation reporting requirements</w:t>
        </w:r>
        <w:r>
          <w:rPr>
            <w:webHidden/>
          </w:rPr>
          <w:tab/>
        </w:r>
        <w:r>
          <w:rPr>
            <w:webHidden/>
          </w:rPr>
          <w:fldChar w:fldCharType="begin"/>
        </w:r>
        <w:r>
          <w:rPr>
            <w:webHidden/>
          </w:rPr>
          <w:instrText xml:space="preserve"> PAGEREF _Toc200716136 \h </w:instrText>
        </w:r>
        <w:r>
          <w:rPr>
            <w:webHidden/>
          </w:rPr>
        </w:r>
        <w:r>
          <w:rPr>
            <w:webHidden/>
          </w:rPr>
          <w:fldChar w:fldCharType="separate"/>
        </w:r>
        <w:r>
          <w:rPr>
            <w:webHidden/>
          </w:rPr>
          <w:t>6</w:t>
        </w:r>
        <w:r>
          <w:rPr>
            <w:webHidden/>
          </w:rPr>
          <w:fldChar w:fldCharType="end"/>
        </w:r>
      </w:hyperlink>
    </w:p>
    <w:p w14:paraId="03641448" w14:textId="2BD8AB56" w:rsidR="009E7B59" w:rsidRDefault="009E7B59">
      <w:pPr>
        <w:pStyle w:val="TOC2"/>
        <w:rPr>
          <w:rFonts w:asciiTheme="minorHAnsi" w:eastAsiaTheme="minorEastAsia" w:hAnsiTheme="minorHAnsi" w:cstheme="minorBidi"/>
          <w:kern w:val="2"/>
          <w:sz w:val="24"/>
          <w:szCs w:val="24"/>
          <w:lang w:eastAsia="en-AU"/>
          <w14:ligatures w14:val="standardContextual"/>
        </w:rPr>
      </w:pPr>
      <w:hyperlink w:anchor="_Toc200716137" w:history="1">
        <w:r w:rsidRPr="00A72901">
          <w:rPr>
            <w:rStyle w:val="Hyperlink"/>
          </w:rPr>
          <w:t>Legislation</w:t>
        </w:r>
        <w:r>
          <w:rPr>
            <w:webHidden/>
          </w:rPr>
          <w:tab/>
        </w:r>
        <w:r>
          <w:rPr>
            <w:webHidden/>
          </w:rPr>
          <w:fldChar w:fldCharType="begin"/>
        </w:r>
        <w:r>
          <w:rPr>
            <w:webHidden/>
          </w:rPr>
          <w:instrText xml:space="preserve"> PAGEREF _Toc200716137 \h </w:instrText>
        </w:r>
        <w:r>
          <w:rPr>
            <w:webHidden/>
          </w:rPr>
        </w:r>
        <w:r>
          <w:rPr>
            <w:webHidden/>
          </w:rPr>
          <w:fldChar w:fldCharType="separate"/>
        </w:r>
        <w:r>
          <w:rPr>
            <w:webHidden/>
          </w:rPr>
          <w:t>6</w:t>
        </w:r>
        <w:r>
          <w:rPr>
            <w:webHidden/>
          </w:rPr>
          <w:fldChar w:fldCharType="end"/>
        </w:r>
      </w:hyperlink>
    </w:p>
    <w:p w14:paraId="316AC4A1" w14:textId="2D07BE6D" w:rsidR="009E7B59" w:rsidRDefault="009E7B59">
      <w:pPr>
        <w:pStyle w:val="TOC2"/>
        <w:rPr>
          <w:rFonts w:asciiTheme="minorHAnsi" w:eastAsiaTheme="minorEastAsia" w:hAnsiTheme="minorHAnsi" w:cstheme="minorBidi"/>
          <w:kern w:val="2"/>
          <w:sz w:val="24"/>
          <w:szCs w:val="24"/>
          <w:lang w:eastAsia="en-AU"/>
          <w14:ligatures w14:val="standardContextual"/>
        </w:rPr>
      </w:pPr>
      <w:hyperlink w:anchor="_Toc200716138" w:history="1">
        <w:r w:rsidRPr="00A72901">
          <w:rPr>
            <w:rStyle w:val="Hyperlink"/>
          </w:rPr>
          <w:t>Agency roles and responsibilities</w:t>
        </w:r>
        <w:r>
          <w:rPr>
            <w:webHidden/>
          </w:rPr>
          <w:tab/>
        </w:r>
        <w:r>
          <w:rPr>
            <w:webHidden/>
          </w:rPr>
          <w:fldChar w:fldCharType="begin"/>
        </w:r>
        <w:r>
          <w:rPr>
            <w:webHidden/>
          </w:rPr>
          <w:instrText xml:space="preserve"> PAGEREF _Toc200716138 \h </w:instrText>
        </w:r>
        <w:r>
          <w:rPr>
            <w:webHidden/>
          </w:rPr>
        </w:r>
        <w:r>
          <w:rPr>
            <w:webHidden/>
          </w:rPr>
          <w:fldChar w:fldCharType="separate"/>
        </w:r>
        <w:r>
          <w:rPr>
            <w:webHidden/>
          </w:rPr>
          <w:t>9</w:t>
        </w:r>
        <w:r>
          <w:rPr>
            <w:webHidden/>
          </w:rPr>
          <w:fldChar w:fldCharType="end"/>
        </w:r>
      </w:hyperlink>
    </w:p>
    <w:p w14:paraId="68063059" w14:textId="0CCB8915" w:rsidR="009E7B59" w:rsidRDefault="009E7B59">
      <w:pPr>
        <w:pStyle w:val="TOC1"/>
        <w:rPr>
          <w:rFonts w:asciiTheme="minorHAnsi" w:eastAsiaTheme="minorEastAsia" w:hAnsiTheme="minorHAnsi" w:cstheme="minorBidi"/>
          <w:b w:val="0"/>
          <w:bCs w:val="0"/>
          <w:color w:val="auto"/>
          <w:kern w:val="2"/>
          <w:lang w:eastAsia="en-AU"/>
          <w14:ligatures w14:val="standardContextual"/>
        </w:rPr>
      </w:pPr>
      <w:hyperlink w:anchor="_Toc200716139" w:history="1">
        <w:r w:rsidRPr="00A72901">
          <w:rPr>
            <w:rStyle w:val="Hyperlink"/>
          </w:rPr>
          <w:t>Monitoring and evaluation reporting requirements</w:t>
        </w:r>
        <w:r>
          <w:rPr>
            <w:webHidden/>
          </w:rPr>
          <w:tab/>
        </w:r>
        <w:r>
          <w:rPr>
            <w:webHidden/>
          </w:rPr>
          <w:fldChar w:fldCharType="begin"/>
        </w:r>
        <w:r>
          <w:rPr>
            <w:webHidden/>
          </w:rPr>
          <w:instrText xml:space="preserve"> PAGEREF _Toc200716139 \h </w:instrText>
        </w:r>
        <w:r>
          <w:rPr>
            <w:webHidden/>
          </w:rPr>
        </w:r>
        <w:r>
          <w:rPr>
            <w:webHidden/>
          </w:rPr>
          <w:fldChar w:fldCharType="separate"/>
        </w:r>
        <w:r>
          <w:rPr>
            <w:webHidden/>
          </w:rPr>
          <w:t>12</w:t>
        </w:r>
        <w:r>
          <w:rPr>
            <w:webHidden/>
          </w:rPr>
          <w:fldChar w:fldCharType="end"/>
        </w:r>
      </w:hyperlink>
    </w:p>
    <w:p w14:paraId="5079BAB2" w14:textId="0C75365B" w:rsidR="009E7B59" w:rsidRDefault="009E7B59">
      <w:pPr>
        <w:pStyle w:val="TOC2"/>
        <w:rPr>
          <w:rFonts w:asciiTheme="minorHAnsi" w:eastAsiaTheme="minorEastAsia" w:hAnsiTheme="minorHAnsi" w:cstheme="minorBidi"/>
          <w:kern w:val="2"/>
          <w:sz w:val="24"/>
          <w:szCs w:val="24"/>
          <w:lang w:eastAsia="en-AU"/>
          <w14:ligatures w14:val="standardContextual"/>
        </w:rPr>
      </w:pPr>
      <w:hyperlink w:anchor="_Toc200716140" w:history="1">
        <w:r w:rsidRPr="00A72901">
          <w:rPr>
            <w:rStyle w:val="Hyperlink"/>
          </w:rPr>
          <w:t>Monitoring practices</w:t>
        </w:r>
        <w:r>
          <w:rPr>
            <w:webHidden/>
          </w:rPr>
          <w:tab/>
        </w:r>
        <w:r>
          <w:rPr>
            <w:webHidden/>
          </w:rPr>
          <w:fldChar w:fldCharType="begin"/>
        </w:r>
        <w:r>
          <w:rPr>
            <w:webHidden/>
          </w:rPr>
          <w:instrText xml:space="preserve"> PAGEREF _Toc200716140 \h </w:instrText>
        </w:r>
        <w:r>
          <w:rPr>
            <w:webHidden/>
          </w:rPr>
        </w:r>
        <w:r>
          <w:rPr>
            <w:webHidden/>
          </w:rPr>
          <w:fldChar w:fldCharType="separate"/>
        </w:r>
        <w:r>
          <w:rPr>
            <w:webHidden/>
          </w:rPr>
          <w:t>12</w:t>
        </w:r>
        <w:r>
          <w:rPr>
            <w:webHidden/>
          </w:rPr>
          <w:fldChar w:fldCharType="end"/>
        </w:r>
      </w:hyperlink>
    </w:p>
    <w:p w14:paraId="68FC1BDF" w14:textId="4A0650CF" w:rsidR="009E7B59" w:rsidRDefault="009E7B59">
      <w:pPr>
        <w:pStyle w:val="TOC2"/>
        <w:rPr>
          <w:rFonts w:asciiTheme="minorHAnsi" w:eastAsiaTheme="minorEastAsia" w:hAnsiTheme="minorHAnsi" w:cstheme="minorBidi"/>
          <w:kern w:val="2"/>
          <w:sz w:val="24"/>
          <w:szCs w:val="24"/>
          <w:lang w:eastAsia="en-AU"/>
          <w14:ligatures w14:val="standardContextual"/>
        </w:rPr>
      </w:pPr>
      <w:hyperlink w:anchor="_Toc200716141" w:history="1">
        <w:r w:rsidRPr="00A72901">
          <w:rPr>
            <w:rStyle w:val="Hyperlink"/>
          </w:rPr>
          <w:t>Evaluation methods</w:t>
        </w:r>
        <w:r>
          <w:rPr>
            <w:webHidden/>
          </w:rPr>
          <w:tab/>
        </w:r>
        <w:r>
          <w:rPr>
            <w:webHidden/>
          </w:rPr>
          <w:fldChar w:fldCharType="begin"/>
        </w:r>
        <w:r>
          <w:rPr>
            <w:webHidden/>
          </w:rPr>
          <w:instrText xml:space="preserve"> PAGEREF _Toc200716141 \h </w:instrText>
        </w:r>
        <w:r>
          <w:rPr>
            <w:webHidden/>
          </w:rPr>
        </w:r>
        <w:r>
          <w:rPr>
            <w:webHidden/>
          </w:rPr>
          <w:fldChar w:fldCharType="separate"/>
        </w:r>
        <w:r>
          <w:rPr>
            <w:webHidden/>
          </w:rPr>
          <w:t>13</w:t>
        </w:r>
        <w:r>
          <w:rPr>
            <w:webHidden/>
          </w:rPr>
          <w:fldChar w:fldCharType="end"/>
        </w:r>
      </w:hyperlink>
    </w:p>
    <w:p w14:paraId="2AC638B8" w14:textId="726B0D9E" w:rsidR="009E7B59" w:rsidRDefault="009E7B59">
      <w:pPr>
        <w:pStyle w:val="TOC2"/>
        <w:rPr>
          <w:rFonts w:asciiTheme="minorHAnsi" w:eastAsiaTheme="minorEastAsia" w:hAnsiTheme="minorHAnsi" w:cstheme="minorBidi"/>
          <w:kern w:val="2"/>
          <w:sz w:val="24"/>
          <w:szCs w:val="24"/>
          <w:lang w:eastAsia="en-AU"/>
          <w14:ligatures w14:val="standardContextual"/>
        </w:rPr>
      </w:pPr>
      <w:hyperlink w:anchor="_Toc200716142" w:history="1">
        <w:r w:rsidRPr="00A72901">
          <w:rPr>
            <w:rStyle w:val="Hyperlink"/>
          </w:rPr>
          <w:t>Reporting mechanisms</w:t>
        </w:r>
        <w:r>
          <w:rPr>
            <w:webHidden/>
          </w:rPr>
          <w:tab/>
        </w:r>
        <w:r>
          <w:rPr>
            <w:webHidden/>
          </w:rPr>
          <w:fldChar w:fldCharType="begin"/>
        </w:r>
        <w:r>
          <w:rPr>
            <w:webHidden/>
          </w:rPr>
          <w:instrText xml:space="preserve"> PAGEREF _Toc200716142 \h </w:instrText>
        </w:r>
        <w:r>
          <w:rPr>
            <w:webHidden/>
          </w:rPr>
        </w:r>
        <w:r>
          <w:rPr>
            <w:webHidden/>
          </w:rPr>
          <w:fldChar w:fldCharType="separate"/>
        </w:r>
        <w:r>
          <w:rPr>
            <w:webHidden/>
          </w:rPr>
          <w:t>14</w:t>
        </w:r>
        <w:r>
          <w:rPr>
            <w:webHidden/>
          </w:rPr>
          <w:fldChar w:fldCharType="end"/>
        </w:r>
      </w:hyperlink>
    </w:p>
    <w:p w14:paraId="117AA43E" w14:textId="068AE0E8" w:rsidR="009E7B59" w:rsidRDefault="009E7B59">
      <w:pPr>
        <w:pStyle w:val="TOC1"/>
        <w:rPr>
          <w:rFonts w:asciiTheme="minorHAnsi" w:eastAsiaTheme="minorEastAsia" w:hAnsiTheme="minorHAnsi" w:cstheme="minorBidi"/>
          <w:b w:val="0"/>
          <w:bCs w:val="0"/>
          <w:color w:val="auto"/>
          <w:kern w:val="2"/>
          <w:lang w:eastAsia="en-AU"/>
          <w14:ligatures w14:val="standardContextual"/>
        </w:rPr>
      </w:pPr>
      <w:hyperlink w:anchor="_Toc200716143" w:history="1">
        <w:r w:rsidRPr="00A72901">
          <w:rPr>
            <w:rStyle w:val="Hyperlink"/>
          </w:rPr>
          <w:t>Stocktake Analysis</w:t>
        </w:r>
        <w:r>
          <w:rPr>
            <w:webHidden/>
          </w:rPr>
          <w:tab/>
        </w:r>
        <w:r>
          <w:rPr>
            <w:webHidden/>
          </w:rPr>
          <w:fldChar w:fldCharType="begin"/>
        </w:r>
        <w:r>
          <w:rPr>
            <w:webHidden/>
          </w:rPr>
          <w:instrText xml:space="preserve"> PAGEREF _Toc200716143 \h </w:instrText>
        </w:r>
        <w:r>
          <w:rPr>
            <w:webHidden/>
          </w:rPr>
        </w:r>
        <w:r>
          <w:rPr>
            <w:webHidden/>
          </w:rPr>
          <w:fldChar w:fldCharType="separate"/>
        </w:r>
        <w:r>
          <w:rPr>
            <w:webHidden/>
          </w:rPr>
          <w:t>16</w:t>
        </w:r>
        <w:r>
          <w:rPr>
            <w:webHidden/>
          </w:rPr>
          <w:fldChar w:fldCharType="end"/>
        </w:r>
      </w:hyperlink>
    </w:p>
    <w:p w14:paraId="42C5EB36" w14:textId="28FB973F" w:rsidR="00540D7A" w:rsidRPr="00FC1B50" w:rsidRDefault="006C375C" w:rsidP="004F2AC1">
      <w:r w:rsidRPr="00FC1B50">
        <w:rPr>
          <w:b/>
          <w:color w:val="48555E" w:themeColor="text2"/>
          <w:sz w:val="24"/>
          <w:szCs w:val="24"/>
        </w:rPr>
        <w:fldChar w:fldCharType="end"/>
      </w:r>
    </w:p>
    <w:p w14:paraId="57DA93A0" w14:textId="43F16A43" w:rsidR="008A3294" w:rsidRPr="00FC1B50" w:rsidRDefault="007D43A3" w:rsidP="00540D7A">
      <w:pPr>
        <w:rPr>
          <w:b/>
          <w:color w:val="48555E" w:themeColor="text2"/>
          <w:sz w:val="24"/>
          <w:szCs w:val="24"/>
        </w:rPr>
      </w:pPr>
      <w:r w:rsidRPr="00FC1B50">
        <w:rPr>
          <w:b/>
          <w:color w:val="48555E" w:themeColor="text2"/>
          <w:sz w:val="24"/>
          <w:szCs w:val="24"/>
        </w:rPr>
        <w:t>Figures</w:t>
      </w:r>
    </w:p>
    <w:p w14:paraId="301A4E59" w14:textId="54450FB4" w:rsidR="00C577D1" w:rsidRDefault="00D64D33">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\h \z \c "Figure" </w:instrText>
      </w:r>
      <w:r>
        <w:fldChar w:fldCharType="separate"/>
      </w:r>
      <w:hyperlink w:anchor="_Toc200716718" w:history="1">
        <w:r w:rsidR="00C577D1" w:rsidRPr="00ED4FF5">
          <w:rPr>
            <w:rStyle w:val="Hyperlink"/>
            <w:noProof/>
          </w:rPr>
          <w:t>Figure 1. Document types of information received.</w:t>
        </w:r>
        <w:r w:rsidR="00C577D1">
          <w:rPr>
            <w:noProof/>
            <w:webHidden/>
          </w:rPr>
          <w:tab/>
        </w:r>
        <w:r w:rsidR="00C577D1">
          <w:rPr>
            <w:noProof/>
            <w:webHidden/>
          </w:rPr>
          <w:fldChar w:fldCharType="begin"/>
        </w:r>
        <w:r w:rsidR="00C577D1">
          <w:rPr>
            <w:noProof/>
            <w:webHidden/>
          </w:rPr>
          <w:instrText xml:space="preserve"> PAGEREF _Toc200716718 \h </w:instrText>
        </w:r>
        <w:r w:rsidR="00C577D1">
          <w:rPr>
            <w:noProof/>
            <w:webHidden/>
          </w:rPr>
        </w:r>
        <w:r w:rsidR="00C577D1">
          <w:rPr>
            <w:noProof/>
            <w:webHidden/>
          </w:rPr>
          <w:fldChar w:fldCharType="separate"/>
        </w:r>
        <w:r w:rsidR="00C577D1">
          <w:rPr>
            <w:noProof/>
            <w:webHidden/>
          </w:rPr>
          <w:t>15</w:t>
        </w:r>
        <w:r w:rsidR="00C577D1">
          <w:rPr>
            <w:noProof/>
            <w:webHidden/>
          </w:rPr>
          <w:fldChar w:fldCharType="end"/>
        </w:r>
      </w:hyperlink>
    </w:p>
    <w:p w14:paraId="7C3C8259" w14:textId="0061060B" w:rsidR="00C577D1" w:rsidRDefault="00C577D1">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hyperlink w:anchor="_Toc200716719" w:history="1">
        <w:r w:rsidRPr="00ED4FF5">
          <w:rPr>
            <w:rStyle w:val="Hyperlink"/>
            <w:noProof/>
          </w:rPr>
          <w:t>Figure 2. Relationship between different document types involved in monitoring and evaluation reporting of environmental outcomes.</w:t>
        </w:r>
        <w:r>
          <w:rPr>
            <w:noProof/>
            <w:webHidden/>
          </w:rPr>
          <w:tab/>
        </w:r>
        <w:r>
          <w:rPr>
            <w:noProof/>
            <w:webHidden/>
          </w:rPr>
          <w:fldChar w:fldCharType="begin"/>
        </w:r>
        <w:r>
          <w:rPr>
            <w:noProof/>
            <w:webHidden/>
          </w:rPr>
          <w:instrText xml:space="preserve"> PAGEREF _Toc200716719 \h </w:instrText>
        </w:r>
        <w:r>
          <w:rPr>
            <w:noProof/>
            <w:webHidden/>
          </w:rPr>
        </w:r>
        <w:r>
          <w:rPr>
            <w:noProof/>
            <w:webHidden/>
          </w:rPr>
          <w:fldChar w:fldCharType="separate"/>
        </w:r>
        <w:r>
          <w:rPr>
            <w:noProof/>
            <w:webHidden/>
          </w:rPr>
          <w:t>16</w:t>
        </w:r>
        <w:r>
          <w:rPr>
            <w:noProof/>
            <w:webHidden/>
          </w:rPr>
          <w:fldChar w:fldCharType="end"/>
        </w:r>
      </w:hyperlink>
    </w:p>
    <w:p w14:paraId="030EEAC0" w14:textId="38617E41" w:rsidR="001A3C4B" w:rsidRDefault="00D64D33" w:rsidP="001A3C4B">
      <w:r>
        <w:fldChar w:fldCharType="end"/>
      </w:r>
    </w:p>
    <w:p w14:paraId="0EF067AB" w14:textId="7E9DB3FD" w:rsidR="0037765B" w:rsidRPr="00FC1B50" w:rsidRDefault="0037765B" w:rsidP="00540D7A">
      <w:pPr>
        <w:rPr>
          <w:b/>
          <w:color w:val="48555E" w:themeColor="text2"/>
          <w:sz w:val="24"/>
          <w:szCs w:val="24"/>
        </w:rPr>
      </w:pPr>
      <w:r w:rsidRPr="00FC1B50">
        <w:rPr>
          <w:b/>
          <w:color w:val="48555E" w:themeColor="text2"/>
          <w:sz w:val="24"/>
          <w:szCs w:val="24"/>
        </w:rPr>
        <w:t>Tables</w:t>
      </w:r>
    </w:p>
    <w:p w14:paraId="180537E1" w14:textId="3171C848" w:rsidR="009E7B59" w:rsidRDefault="0037765B">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\c "Table" </w:instrText>
      </w:r>
      <w:r>
        <w:fldChar w:fldCharType="separate"/>
      </w:r>
      <w:r w:rsidR="009E7B59">
        <w:rPr>
          <w:noProof/>
        </w:rPr>
        <w:t>Table 1. List of agencies from which documents and reports were collected for the stocktake.</w:t>
      </w:r>
      <w:r w:rsidR="009E7B59">
        <w:rPr>
          <w:noProof/>
        </w:rPr>
        <w:tab/>
      </w:r>
      <w:r w:rsidR="009E7B59">
        <w:rPr>
          <w:noProof/>
        </w:rPr>
        <w:fldChar w:fldCharType="begin"/>
      </w:r>
      <w:r w:rsidR="009E7B59">
        <w:rPr>
          <w:noProof/>
        </w:rPr>
        <w:instrText xml:space="preserve"> PAGEREF _Toc200716144 \h </w:instrText>
      </w:r>
      <w:r w:rsidR="009E7B59">
        <w:rPr>
          <w:noProof/>
        </w:rPr>
      </w:r>
      <w:r w:rsidR="009E7B59">
        <w:rPr>
          <w:noProof/>
        </w:rPr>
        <w:fldChar w:fldCharType="separate"/>
      </w:r>
      <w:r w:rsidR="009E7B59">
        <w:rPr>
          <w:noProof/>
        </w:rPr>
        <w:t>3</w:t>
      </w:r>
      <w:r w:rsidR="009E7B59">
        <w:rPr>
          <w:noProof/>
        </w:rPr>
        <w:fldChar w:fldCharType="end"/>
      </w:r>
    </w:p>
    <w:p w14:paraId="1B3D6FF5" w14:textId="5E11D26E" w:rsidR="009E7B59" w:rsidRDefault="009E7B59">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r>
        <w:rPr>
          <w:noProof/>
        </w:rPr>
        <w:t>Table 2. Description of spreadsheet headings provided to respondents and used to request information.</w:t>
      </w:r>
      <w:r>
        <w:rPr>
          <w:noProof/>
        </w:rPr>
        <w:tab/>
      </w:r>
      <w:r>
        <w:rPr>
          <w:noProof/>
        </w:rPr>
        <w:fldChar w:fldCharType="begin"/>
      </w:r>
      <w:r>
        <w:rPr>
          <w:noProof/>
        </w:rPr>
        <w:instrText xml:space="preserve"> PAGEREF _Toc200716145 \h </w:instrText>
      </w:r>
      <w:r>
        <w:rPr>
          <w:noProof/>
        </w:rPr>
      </w:r>
      <w:r>
        <w:rPr>
          <w:noProof/>
        </w:rPr>
        <w:fldChar w:fldCharType="separate"/>
      </w:r>
      <w:r>
        <w:rPr>
          <w:noProof/>
        </w:rPr>
        <w:t>4</w:t>
      </w:r>
      <w:r>
        <w:rPr>
          <w:noProof/>
        </w:rPr>
        <w:fldChar w:fldCharType="end"/>
      </w:r>
    </w:p>
    <w:p w14:paraId="1EFCCCD8" w14:textId="4B0D5430" w:rsidR="009E7B59" w:rsidRDefault="009E7B59">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r>
        <w:rPr>
          <w:noProof/>
        </w:rPr>
        <w:t>Table 3. Categorisation of document types.</w:t>
      </w:r>
      <w:r>
        <w:rPr>
          <w:noProof/>
        </w:rPr>
        <w:tab/>
      </w:r>
      <w:r>
        <w:rPr>
          <w:noProof/>
        </w:rPr>
        <w:fldChar w:fldCharType="begin"/>
      </w:r>
      <w:r>
        <w:rPr>
          <w:noProof/>
        </w:rPr>
        <w:instrText xml:space="preserve"> PAGEREF _Toc200716146 \h </w:instrText>
      </w:r>
      <w:r>
        <w:rPr>
          <w:noProof/>
        </w:rPr>
      </w:r>
      <w:r>
        <w:rPr>
          <w:noProof/>
        </w:rPr>
        <w:fldChar w:fldCharType="separate"/>
      </w:r>
      <w:r>
        <w:rPr>
          <w:noProof/>
        </w:rPr>
        <w:t>5</w:t>
      </w:r>
      <w:r>
        <w:rPr>
          <w:noProof/>
        </w:rPr>
        <w:fldChar w:fldCharType="end"/>
      </w:r>
    </w:p>
    <w:p w14:paraId="634B2ED8" w14:textId="75C5383D" w:rsidR="009E7B59" w:rsidRDefault="009E7B59">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r>
        <w:rPr>
          <w:noProof/>
        </w:rPr>
        <w:t>Table 4. Key chapters in the Basin Plan relating to MER for environmental outcomes.</w:t>
      </w:r>
      <w:r>
        <w:rPr>
          <w:noProof/>
        </w:rPr>
        <w:tab/>
      </w:r>
      <w:r>
        <w:rPr>
          <w:noProof/>
        </w:rPr>
        <w:fldChar w:fldCharType="begin"/>
      </w:r>
      <w:r>
        <w:rPr>
          <w:noProof/>
        </w:rPr>
        <w:instrText xml:space="preserve"> PAGEREF _Toc200716147 \h </w:instrText>
      </w:r>
      <w:r>
        <w:rPr>
          <w:noProof/>
        </w:rPr>
      </w:r>
      <w:r>
        <w:rPr>
          <w:noProof/>
        </w:rPr>
        <w:fldChar w:fldCharType="separate"/>
      </w:r>
      <w:r>
        <w:rPr>
          <w:noProof/>
        </w:rPr>
        <w:t>7</w:t>
      </w:r>
      <w:r>
        <w:rPr>
          <w:noProof/>
        </w:rPr>
        <w:fldChar w:fldCharType="end"/>
      </w:r>
    </w:p>
    <w:p w14:paraId="5650ED08" w14:textId="2520814A" w:rsidR="009E7B59" w:rsidRDefault="009E7B59">
      <w:pPr>
        <w:pStyle w:val="TableofFigures"/>
        <w:tabs>
          <w:tab w:val="right" w:leader="dot" w:pos="9628"/>
        </w:tabs>
        <w:rPr>
          <w:rFonts w:asciiTheme="minorHAnsi" w:eastAsiaTheme="minorEastAsia" w:hAnsiTheme="minorHAnsi" w:cstheme="minorBidi"/>
          <w:noProof/>
          <w:kern w:val="2"/>
          <w:sz w:val="24"/>
          <w:szCs w:val="24"/>
          <w:lang w:eastAsia="en-AU"/>
          <w14:ligatures w14:val="standardContextual"/>
        </w:rPr>
      </w:pPr>
      <w:r>
        <w:rPr>
          <w:noProof/>
        </w:rPr>
        <w:t>Table 5. Relevant Basin Plan Schedule 12 Matter reports</w:t>
      </w:r>
      <w:r>
        <w:rPr>
          <w:noProof/>
        </w:rPr>
        <w:tab/>
      </w:r>
      <w:r>
        <w:rPr>
          <w:noProof/>
        </w:rPr>
        <w:fldChar w:fldCharType="begin"/>
      </w:r>
      <w:r>
        <w:rPr>
          <w:noProof/>
        </w:rPr>
        <w:instrText xml:space="preserve"> PAGEREF _Toc200716148 \h </w:instrText>
      </w:r>
      <w:r>
        <w:rPr>
          <w:noProof/>
        </w:rPr>
      </w:r>
      <w:r>
        <w:rPr>
          <w:noProof/>
        </w:rPr>
        <w:fldChar w:fldCharType="separate"/>
      </w:r>
      <w:r>
        <w:rPr>
          <w:noProof/>
        </w:rPr>
        <w:t>8</w:t>
      </w:r>
      <w:r>
        <w:rPr>
          <w:noProof/>
        </w:rPr>
        <w:fldChar w:fldCharType="end"/>
      </w:r>
    </w:p>
    <w:p w14:paraId="04888E77" w14:textId="79A24091" w:rsidR="000F555B" w:rsidRDefault="0037765B" w:rsidP="002C07A5">
      <w:r>
        <w:fldChar w:fldCharType="end"/>
      </w:r>
    </w:p>
    <w:p w14:paraId="3A6D4C98" w14:textId="77777777" w:rsidR="000F555B" w:rsidRDefault="000F555B" w:rsidP="002C07A5"/>
    <w:p w14:paraId="25BC3F3D" w14:textId="5561AFFE" w:rsidR="000F555B" w:rsidDel="00D15DF5" w:rsidRDefault="000F555B" w:rsidP="00091FA4">
      <w:pPr>
        <w:sectPr w:rsidR="000F555B" w:rsidDel="00D15DF5" w:rsidSect="00654AB1">
          <w:headerReference w:type="even" r:id="rId18"/>
          <w:headerReference w:type="default" r:id="rId19"/>
          <w:footerReference w:type="even" r:id="rId20"/>
          <w:footerReference w:type="default" r:id="rId21"/>
          <w:headerReference w:type="first" r:id="rId22"/>
          <w:footerReference w:type="first" r:id="rId23"/>
          <w:pgSz w:w="11906" w:h="16838"/>
          <w:pgMar w:top="1284" w:right="1134" w:bottom="816" w:left="1134" w:header="0" w:footer="999" w:gutter="0"/>
          <w:pgNumType w:fmt="lowerRoman" w:start="1"/>
          <w:cols w:space="708"/>
          <w:titlePg/>
          <w:docGrid w:linePitch="360"/>
        </w:sectPr>
      </w:pPr>
    </w:p>
    <w:p w14:paraId="74A38E0D" w14:textId="1EA37776" w:rsidR="002C07A5" w:rsidRPr="002C07A5" w:rsidRDefault="00496EFF" w:rsidP="002C07A5">
      <w:pPr>
        <w:pStyle w:val="Heading1"/>
        <w:rPr>
          <w:color w:val="FFFFFF"/>
        </w:rPr>
      </w:pPr>
      <w:bookmarkStart w:id="7" w:name="_Toc200716132"/>
      <w:r w:rsidRPr="00FC1B50">
        <w:rPr>
          <w:noProof/>
        </w:rPr>
        <w:lastRenderedPageBreak/>
        <w:drawing>
          <wp:anchor distT="0" distB="0" distL="114300" distR="114300" simplePos="0" relativeHeight="251658242" behindDoc="1" locked="0" layoutInCell="1" allowOverlap="1" wp14:anchorId="612A5399" wp14:editId="3C033B6E">
            <wp:simplePos x="0" y="0"/>
            <wp:positionH relativeFrom="column">
              <wp:posOffset>-708660</wp:posOffset>
            </wp:positionH>
            <wp:positionV relativeFrom="paragraph">
              <wp:posOffset>-2590165</wp:posOffset>
            </wp:positionV>
            <wp:extent cx="7597140" cy="10751185"/>
            <wp:effectExtent l="0" t="0" r="0" b="5715"/>
            <wp:wrapNone/>
            <wp:docPr id="1626353928" name="Picture 1626353928" descr="Australian Government and Inspector-General of Water Complianc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45191" name="Picture 964945191" descr="Australian Government and Inspector-General of Water Compliance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r w:rsidR="002C07A5" w:rsidRPr="002C07A5">
        <w:rPr>
          <w:color w:val="FFFFFF"/>
        </w:rPr>
        <w:t>Introduction</w:t>
      </w:r>
      <w:bookmarkEnd w:id="7"/>
    </w:p>
    <w:p w14:paraId="63BA90E0" w14:textId="5432E71C" w:rsidR="00140F6D" w:rsidRPr="00CB7354" w:rsidRDefault="00ED308D" w:rsidP="00B80CC3">
      <w:pPr>
        <w:rPr>
          <w:color w:val="FFFFFF"/>
        </w:rPr>
      </w:pPr>
      <w:r w:rsidRPr="00CB7354">
        <w:rPr>
          <w:color w:val="FFFFFF"/>
        </w:rPr>
        <w:t xml:space="preserve">This </w:t>
      </w:r>
      <w:r w:rsidR="0011038F">
        <w:rPr>
          <w:color w:val="FFFFFF"/>
        </w:rPr>
        <w:t>stocktake</w:t>
      </w:r>
      <w:r w:rsidRPr="00CB7354">
        <w:rPr>
          <w:color w:val="FFFFFF"/>
        </w:rPr>
        <w:t xml:space="preserve"> </w:t>
      </w:r>
      <w:r w:rsidR="003011B9" w:rsidRPr="00CB7354">
        <w:rPr>
          <w:color w:val="FFFFFF"/>
        </w:rPr>
        <w:t>is part of the Inspector–General’s 2024–2025 annual work plan and</w:t>
      </w:r>
      <w:r w:rsidRPr="00CB7354">
        <w:rPr>
          <w:color w:val="FFFFFF"/>
        </w:rPr>
        <w:t xml:space="preserve"> a key deliverable of the Environmental Outcomes Progra</w:t>
      </w:r>
      <w:r w:rsidR="0022419B" w:rsidRPr="00CB7354">
        <w:rPr>
          <w:color w:val="FFFFFF"/>
        </w:rPr>
        <w:t>m</w:t>
      </w:r>
      <w:r w:rsidRPr="00CB7354">
        <w:rPr>
          <w:color w:val="FFFFFF"/>
        </w:rPr>
        <w:t>.</w:t>
      </w:r>
      <w:r w:rsidR="009579FE" w:rsidRPr="00CB7354">
        <w:rPr>
          <w:color w:val="FFFFFF"/>
        </w:rPr>
        <w:t xml:space="preserve"> </w:t>
      </w:r>
      <w:r w:rsidR="00B80CC3" w:rsidRPr="00CB7354">
        <w:rPr>
          <w:color w:val="FFFFFF"/>
        </w:rPr>
        <w:t>It address</w:t>
      </w:r>
      <w:r w:rsidR="0008128F" w:rsidRPr="00CB7354">
        <w:rPr>
          <w:color w:val="FFFFFF"/>
        </w:rPr>
        <w:t>es</w:t>
      </w:r>
      <w:r w:rsidR="00B80CC3" w:rsidRPr="00CB7354">
        <w:rPr>
          <w:color w:val="FFFFFF"/>
        </w:rPr>
        <w:t xml:space="preserve"> the evolving role of the Inspector</w:t>
      </w:r>
      <w:r w:rsidR="00140F6D" w:rsidRPr="00CB7354">
        <w:rPr>
          <w:color w:val="FFFFFF"/>
        </w:rPr>
        <w:t>–</w:t>
      </w:r>
      <w:r w:rsidR="00B80CC3" w:rsidRPr="00CB7354">
        <w:rPr>
          <w:color w:val="FFFFFF"/>
        </w:rPr>
        <w:t xml:space="preserve">General </w:t>
      </w:r>
      <w:r w:rsidR="00A8321F" w:rsidRPr="00CB7354">
        <w:rPr>
          <w:color w:val="FFFFFF"/>
        </w:rPr>
        <w:t>to</w:t>
      </w:r>
      <w:r w:rsidR="00B80CC3" w:rsidRPr="00CB7354">
        <w:rPr>
          <w:color w:val="FFFFFF"/>
        </w:rPr>
        <w:t xml:space="preserve"> oversee the performance of Commonwealth and Basin State water management agencies under section 215C of the</w:t>
      </w:r>
      <w:r w:rsidR="00194AE9">
        <w:rPr>
          <w:color w:val="FFFFFF"/>
        </w:rPr>
        <w:t xml:space="preserve"> </w:t>
      </w:r>
      <w:r w:rsidR="00B80CC3" w:rsidRPr="00ED2D8C">
        <w:rPr>
          <w:i/>
          <w:iCs/>
          <w:color w:val="FFFFFF"/>
        </w:rPr>
        <w:t>Water Act</w:t>
      </w:r>
      <w:r w:rsidR="00194AE9" w:rsidRPr="00ED2D8C">
        <w:rPr>
          <w:i/>
          <w:iCs/>
          <w:color w:val="FFFFFF"/>
        </w:rPr>
        <w:t xml:space="preserve"> 2007</w:t>
      </w:r>
      <w:r w:rsidR="00707AA5">
        <w:rPr>
          <w:color w:val="FFFFFF"/>
        </w:rPr>
        <w:t xml:space="preserve"> (</w:t>
      </w:r>
      <w:proofErr w:type="spellStart"/>
      <w:r w:rsidR="00707AA5">
        <w:rPr>
          <w:color w:val="FFFFFF"/>
        </w:rPr>
        <w:t>Cth</w:t>
      </w:r>
      <w:proofErr w:type="spellEnd"/>
      <w:r w:rsidR="00707AA5">
        <w:rPr>
          <w:color w:val="FFFFFF"/>
        </w:rPr>
        <w:t>) (the Water Act)</w:t>
      </w:r>
      <w:r w:rsidR="00B80CC3" w:rsidRPr="00CB7354">
        <w:rPr>
          <w:color w:val="FFFFFF"/>
        </w:rPr>
        <w:t xml:space="preserve">. As the </w:t>
      </w:r>
      <w:r w:rsidR="003E342A">
        <w:rPr>
          <w:color w:val="FFFFFF"/>
        </w:rPr>
        <w:t>2026 review</w:t>
      </w:r>
      <w:r w:rsidR="00B80CC3" w:rsidRPr="00CB7354" w:rsidDel="003E342A">
        <w:rPr>
          <w:color w:val="FFFFFF"/>
        </w:rPr>
        <w:t xml:space="preserve"> of </w:t>
      </w:r>
      <w:r w:rsidR="00542B89">
        <w:rPr>
          <w:color w:val="FFFFFF"/>
        </w:rPr>
        <w:t>t</w:t>
      </w:r>
      <w:r w:rsidR="00B80CC3" w:rsidRPr="00542B89">
        <w:rPr>
          <w:color w:val="FFFFFF"/>
        </w:rPr>
        <w:t>he</w:t>
      </w:r>
      <w:r w:rsidR="00B80CC3" w:rsidRPr="0021156B">
        <w:rPr>
          <w:i/>
          <w:iCs/>
          <w:color w:val="FFFFFF"/>
        </w:rPr>
        <w:t xml:space="preserve"> Basin Plan </w:t>
      </w:r>
      <w:r w:rsidR="0021156B" w:rsidRPr="0021156B">
        <w:rPr>
          <w:i/>
          <w:iCs/>
          <w:color w:val="FFFFFF"/>
        </w:rPr>
        <w:t>(2012)</w:t>
      </w:r>
      <w:r w:rsidR="0021156B">
        <w:rPr>
          <w:color w:val="FFFFFF"/>
        </w:rPr>
        <w:t xml:space="preserve"> </w:t>
      </w:r>
      <w:r w:rsidR="00793E94">
        <w:rPr>
          <w:color w:val="FFFFFF"/>
        </w:rPr>
        <w:t>(</w:t>
      </w:r>
      <w:proofErr w:type="spellStart"/>
      <w:r w:rsidR="00793E94">
        <w:rPr>
          <w:color w:val="FFFFFF"/>
        </w:rPr>
        <w:t>Cth</w:t>
      </w:r>
      <w:proofErr w:type="spellEnd"/>
      <w:r w:rsidR="00793E94">
        <w:rPr>
          <w:color w:val="FFFFFF"/>
        </w:rPr>
        <w:t xml:space="preserve">) </w:t>
      </w:r>
      <w:r w:rsidR="0021156B">
        <w:rPr>
          <w:color w:val="FFFFFF"/>
        </w:rPr>
        <w:t xml:space="preserve">(the Basin Plan) </w:t>
      </w:r>
      <w:r w:rsidR="003E342A">
        <w:rPr>
          <w:color w:val="FFFFFF"/>
        </w:rPr>
        <w:t>draws nearer</w:t>
      </w:r>
      <w:r w:rsidR="00B80CC3" w:rsidRPr="00CB7354">
        <w:rPr>
          <w:color w:val="FFFFFF"/>
        </w:rPr>
        <w:t xml:space="preserve">, there is a growing shift in public attention from implementation to evaluating the </w:t>
      </w:r>
      <w:r w:rsidR="00194AE9">
        <w:rPr>
          <w:color w:val="FFFFFF"/>
        </w:rPr>
        <w:t xml:space="preserve">Basin </w:t>
      </w:r>
      <w:r w:rsidR="00B80CC3" w:rsidRPr="00CB7354">
        <w:rPr>
          <w:color w:val="FFFFFF"/>
        </w:rPr>
        <w:t xml:space="preserve">Plan's effectiveness in achieving environmental outcomes. </w:t>
      </w:r>
      <w:r w:rsidR="00735FDF">
        <w:rPr>
          <w:color w:val="FFFFFF"/>
        </w:rPr>
        <w:t>T</w:t>
      </w:r>
      <w:r w:rsidR="00421BB4" w:rsidRPr="00CB7354">
        <w:rPr>
          <w:color w:val="FFFFFF"/>
        </w:rPr>
        <w:t>he Inspector</w:t>
      </w:r>
      <w:r w:rsidR="0086275F" w:rsidRPr="0086275F">
        <w:rPr>
          <w:color w:val="FFFFFF"/>
        </w:rPr>
        <w:t>–</w:t>
      </w:r>
      <w:r w:rsidR="00421BB4" w:rsidRPr="00CB7354">
        <w:rPr>
          <w:color w:val="FFFFFF"/>
        </w:rPr>
        <w:t xml:space="preserve">General </w:t>
      </w:r>
      <w:r w:rsidR="00735FDF">
        <w:rPr>
          <w:color w:val="FFFFFF"/>
        </w:rPr>
        <w:t xml:space="preserve">has observed that </w:t>
      </w:r>
      <w:r w:rsidR="00421BB4" w:rsidRPr="00CB7354">
        <w:rPr>
          <w:color w:val="FFFFFF"/>
        </w:rPr>
        <w:t>t</w:t>
      </w:r>
      <w:r w:rsidR="00B80CC3" w:rsidRPr="00CB7354">
        <w:rPr>
          <w:color w:val="FFFFFF"/>
        </w:rPr>
        <w:t>his shift is already in its early stages.</w:t>
      </w:r>
    </w:p>
    <w:p w14:paraId="3970B3E8" w14:textId="0B7D0BB5" w:rsidR="009B450A" w:rsidRDefault="00B80CC3">
      <w:pPr>
        <w:rPr>
          <w:color w:val="FFFFFF"/>
        </w:rPr>
      </w:pPr>
      <w:r w:rsidRPr="00CB7354">
        <w:rPr>
          <w:color w:val="FFFFFF"/>
        </w:rPr>
        <w:t xml:space="preserve">During the amendment process of the Restoring Our Rivers Bill in late 2023, stakeholders expressed concerns about environmental water outcomes throughout the Basin. </w:t>
      </w:r>
      <w:r w:rsidR="00EF3B62">
        <w:rPr>
          <w:color w:val="FFFFFF"/>
        </w:rPr>
        <w:t xml:space="preserve">Research commissioned </w:t>
      </w:r>
      <w:r w:rsidR="0003025D">
        <w:rPr>
          <w:color w:val="FFFFFF"/>
        </w:rPr>
        <w:t>by the Inspector</w:t>
      </w:r>
      <w:r w:rsidR="0086275F" w:rsidRPr="0086275F">
        <w:rPr>
          <w:color w:val="FFFFFF"/>
        </w:rPr>
        <w:t>–</w:t>
      </w:r>
      <w:r w:rsidR="0003025D">
        <w:rPr>
          <w:color w:val="FFFFFF"/>
        </w:rPr>
        <w:t xml:space="preserve">General also </w:t>
      </w:r>
      <w:r w:rsidR="00016B80">
        <w:rPr>
          <w:color w:val="FFFFFF"/>
        </w:rPr>
        <w:t xml:space="preserve">revealed that there is a strong community consensus on </w:t>
      </w:r>
      <w:r w:rsidR="00B65FDC">
        <w:rPr>
          <w:color w:val="FFFFFF"/>
        </w:rPr>
        <w:t>the importance of effective water management in the Murray</w:t>
      </w:r>
      <w:r w:rsidR="00F85DBC" w:rsidRPr="00F85DBC">
        <w:rPr>
          <w:color w:val="FFFFFF"/>
        </w:rPr>
        <w:t>–</w:t>
      </w:r>
      <w:r w:rsidR="00B65FDC">
        <w:rPr>
          <w:color w:val="FFFFFF"/>
        </w:rPr>
        <w:t>Darling Basin</w:t>
      </w:r>
      <w:r w:rsidR="00486F1A">
        <w:rPr>
          <w:color w:val="FFFFFF"/>
        </w:rPr>
        <w:t>.</w:t>
      </w:r>
      <w:r w:rsidR="003C5669">
        <w:rPr>
          <w:color w:val="FFFFFF"/>
        </w:rPr>
        <w:t xml:space="preserve"> </w:t>
      </w:r>
      <w:r w:rsidR="00F83E26">
        <w:rPr>
          <w:color w:val="FFFFFF"/>
        </w:rPr>
        <w:t xml:space="preserve">The study also uncovered a gap </w:t>
      </w:r>
      <w:r w:rsidR="009F485E">
        <w:rPr>
          <w:color w:val="FFFFFF"/>
        </w:rPr>
        <w:t xml:space="preserve">in awareness among participants regarding the extent and details </w:t>
      </w:r>
      <w:r w:rsidR="00636475">
        <w:rPr>
          <w:color w:val="FFFFFF"/>
        </w:rPr>
        <w:t>of water management in the Basin</w:t>
      </w:r>
      <w:r w:rsidR="003206B7">
        <w:rPr>
          <w:color w:val="FFFFFF"/>
        </w:rPr>
        <w:t>, which also includes monitoring and evaluation reporting.</w:t>
      </w:r>
      <w:r w:rsidR="00E04738">
        <w:rPr>
          <w:rStyle w:val="FootnoteReference"/>
          <w:color w:val="FFFFFF"/>
        </w:rPr>
        <w:footnoteReference w:id="5"/>
      </w:r>
      <w:r w:rsidR="003206B7">
        <w:rPr>
          <w:color w:val="FFFFFF"/>
        </w:rPr>
        <w:t xml:space="preserve"> </w:t>
      </w:r>
      <w:r w:rsidR="0011301A" w:rsidRPr="0011301A">
        <w:rPr>
          <w:color w:val="FFFFFF"/>
        </w:rPr>
        <w:t xml:space="preserve">This underscores the </w:t>
      </w:r>
      <w:r w:rsidR="00307938">
        <w:rPr>
          <w:color w:val="FFFFFF"/>
        </w:rPr>
        <w:t>strong</w:t>
      </w:r>
      <w:r w:rsidR="0011301A" w:rsidRPr="0011301A">
        <w:rPr>
          <w:color w:val="FFFFFF"/>
        </w:rPr>
        <w:t xml:space="preserve"> need for clear and accessible </w:t>
      </w:r>
      <w:r w:rsidR="00194AE9">
        <w:rPr>
          <w:color w:val="FFFFFF"/>
        </w:rPr>
        <w:t>information</w:t>
      </w:r>
      <w:r w:rsidR="0011301A" w:rsidRPr="0011301A">
        <w:rPr>
          <w:color w:val="FFFFFF"/>
        </w:rPr>
        <w:t xml:space="preserve"> </w:t>
      </w:r>
      <w:r w:rsidR="00236268">
        <w:rPr>
          <w:color w:val="FFFFFF"/>
        </w:rPr>
        <w:t>relating to</w:t>
      </w:r>
      <w:r w:rsidR="00E32051" w:rsidRPr="0011301A">
        <w:rPr>
          <w:color w:val="FFFFFF"/>
        </w:rPr>
        <w:t xml:space="preserve"> </w:t>
      </w:r>
      <w:r w:rsidR="0011301A" w:rsidRPr="0011301A">
        <w:rPr>
          <w:color w:val="FFFFFF"/>
        </w:rPr>
        <w:t xml:space="preserve">water management </w:t>
      </w:r>
      <w:r w:rsidR="00194AE9">
        <w:rPr>
          <w:color w:val="FFFFFF"/>
        </w:rPr>
        <w:t>in the Basin</w:t>
      </w:r>
      <w:r w:rsidR="00E04738">
        <w:rPr>
          <w:color w:val="FFFFFF"/>
        </w:rPr>
        <w:t>.</w:t>
      </w:r>
    </w:p>
    <w:p w14:paraId="3268032A" w14:textId="0D30201C" w:rsidR="00ED308D" w:rsidRPr="00CB7354" w:rsidRDefault="00B94F66" w:rsidP="000A01F6">
      <w:pPr>
        <w:tabs>
          <w:tab w:val="left" w:pos="2668"/>
        </w:tabs>
        <w:rPr>
          <w:color w:val="FFFFFF"/>
        </w:rPr>
      </w:pPr>
      <w:r w:rsidRPr="00CB7354">
        <w:rPr>
          <w:color w:val="FFFFFF"/>
        </w:rPr>
        <w:t>Th</w:t>
      </w:r>
      <w:r>
        <w:rPr>
          <w:color w:val="FFFFFF"/>
        </w:rPr>
        <w:t>is</w:t>
      </w:r>
      <w:r w:rsidR="00ED308D" w:rsidRPr="00CB7354">
        <w:rPr>
          <w:color w:val="FFFFFF"/>
        </w:rPr>
        <w:t xml:space="preserve"> </w:t>
      </w:r>
      <w:r w:rsidR="00651A86" w:rsidRPr="00CB7354">
        <w:rPr>
          <w:color w:val="FFFFFF"/>
        </w:rPr>
        <w:t>is a stocktake of</w:t>
      </w:r>
      <w:r w:rsidR="00ED308D" w:rsidRPr="00CB7354">
        <w:rPr>
          <w:color w:val="FFFFFF"/>
        </w:rPr>
        <w:t xml:space="preserve"> </w:t>
      </w:r>
      <w:r w:rsidR="00FF31F7" w:rsidRPr="00CB7354">
        <w:rPr>
          <w:color w:val="FFFFFF"/>
        </w:rPr>
        <w:t xml:space="preserve">publicly available reports </w:t>
      </w:r>
      <w:r w:rsidR="004923BA" w:rsidRPr="00CB7354">
        <w:rPr>
          <w:color w:val="FFFFFF"/>
        </w:rPr>
        <w:t>from</w:t>
      </w:r>
      <w:r w:rsidR="00626822" w:rsidRPr="00CB7354">
        <w:rPr>
          <w:color w:val="FFFFFF"/>
        </w:rPr>
        <w:t xml:space="preserve"> </w:t>
      </w:r>
      <w:r w:rsidR="00BD0AC8" w:rsidRPr="00CB7354">
        <w:rPr>
          <w:color w:val="FFFFFF"/>
        </w:rPr>
        <w:t xml:space="preserve">Commonwealth and </w:t>
      </w:r>
      <w:r w:rsidR="00626822" w:rsidRPr="00CB7354">
        <w:rPr>
          <w:color w:val="FFFFFF"/>
        </w:rPr>
        <w:t>Basin State</w:t>
      </w:r>
      <w:r w:rsidR="00A34DBE" w:rsidRPr="00CB7354">
        <w:rPr>
          <w:color w:val="FFFFFF"/>
        </w:rPr>
        <w:t xml:space="preserve"> agencies</w:t>
      </w:r>
      <w:r w:rsidR="00871DFC" w:rsidRPr="00CB7354">
        <w:rPr>
          <w:color w:val="FFFFFF"/>
        </w:rPr>
        <w:t xml:space="preserve"> </w:t>
      </w:r>
      <w:r w:rsidR="00FF31F7" w:rsidRPr="00CB7354">
        <w:rPr>
          <w:color w:val="FFFFFF"/>
        </w:rPr>
        <w:t xml:space="preserve">that </w:t>
      </w:r>
      <w:r w:rsidR="008F6011" w:rsidRPr="00CB7354">
        <w:rPr>
          <w:color w:val="FFFFFF"/>
        </w:rPr>
        <w:t xml:space="preserve">meet </w:t>
      </w:r>
      <w:r w:rsidR="00ED308D" w:rsidRPr="00CB7354">
        <w:rPr>
          <w:color w:val="FFFFFF"/>
        </w:rPr>
        <w:t xml:space="preserve">the </w:t>
      </w:r>
      <w:r w:rsidR="00901B5D" w:rsidRPr="00CB7354">
        <w:rPr>
          <w:color w:val="FFFFFF"/>
        </w:rPr>
        <w:t>monitoring and evaluation</w:t>
      </w:r>
      <w:r w:rsidR="00ED308D" w:rsidRPr="00CB7354">
        <w:rPr>
          <w:color w:val="FFFFFF"/>
        </w:rPr>
        <w:t xml:space="preserve"> requirements and obligations related to environmental outcomes, including </w:t>
      </w:r>
      <w:r w:rsidR="00BD0AC8" w:rsidRPr="00CB7354">
        <w:rPr>
          <w:color w:val="FFFFFF"/>
        </w:rPr>
        <w:t xml:space="preserve">for </w:t>
      </w:r>
      <w:r w:rsidR="00ED308D" w:rsidRPr="00CB7354">
        <w:rPr>
          <w:color w:val="FFFFFF"/>
        </w:rPr>
        <w:t>environmental water</w:t>
      </w:r>
      <w:r w:rsidR="00BD0AC8" w:rsidRPr="00CB7354">
        <w:rPr>
          <w:color w:val="FFFFFF"/>
        </w:rPr>
        <w:t>.</w:t>
      </w:r>
      <w:r w:rsidR="00ED308D" w:rsidRPr="00CB7354">
        <w:rPr>
          <w:color w:val="FFFFFF"/>
        </w:rPr>
        <w:t xml:space="preserve"> The scope </w:t>
      </w:r>
      <w:r w:rsidR="00A37F1C" w:rsidRPr="00CB7354">
        <w:rPr>
          <w:color w:val="FFFFFF"/>
        </w:rPr>
        <w:t>of the stocktake</w:t>
      </w:r>
      <w:r w:rsidR="00ED308D" w:rsidRPr="00CB7354">
        <w:rPr>
          <w:color w:val="FFFFFF"/>
        </w:rPr>
        <w:t xml:space="preserve"> focuses on </w:t>
      </w:r>
      <w:r w:rsidR="00756F90" w:rsidRPr="00CB7354">
        <w:rPr>
          <w:color w:val="FFFFFF"/>
        </w:rPr>
        <w:t>monitoring and evaluation reporting</w:t>
      </w:r>
      <w:r w:rsidR="00ED308D" w:rsidRPr="00CB7354">
        <w:rPr>
          <w:color w:val="FFFFFF"/>
        </w:rPr>
        <w:t xml:space="preserve"> related to Basin Plan</w:t>
      </w:r>
      <w:r w:rsidR="00401EBE">
        <w:rPr>
          <w:color w:val="FFFFFF"/>
        </w:rPr>
        <w:t xml:space="preserve"> </w:t>
      </w:r>
      <w:r w:rsidR="00ED308D" w:rsidRPr="00CB7354">
        <w:rPr>
          <w:color w:val="FFFFFF"/>
        </w:rPr>
        <w:t>environmental outcomes</w:t>
      </w:r>
      <w:r w:rsidR="006C1243">
        <w:rPr>
          <w:color w:val="FFFFFF"/>
        </w:rPr>
        <w:t xml:space="preserve">. </w:t>
      </w:r>
      <w:r w:rsidR="00D60A53" w:rsidRPr="00D60A53">
        <w:rPr>
          <w:color w:val="FFFFFF"/>
        </w:rPr>
        <w:t>It does not examine water allocation, compliance enforcement, socioeconomic impacts, or the effectiveness of specific policy measures</w:t>
      </w:r>
      <w:r w:rsidR="00D60A53">
        <w:rPr>
          <w:color w:val="FFFFFF"/>
        </w:rPr>
        <w:t>.</w:t>
      </w:r>
    </w:p>
    <w:p w14:paraId="24F4D891" w14:textId="71E8CF40" w:rsidR="0011038F" w:rsidRDefault="0011038F" w:rsidP="00B5666E">
      <w:pPr>
        <w:tabs>
          <w:tab w:val="left" w:pos="2668"/>
        </w:tabs>
        <w:rPr>
          <w:color w:val="FFFFFF"/>
        </w:rPr>
      </w:pPr>
      <w:bookmarkStart w:id="8" w:name="_Hlk195194409"/>
      <w:r>
        <w:rPr>
          <w:color w:val="FFFFFF"/>
        </w:rPr>
        <w:t xml:space="preserve">This stocktake </w:t>
      </w:r>
      <w:r w:rsidR="00ED308D" w:rsidRPr="00CB7354">
        <w:rPr>
          <w:color w:val="FFFFFF"/>
        </w:rPr>
        <w:t xml:space="preserve">does not draw conclusions about the environmental outcomes achieved </w:t>
      </w:r>
      <w:r w:rsidR="00414E5A" w:rsidRPr="00CB7354">
        <w:rPr>
          <w:color w:val="FFFFFF"/>
        </w:rPr>
        <w:t>or whether reporting obligations are being met</w:t>
      </w:r>
      <w:r w:rsidR="00BD65BE">
        <w:rPr>
          <w:color w:val="FFFFFF"/>
        </w:rPr>
        <w:t xml:space="preserve">, nor does it </w:t>
      </w:r>
      <w:r w:rsidR="00353B15">
        <w:rPr>
          <w:color w:val="FFFFFF"/>
        </w:rPr>
        <w:t>assess</w:t>
      </w:r>
      <w:r w:rsidR="00520CBE">
        <w:rPr>
          <w:color w:val="FFFFFF"/>
        </w:rPr>
        <w:t xml:space="preserve"> the contents of the reports</w:t>
      </w:r>
      <w:r w:rsidR="00ED308D" w:rsidRPr="00CB7354">
        <w:rPr>
          <w:color w:val="FFFFFF"/>
        </w:rPr>
        <w:t>. Instead, the</w:t>
      </w:r>
      <w:r>
        <w:rPr>
          <w:color w:val="FFFFFF"/>
        </w:rPr>
        <w:t xml:space="preserve"> stocktake </w:t>
      </w:r>
      <w:r w:rsidR="00056CD3">
        <w:rPr>
          <w:color w:val="FFFFFF"/>
        </w:rPr>
        <w:t>examines if</w:t>
      </w:r>
      <w:r>
        <w:rPr>
          <w:color w:val="FFFFFF"/>
        </w:rPr>
        <w:t xml:space="preserve"> there is a legislated framework in place for monitoring and evaluation reporting.</w:t>
      </w:r>
    </w:p>
    <w:p w14:paraId="05307A3A" w14:textId="77777777" w:rsidR="0011038F" w:rsidRDefault="0011038F" w:rsidP="00B5666E">
      <w:pPr>
        <w:tabs>
          <w:tab w:val="left" w:pos="2668"/>
        </w:tabs>
        <w:rPr>
          <w:color w:val="FFFFFF"/>
        </w:rPr>
      </w:pPr>
    </w:p>
    <w:p w14:paraId="0A04A7F3" w14:textId="1617BAFC" w:rsidR="00785875" w:rsidRDefault="00785875" w:rsidP="00473F5B">
      <w:pPr>
        <w:pStyle w:val="Heading1"/>
      </w:pPr>
      <w:bookmarkStart w:id="9" w:name="_Toc200716133"/>
      <w:bookmarkEnd w:id="8"/>
      <w:r>
        <w:lastRenderedPageBreak/>
        <w:t>Methods</w:t>
      </w:r>
      <w:bookmarkEnd w:id="9"/>
    </w:p>
    <w:p w14:paraId="5FEB5925" w14:textId="30C97884" w:rsidR="007B2D05" w:rsidRPr="00FC1B50" w:rsidRDefault="00B62BB7" w:rsidP="00B5666E">
      <w:pPr>
        <w:pStyle w:val="Heading2"/>
      </w:pPr>
      <w:bookmarkStart w:id="10" w:name="_Toc200716134"/>
      <w:r w:rsidRPr="00FC1B50">
        <w:t>Document collection</w:t>
      </w:r>
      <w:bookmarkEnd w:id="10"/>
    </w:p>
    <w:p w14:paraId="54EDC87F" w14:textId="7C23BA3E" w:rsidR="001B654F" w:rsidRPr="00FC1B50" w:rsidRDefault="004E0F70" w:rsidP="007F0A3F">
      <w:r w:rsidRPr="00FC1B50">
        <w:t>The</w:t>
      </w:r>
      <w:r w:rsidR="009B0DC6" w:rsidRPr="00FC1B50">
        <w:t xml:space="preserve"> Inspector</w:t>
      </w:r>
      <w:r w:rsidR="009E7FD4" w:rsidRPr="00FC1B50">
        <w:t>–</w:t>
      </w:r>
      <w:r w:rsidR="009B0DC6" w:rsidRPr="00FC1B50">
        <w:t xml:space="preserve">General </w:t>
      </w:r>
      <w:r w:rsidR="00AB3741" w:rsidRPr="00FC1B50">
        <w:t xml:space="preserve">commenced </w:t>
      </w:r>
      <w:r w:rsidR="00A330FC" w:rsidRPr="00FC1B50">
        <w:t>a stocktake on</w:t>
      </w:r>
      <w:r w:rsidR="009B0DC6" w:rsidRPr="00FC1B50">
        <w:t xml:space="preserve"> </w:t>
      </w:r>
      <w:r w:rsidR="00143D46" w:rsidRPr="00FC1B50">
        <w:t>monitoring</w:t>
      </w:r>
      <w:r w:rsidR="00AB3741" w:rsidRPr="00FC1B50">
        <w:t xml:space="preserve">, </w:t>
      </w:r>
      <w:r w:rsidR="00143D46" w:rsidRPr="00FC1B50">
        <w:t xml:space="preserve">evaluation </w:t>
      </w:r>
      <w:r w:rsidR="00AB3741" w:rsidRPr="00FC1B50">
        <w:t>and</w:t>
      </w:r>
      <w:r w:rsidR="00143D46" w:rsidRPr="00FC1B50">
        <w:t xml:space="preserve"> reporting of env</w:t>
      </w:r>
      <w:r w:rsidR="00097742" w:rsidRPr="00FC1B50">
        <w:t xml:space="preserve">ironmental outcomes </w:t>
      </w:r>
      <w:r w:rsidR="00F922F8" w:rsidRPr="00FC1B50">
        <w:t>available in the public domain</w:t>
      </w:r>
      <w:r w:rsidR="00E77A83" w:rsidRPr="00FC1B50">
        <w:t xml:space="preserve">. </w:t>
      </w:r>
      <w:r w:rsidR="000F6A91" w:rsidRPr="00FC1B50">
        <w:t>This stage</w:t>
      </w:r>
      <w:r w:rsidR="00115D6F" w:rsidRPr="00FC1B50">
        <w:t xml:space="preserve"> </w:t>
      </w:r>
      <w:r w:rsidR="001912E3" w:rsidRPr="00FC1B50">
        <w:t>spanned</w:t>
      </w:r>
      <w:r w:rsidR="00682887" w:rsidRPr="00FC1B50">
        <w:t xml:space="preserve"> from </w:t>
      </w:r>
      <w:r w:rsidR="00FB3C65" w:rsidRPr="00FC1B50">
        <w:t>July t</w:t>
      </w:r>
      <w:r w:rsidR="00EA59DC" w:rsidRPr="00FC1B50">
        <w:t xml:space="preserve">hrough to </w:t>
      </w:r>
      <w:r w:rsidR="00AC390E" w:rsidRPr="00FC1B50">
        <w:t>September</w:t>
      </w:r>
      <w:r w:rsidR="008B0AFB" w:rsidRPr="00FC1B50">
        <w:t xml:space="preserve"> 2024</w:t>
      </w:r>
      <w:r w:rsidR="002B366A" w:rsidRPr="00FC1B50">
        <w:t xml:space="preserve"> and involved navigating numerous </w:t>
      </w:r>
      <w:r w:rsidR="009309BE" w:rsidRPr="00FC1B50">
        <w:t xml:space="preserve">Commonwealth and </w:t>
      </w:r>
      <w:r w:rsidR="002B366A" w:rsidRPr="00FC1B50">
        <w:t xml:space="preserve">Basin State agency websites </w:t>
      </w:r>
      <w:r w:rsidR="00C2162E" w:rsidRPr="00FC1B50">
        <w:t>(</w:t>
      </w:r>
      <w:r w:rsidR="00C2162E" w:rsidRPr="00FC1B50">
        <w:fldChar w:fldCharType="begin"/>
      </w:r>
      <w:r w:rsidR="00C2162E" w:rsidRPr="00FC1B50">
        <w:instrText xml:space="preserve"> REF _Ref188277602 \h </w:instrText>
      </w:r>
      <w:r w:rsidR="00C2162E" w:rsidRPr="00FC1B50">
        <w:fldChar w:fldCharType="separate"/>
      </w:r>
      <w:r w:rsidR="00C2162E">
        <w:t xml:space="preserve">Table </w:t>
      </w:r>
      <w:r w:rsidR="00C2162E">
        <w:rPr>
          <w:noProof/>
        </w:rPr>
        <w:t>1</w:t>
      </w:r>
      <w:r w:rsidR="00C2162E" w:rsidRPr="00FC1B50">
        <w:fldChar w:fldCharType="end"/>
      </w:r>
      <w:r w:rsidR="00C2162E" w:rsidRPr="00FC1B50">
        <w:t xml:space="preserve">) </w:t>
      </w:r>
      <w:r w:rsidR="00254F79" w:rsidRPr="00FC1B50">
        <w:t xml:space="preserve">to identify relevant </w:t>
      </w:r>
      <w:r w:rsidR="00F3699F" w:rsidRPr="00FC1B50">
        <w:t xml:space="preserve">monitoring, </w:t>
      </w:r>
      <w:r w:rsidR="001B654F" w:rsidRPr="00FC1B50">
        <w:t>evaluation</w:t>
      </w:r>
      <w:r w:rsidR="00F3699F" w:rsidRPr="00FC1B50">
        <w:t xml:space="preserve"> and reporting</w:t>
      </w:r>
      <w:r w:rsidR="00D3189A" w:rsidRPr="00FC1B50">
        <w:t xml:space="preserve"> </w:t>
      </w:r>
      <w:r w:rsidR="00E6424E" w:rsidRPr="00FC1B50">
        <w:t>documents.</w:t>
      </w:r>
    </w:p>
    <w:p w14:paraId="025B11AE" w14:textId="6CAC9530" w:rsidR="00DD5870" w:rsidRPr="00FC1B50" w:rsidRDefault="001B654F" w:rsidP="007F0A3F">
      <w:r w:rsidRPr="00FC1B50">
        <w:t>Early in the process</w:t>
      </w:r>
      <w:r w:rsidR="00914980" w:rsidRPr="00FC1B50">
        <w:t>,</w:t>
      </w:r>
      <w:r w:rsidR="00E325DA" w:rsidRPr="00914980">
        <w:t xml:space="preserve"> it </w:t>
      </w:r>
      <w:r w:rsidR="00914980" w:rsidRPr="00914980">
        <w:t xml:space="preserve">became evident that many </w:t>
      </w:r>
      <w:r w:rsidR="007A19AA" w:rsidRPr="007A19AA">
        <w:t>reports</w:t>
      </w:r>
      <w:r w:rsidR="00EF2136">
        <w:t xml:space="preserve"> </w:t>
      </w:r>
      <w:r w:rsidR="00F70F62">
        <w:t xml:space="preserve">referenced </w:t>
      </w:r>
      <w:r w:rsidR="00914980" w:rsidRPr="00914980">
        <w:t xml:space="preserve">additional </w:t>
      </w:r>
      <w:r w:rsidR="004A098F">
        <w:t>technical reports or data</w:t>
      </w:r>
      <w:r w:rsidR="002D09B1">
        <w:t xml:space="preserve"> particularly at smaller, catchment-scale levels and across various monitoring indicators</w:t>
      </w:r>
      <w:r w:rsidR="00914980" w:rsidRPr="00914980">
        <w:t>, this resulted in larger-than-expected volume of reports and information. This complexity meant that</w:t>
      </w:r>
      <w:r w:rsidR="002D09B1">
        <w:t xml:space="preserve"> the focus </w:t>
      </w:r>
      <w:r w:rsidR="00914980" w:rsidRPr="00914980">
        <w:t xml:space="preserve">of the stocktake </w:t>
      </w:r>
      <w:r w:rsidR="00C56BE1">
        <w:t xml:space="preserve">was refined to </w:t>
      </w:r>
      <w:r w:rsidR="00914980" w:rsidRPr="00914980">
        <w:t>prioritise</w:t>
      </w:r>
      <w:r w:rsidR="00C56BE1">
        <w:t xml:space="preserve"> monitoring and evaluation</w:t>
      </w:r>
      <w:r w:rsidR="000C5739">
        <w:t xml:space="preserve"> </w:t>
      </w:r>
      <w:r w:rsidR="00D65631">
        <w:t>reporting</w:t>
      </w:r>
      <w:r w:rsidR="00914980" w:rsidRPr="00914980">
        <w:t xml:space="preserve"> related to environmental outcomes.</w:t>
      </w:r>
      <w:r w:rsidR="00914980" w:rsidRPr="00FC1B50">
        <w:t xml:space="preserve"> </w:t>
      </w:r>
      <w:r w:rsidR="008B40FD">
        <w:t xml:space="preserve">A </w:t>
      </w:r>
      <w:r w:rsidR="0003259B">
        <w:t xml:space="preserve">substantial amount of time and effort was invested </w:t>
      </w:r>
      <w:r w:rsidR="007A19AA" w:rsidRPr="007A19AA">
        <w:t>to ensure a comprehensive list was compiled</w:t>
      </w:r>
      <w:r w:rsidR="005B1320" w:rsidRPr="00FC1B50">
        <w:t>.</w:t>
      </w:r>
    </w:p>
    <w:p w14:paraId="2385F36D" w14:textId="4FA2538A" w:rsidR="00F21D79" w:rsidRPr="00FC1B50" w:rsidRDefault="00354963" w:rsidP="002155B0">
      <w:r w:rsidRPr="00FC1B50">
        <w:t xml:space="preserve">Reports </w:t>
      </w:r>
      <w:r w:rsidR="009A5149" w:rsidRPr="00FC1B50">
        <w:t>were c</w:t>
      </w:r>
      <w:r w:rsidR="00302568" w:rsidRPr="00FC1B50">
        <w:t xml:space="preserve">ollated </w:t>
      </w:r>
      <w:r w:rsidR="009A5149" w:rsidRPr="00FC1B50">
        <w:t>using</w:t>
      </w:r>
      <w:r w:rsidR="00302568" w:rsidRPr="00FC1B50">
        <w:t xml:space="preserve"> a spreadsheet </w:t>
      </w:r>
      <w:r w:rsidR="005E05CF" w:rsidRPr="00FC1B50">
        <w:t xml:space="preserve">which </w:t>
      </w:r>
      <w:r w:rsidR="00302568" w:rsidRPr="00FC1B50">
        <w:t>contain</w:t>
      </w:r>
      <w:r w:rsidR="005E05CF" w:rsidRPr="00FC1B50">
        <w:t>ed</w:t>
      </w:r>
      <w:r w:rsidR="00302568" w:rsidRPr="00FC1B50">
        <w:t xml:space="preserve"> the </w:t>
      </w:r>
      <w:r w:rsidR="00EF4DB1" w:rsidRPr="00FC1B50">
        <w:t xml:space="preserve">name of </w:t>
      </w:r>
      <w:r w:rsidR="0093491C" w:rsidRPr="00FC1B50">
        <w:t xml:space="preserve">the </w:t>
      </w:r>
      <w:r w:rsidR="00302568" w:rsidRPr="00FC1B50">
        <w:t>agency</w:t>
      </w:r>
      <w:r w:rsidR="0093491C" w:rsidRPr="00FC1B50">
        <w:t xml:space="preserve"> associated with the report</w:t>
      </w:r>
      <w:r w:rsidR="00302568" w:rsidRPr="00FC1B50">
        <w:t xml:space="preserve">, </w:t>
      </w:r>
      <w:r w:rsidR="00E17794" w:rsidRPr="00FC1B50">
        <w:t>report</w:t>
      </w:r>
      <w:r w:rsidR="00302568" w:rsidRPr="00FC1B50">
        <w:t xml:space="preserve"> </w:t>
      </w:r>
      <w:r w:rsidR="00EF4DB1" w:rsidRPr="00FC1B50">
        <w:t xml:space="preserve">title, </w:t>
      </w:r>
      <w:r w:rsidR="0093491C" w:rsidRPr="00FC1B50">
        <w:t xml:space="preserve">a brief </w:t>
      </w:r>
      <w:r w:rsidR="00EF4DB1" w:rsidRPr="00FC1B50">
        <w:t>description</w:t>
      </w:r>
      <w:r w:rsidR="0093491C" w:rsidRPr="00FC1B50">
        <w:t xml:space="preserve"> or </w:t>
      </w:r>
      <w:r w:rsidR="00EF4DB1" w:rsidRPr="00FC1B50">
        <w:t xml:space="preserve">purpose of </w:t>
      </w:r>
      <w:r w:rsidR="0093491C" w:rsidRPr="00FC1B50">
        <w:t xml:space="preserve">the </w:t>
      </w:r>
      <w:r w:rsidR="00EF4DB1" w:rsidRPr="00FC1B50">
        <w:t>report</w:t>
      </w:r>
      <w:r w:rsidR="00CD2808" w:rsidRPr="00FC1B50">
        <w:t>,</w:t>
      </w:r>
      <w:r w:rsidR="004B22F3" w:rsidRPr="00FC1B50">
        <w:t xml:space="preserve"> the</w:t>
      </w:r>
      <w:r w:rsidR="00EF4DB1" w:rsidRPr="00FC1B50">
        <w:t xml:space="preserve"> </w:t>
      </w:r>
      <w:r w:rsidR="00D6298C" w:rsidRPr="00FC1B50">
        <w:t xml:space="preserve">year of </w:t>
      </w:r>
      <w:r w:rsidR="00260505" w:rsidRPr="00FC1B50">
        <w:t xml:space="preserve">the </w:t>
      </w:r>
      <w:r w:rsidR="00D6298C" w:rsidRPr="00FC1B50">
        <w:t>most recent</w:t>
      </w:r>
      <w:r w:rsidR="00260505" w:rsidRPr="00FC1B50">
        <w:t>ly published</w:t>
      </w:r>
      <w:r w:rsidR="00D6298C" w:rsidRPr="00FC1B50">
        <w:t xml:space="preserve"> document and </w:t>
      </w:r>
      <w:r w:rsidR="00260505" w:rsidRPr="00FC1B50">
        <w:t xml:space="preserve">the </w:t>
      </w:r>
      <w:r w:rsidR="00D6298C" w:rsidRPr="00FC1B50">
        <w:t>document</w:t>
      </w:r>
      <w:r w:rsidR="00260505" w:rsidRPr="00FC1B50">
        <w:t>’s</w:t>
      </w:r>
      <w:r w:rsidR="00D6298C" w:rsidRPr="00FC1B50">
        <w:t xml:space="preserve"> location</w:t>
      </w:r>
      <w:r w:rsidR="002246E4">
        <w:t xml:space="preserve">, matter reporting and </w:t>
      </w:r>
      <w:r w:rsidR="000D090A">
        <w:t xml:space="preserve">public </w:t>
      </w:r>
      <w:r w:rsidR="00CB4382">
        <w:t>availability</w:t>
      </w:r>
      <w:r w:rsidR="00E8445D" w:rsidRPr="00FC1B50">
        <w:t xml:space="preserve"> (</w:t>
      </w:r>
      <w:r w:rsidR="001E09BC" w:rsidRPr="00FC1B50">
        <w:fldChar w:fldCharType="begin"/>
      </w:r>
      <w:r w:rsidR="001E09BC" w:rsidRPr="00FC1B50">
        <w:instrText xml:space="preserve"> REF _Ref189058090 \h </w:instrText>
      </w:r>
      <w:r w:rsidR="001E09BC" w:rsidRPr="00FC1B50">
        <w:fldChar w:fldCharType="separate"/>
      </w:r>
      <w:r w:rsidR="001E09BC">
        <w:t xml:space="preserve">Table </w:t>
      </w:r>
      <w:r w:rsidR="001E09BC">
        <w:rPr>
          <w:noProof/>
        </w:rPr>
        <w:t>2</w:t>
      </w:r>
      <w:r w:rsidR="001E09BC" w:rsidRPr="00FC1B50">
        <w:fldChar w:fldCharType="end"/>
      </w:r>
      <w:r w:rsidR="00E8445D" w:rsidRPr="00FC1B50">
        <w:t>)</w:t>
      </w:r>
      <w:r w:rsidR="00D6298C" w:rsidRPr="00FC1B50">
        <w:t>.</w:t>
      </w:r>
    </w:p>
    <w:p w14:paraId="1CEE0368" w14:textId="6A76307E" w:rsidR="006E2B72" w:rsidRPr="00FC1B50" w:rsidRDefault="006E2B72" w:rsidP="002155B0">
      <w:r w:rsidRPr="006E2B72">
        <w:t>Commonwealth and Basin State agencies were contacted to obtain further information and verify the completeness of the stocktake.</w:t>
      </w:r>
    </w:p>
    <w:p w14:paraId="563C4A23" w14:textId="79B71DF1" w:rsidR="00271DE0" w:rsidRDefault="00CF7F8E" w:rsidP="00A878F1">
      <w:pPr>
        <w:pStyle w:val="TableHeading"/>
      </w:pPr>
      <w:bookmarkStart w:id="11" w:name="_Ref188277602"/>
      <w:bookmarkStart w:id="12" w:name="_Ref188003645"/>
      <w:bookmarkStart w:id="13" w:name="_Toc200716144"/>
      <w:r>
        <w:t xml:space="preserve">Table </w:t>
      </w:r>
      <w:r w:rsidR="00715662">
        <w:fldChar w:fldCharType="begin"/>
      </w:r>
      <w:r w:rsidR="00715662">
        <w:instrText xml:space="preserve"> SEQ Table \* ARABIC </w:instrText>
      </w:r>
      <w:r w:rsidR="00715662">
        <w:fldChar w:fldCharType="separate"/>
      </w:r>
      <w:r w:rsidR="00715662">
        <w:rPr>
          <w:noProof/>
        </w:rPr>
        <w:t>1</w:t>
      </w:r>
      <w:r w:rsidR="00715662">
        <w:rPr>
          <w:noProof/>
        </w:rPr>
        <w:fldChar w:fldCharType="end"/>
      </w:r>
      <w:bookmarkEnd w:id="11"/>
      <w:bookmarkEnd w:id="12"/>
      <w:r>
        <w:t xml:space="preserve">. </w:t>
      </w:r>
      <w:r w:rsidR="00271DE0" w:rsidRPr="00B7619E">
        <w:t>List of agencies from which documents and reports were collected for the stocktake</w:t>
      </w:r>
      <w:r w:rsidR="00271DE0">
        <w:t>.</w:t>
      </w:r>
      <w:bookmarkEnd w:id="13"/>
    </w:p>
    <w:tbl>
      <w:tblPr>
        <w:tblStyle w:val="TableGridLight"/>
        <w:tblW w:w="9923" w:type="dxa"/>
        <w:tblLayout w:type="fixed"/>
        <w:tblLook w:val="04A0" w:firstRow="1" w:lastRow="0" w:firstColumn="1" w:lastColumn="0" w:noHBand="0" w:noVBand="1"/>
      </w:tblPr>
      <w:tblGrid>
        <w:gridCol w:w="2835"/>
        <w:gridCol w:w="1985"/>
        <w:gridCol w:w="2410"/>
        <w:gridCol w:w="2693"/>
      </w:tblGrid>
      <w:tr w:rsidR="002E393E" w14:paraId="429C446A" w14:textId="77777777" w:rsidTr="005E22A3">
        <w:trPr>
          <w:cnfStyle w:val="100000000000" w:firstRow="1" w:lastRow="0" w:firstColumn="0" w:lastColumn="0" w:oddVBand="0" w:evenVBand="0" w:oddHBand="0" w:evenHBand="0" w:firstRowFirstColumn="0" w:firstRowLastColumn="0" w:lastRowFirstColumn="0" w:lastRowLastColumn="0"/>
          <w:tblHeader/>
        </w:trPr>
        <w:tc>
          <w:tcPr>
            <w:tcW w:w="2835" w:type="dxa"/>
          </w:tcPr>
          <w:p w14:paraId="61F5081D" w14:textId="77777777" w:rsidR="00271DE0" w:rsidRPr="00FC1B50" w:rsidRDefault="00271DE0" w:rsidP="00A878F1">
            <w:pPr>
              <w:pStyle w:val="TableHeader"/>
            </w:pPr>
            <w:r w:rsidRPr="00FC1B50">
              <w:t>Agency name</w:t>
            </w:r>
          </w:p>
        </w:tc>
        <w:tc>
          <w:tcPr>
            <w:tcW w:w="1985" w:type="dxa"/>
          </w:tcPr>
          <w:p w14:paraId="104533DA" w14:textId="77777777" w:rsidR="00271DE0" w:rsidRPr="00FC1B50" w:rsidRDefault="00271DE0" w:rsidP="00A878F1">
            <w:pPr>
              <w:pStyle w:val="TableHeader"/>
            </w:pPr>
            <w:r w:rsidRPr="00FC1B50">
              <w:t>Abbreviation</w:t>
            </w:r>
          </w:p>
        </w:tc>
        <w:tc>
          <w:tcPr>
            <w:tcW w:w="2410" w:type="dxa"/>
          </w:tcPr>
          <w:p w14:paraId="49E2FA93" w14:textId="77777777" w:rsidR="00271DE0" w:rsidRPr="00FC1B50" w:rsidRDefault="00271DE0" w:rsidP="00A878F1">
            <w:pPr>
              <w:pStyle w:val="TableHeader"/>
            </w:pPr>
            <w:r w:rsidRPr="00FC1B50">
              <w:t>Commonwealth or Basin State agency</w:t>
            </w:r>
          </w:p>
        </w:tc>
        <w:tc>
          <w:tcPr>
            <w:tcW w:w="2693" w:type="dxa"/>
          </w:tcPr>
          <w:p w14:paraId="23B3C514" w14:textId="7581A372" w:rsidR="00271DE0" w:rsidRPr="00FC1B50" w:rsidRDefault="00271DE0" w:rsidP="00A878F1">
            <w:pPr>
              <w:pStyle w:val="TableHeader"/>
            </w:pPr>
            <w:r w:rsidRPr="00FC1B50">
              <w:t>Agency homepage</w:t>
            </w:r>
          </w:p>
        </w:tc>
      </w:tr>
      <w:tr w:rsidR="002E393E" w14:paraId="7B0F61D7" w14:textId="77777777" w:rsidTr="005E22A3">
        <w:tc>
          <w:tcPr>
            <w:tcW w:w="2835" w:type="dxa"/>
          </w:tcPr>
          <w:p w14:paraId="7FF98087" w14:textId="19302CF3" w:rsidR="00271DE0" w:rsidRPr="00FC1B50" w:rsidRDefault="00271DE0">
            <w:r w:rsidRPr="00FC1B50">
              <w:t xml:space="preserve">Commonwealth Department of Climate Change, </w:t>
            </w:r>
            <w:r w:rsidR="00585D23">
              <w:t>Energy, the Environment and Water</w:t>
            </w:r>
          </w:p>
        </w:tc>
        <w:tc>
          <w:tcPr>
            <w:tcW w:w="1985" w:type="dxa"/>
          </w:tcPr>
          <w:p w14:paraId="21C4BC12" w14:textId="77777777" w:rsidR="00271DE0" w:rsidRPr="00FC1B50" w:rsidRDefault="00271DE0" w:rsidP="00B5666E">
            <w:pPr>
              <w:jc w:val="center"/>
            </w:pPr>
            <w:r w:rsidRPr="00FC1B50">
              <w:t>Commonwealth DCCEEW</w:t>
            </w:r>
          </w:p>
        </w:tc>
        <w:tc>
          <w:tcPr>
            <w:tcW w:w="2410" w:type="dxa"/>
          </w:tcPr>
          <w:p w14:paraId="136FD04A" w14:textId="77777777" w:rsidR="00271DE0" w:rsidRPr="00FC1B50" w:rsidRDefault="00271DE0" w:rsidP="00B5666E">
            <w:pPr>
              <w:jc w:val="center"/>
            </w:pPr>
            <w:r w:rsidRPr="00FC1B50">
              <w:t>Commonwealth</w:t>
            </w:r>
          </w:p>
        </w:tc>
        <w:tc>
          <w:tcPr>
            <w:tcW w:w="2693" w:type="dxa"/>
          </w:tcPr>
          <w:p w14:paraId="439660E1" w14:textId="4A5C4D8B" w:rsidR="00271DE0" w:rsidRPr="00FC1B50" w:rsidRDefault="3564E46C" w:rsidP="00102CBF">
            <w:pPr>
              <w:jc w:val="center"/>
            </w:pPr>
            <w:hyperlink r:id="rId24">
              <w:r w:rsidRPr="00FC1B50">
                <w:rPr>
                  <w:rStyle w:val="Hyperlink"/>
                </w:rPr>
                <w:t>DCCEEW Website Homepage</w:t>
              </w:r>
            </w:hyperlink>
          </w:p>
        </w:tc>
      </w:tr>
      <w:tr w:rsidR="002E393E" w14:paraId="04C5E8AC" w14:textId="77777777" w:rsidTr="005E22A3">
        <w:tc>
          <w:tcPr>
            <w:tcW w:w="2835" w:type="dxa"/>
          </w:tcPr>
          <w:p w14:paraId="18296799" w14:textId="1D5AEF6B" w:rsidR="00271DE0" w:rsidRPr="00FC1B50" w:rsidRDefault="00271DE0">
            <w:r w:rsidRPr="00FC1B50">
              <w:t>Murray</w:t>
            </w:r>
            <w:r w:rsidR="00F85DBC">
              <w:t>–</w:t>
            </w:r>
            <w:r w:rsidRPr="00FC1B50">
              <w:t>Darling Basin Authority</w:t>
            </w:r>
          </w:p>
        </w:tc>
        <w:tc>
          <w:tcPr>
            <w:tcW w:w="1985" w:type="dxa"/>
          </w:tcPr>
          <w:p w14:paraId="0778210B" w14:textId="77777777" w:rsidR="00271DE0" w:rsidRPr="00FC1B50" w:rsidRDefault="00271DE0" w:rsidP="00B5666E">
            <w:pPr>
              <w:jc w:val="center"/>
            </w:pPr>
            <w:r w:rsidRPr="00FC1B50">
              <w:t>MDBA</w:t>
            </w:r>
          </w:p>
        </w:tc>
        <w:tc>
          <w:tcPr>
            <w:tcW w:w="2410" w:type="dxa"/>
          </w:tcPr>
          <w:p w14:paraId="269848E9" w14:textId="77777777" w:rsidR="00271DE0" w:rsidRPr="00FC1B50" w:rsidRDefault="00271DE0" w:rsidP="00B5666E">
            <w:pPr>
              <w:jc w:val="center"/>
            </w:pPr>
            <w:r w:rsidRPr="00FC1B50">
              <w:t>Commonwealth</w:t>
            </w:r>
          </w:p>
        </w:tc>
        <w:tc>
          <w:tcPr>
            <w:tcW w:w="2693" w:type="dxa"/>
          </w:tcPr>
          <w:p w14:paraId="3B31E90A" w14:textId="7BDEE42A" w:rsidR="00271DE0" w:rsidRPr="00FC1B50" w:rsidRDefault="3564E46C" w:rsidP="00102CBF">
            <w:pPr>
              <w:jc w:val="center"/>
            </w:pPr>
            <w:hyperlink r:id="rId25">
              <w:r w:rsidRPr="00FC1B50">
                <w:rPr>
                  <w:rStyle w:val="Hyperlink"/>
                </w:rPr>
                <w:t>MDBA Website Homepage</w:t>
              </w:r>
            </w:hyperlink>
          </w:p>
        </w:tc>
      </w:tr>
      <w:tr w:rsidR="002E393E" w14:paraId="12895941" w14:textId="77777777" w:rsidTr="005E22A3">
        <w:tc>
          <w:tcPr>
            <w:tcW w:w="2835" w:type="dxa"/>
          </w:tcPr>
          <w:p w14:paraId="377BBF43" w14:textId="7C91AF5C" w:rsidR="00271DE0" w:rsidRPr="00FC1B50" w:rsidRDefault="00271DE0">
            <w:r w:rsidRPr="00FC1B50">
              <w:t xml:space="preserve">NSW Department of Climate Change, </w:t>
            </w:r>
            <w:r w:rsidR="00585D23">
              <w:t>Energy, the Environment and Water</w:t>
            </w:r>
          </w:p>
        </w:tc>
        <w:tc>
          <w:tcPr>
            <w:tcW w:w="1985" w:type="dxa"/>
          </w:tcPr>
          <w:p w14:paraId="216550B2" w14:textId="77777777" w:rsidR="00271DE0" w:rsidRPr="00FC1B50" w:rsidRDefault="00271DE0" w:rsidP="00B5666E">
            <w:pPr>
              <w:jc w:val="center"/>
            </w:pPr>
            <w:r w:rsidRPr="00FC1B50">
              <w:t>NSW DCCEEW</w:t>
            </w:r>
          </w:p>
        </w:tc>
        <w:tc>
          <w:tcPr>
            <w:tcW w:w="2410" w:type="dxa"/>
          </w:tcPr>
          <w:p w14:paraId="46D590F5" w14:textId="77777777" w:rsidR="00271DE0" w:rsidRPr="00FC1B50" w:rsidRDefault="00271DE0" w:rsidP="00B5666E">
            <w:pPr>
              <w:jc w:val="center"/>
            </w:pPr>
            <w:r w:rsidRPr="00FC1B50">
              <w:t>New South Wales</w:t>
            </w:r>
          </w:p>
        </w:tc>
        <w:tc>
          <w:tcPr>
            <w:tcW w:w="2693" w:type="dxa"/>
          </w:tcPr>
          <w:p w14:paraId="0A26EE1C" w14:textId="669D433D" w:rsidR="00271DE0" w:rsidRPr="00FC1B50" w:rsidRDefault="62253F00" w:rsidP="00102CBF">
            <w:pPr>
              <w:jc w:val="center"/>
            </w:pPr>
            <w:hyperlink r:id="rId26">
              <w:r w:rsidRPr="00FC1B50">
                <w:rPr>
                  <w:rStyle w:val="Hyperlink"/>
                </w:rPr>
                <w:t>NSW Website Homepage</w:t>
              </w:r>
            </w:hyperlink>
          </w:p>
        </w:tc>
      </w:tr>
      <w:tr w:rsidR="002E393E" w14:paraId="49DF58AE" w14:textId="77777777" w:rsidTr="005E22A3">
        <w:tc>
          <w:tcPr>
            <w:tcW w:w="2835" w:type="dxa"/>
          </w:tcPr>
          <w:p w14:paraId="3A31C51E" w14:textId="77777777" w:rsidR="00271DE0" w:rsidRPr="00FC1B50" w:rsidRDefault="00271DE0">
            <w:r w:rsidRPr="00FC1B50">
              <w:t>Department of Energy, Environment and Climate Action</w:t>
            </w:r>
          </w:p>
        </w:tc>
        <w:tc>
          <w:tcPr>
            <w:tcW w:w="1985" w:type="dxa"/>
          </w:tcPr>
          <w:p w14:paraId="2263D3B6" w14:textId="77777777" w:rsidR="00271DE0" w:rsidRPr="00FC1B50" w:rsidRDefault="00271DE0" w:rsidP="00B5666E">
            <w:pPr>
              <w:jc w:val="center"/>
            </w:pPr>
            <w:r w:rsidRPr="00FC1B50">
              <w:t>DEECA</w:t>
            </w:r>
          </w:p>
        </w:tc>
        <w:tc>
          <w:tcPr>
            <w:tcW w:w="2410" w:type="dxa"/>
          </w:tcPr>
          <w:p w14:paraId="6ABDAF5A" w14:textId="77777777" w:rsidR="00271DE0" w:rsidRPr="00FC1B50" w:rsidRDefault="00271DE0" w:rsidP="00B5666E">
            <w:pPr>
              <w:jc w:val="center"/>
            </w:pPr>
            <w:r w:rsidRPr="00FC1B50">
              <w:t>Victoria</w:t>
            </w:r>
          </w:p>
        </w:tc>
        <w:tc>
          <w:tcPr>
            <w:tcW w:w="2693" w:type="dxa"/>
          </w:tcPr>
          <w:p w14:paraId="09FCFF6B" w14:textId="1E6DA53A" w:rsidR="00271DE0" w:rsidRPr="00FC1B50" w:rsidRDefault="62253F00" w:rsidP="00102CBF">
            <w:pPr>
              <w:jc w:val="center"/>
            </w:pPr>
            <w:hyperlink r:id="rId27">
              <w:r w:rsidRPr="00FC1B50">
                <w:rPr>
                  <w:rStyle w:val="Hyperlink"/>
                </w:rPr>
                <w:t>Victoria Website Homepage</w:t>
              </w:r>
            </w:hyperlink>
          </w:p>
        </w:tc>
      </w:tr>
      <w:tr w:rsidR="002E393E" w14:paraId="071D53BB" w14:textId="77777777" w:rsidTr="005E22A3">
        <w:tc>
          <w:tcPr>
            <w:tcW w:w="2835" w:type="dxa"/>
          </w:tcPr>
          <w:p w14:paraId="1859D684" w14:textId="4686437C" w:rsidR="00271DE0" w:rsidRPr="00FC1B50" w:rsidRDefault="00304865">
            <w:r w:rsidRPr="00FC1B50">
              <w:t>Department of Local Government, Water and Volunteers</w:t>
            </w:r>
          </w:p>
        </w:tc>
        <w:tc>
          <w:tcPr>
            <w:tcW w:w="1985" w:type="dxa"/>
          </w:tcPr>
          <w:p w14:paraId="49874E7C" w14:textId="14F08604" w:rsidR="00271DE0" w:rsidRPr="00FC1B50" w:rsidRDefault="00304865" w:rsidP="00B5666E">
            <w:pPr>
              <w:jc w:val="center"/>
            </w:pPr>
            <w:r w:rsidRPr="00FC1B50">
              <w:t>D</w:t>
            </w:r>
            <w:r w:rsidR="000D090A">
              <w:t>LGWV</w:t>
            </w:r>
          </w:p>
        </w:tc>
        <w:tc>
          <w:tcPr>
            <w:tcW w:w="2410" w:type="dxa"/>
          </w:tcPr>
          <w:p w14:paraId="66DABE4A" w14:textId="0B02CAF3" w:rsidR="00271DE0" w:rsidRPr="00FC1B50" w:rsidRDefault="00304865" w:rsidP="00B5666E">
            <w:pPr>
              <w:jc w:val="center"/>
            </w:pPr>
            <w:r w:rsidRPr="00FC1B50">
              <w:t>Queensland</w:t>
            </w:r>
          </w:p>
        </w:tc>
        <w:tc>
          <w:tcPr>
            <w:tcW w:w="2693" w:type="dxa"/>
          </w:tcPr>
          <w:p w14:paraId="70C31584" w14:textId="256EBBD4" w:rsidR="00271DE0" w:rsidRPr="00FC1B50" w:rsidRDefault="62253F00" w:rsidP="00102CBF">
            <w:pPr>
              <w:jc w:val="center"/>
            </w:pPr>
            <w:hyperlink r:id="rId28">
              <w:r w:rsidRPr="00FC1B50">
                <w:rPr>
                  <w:rStyle w:val="Hyperlink"/>
                </w:rPr>
                <w:t>QLD Website Homepage</w:t>
              </w:r>
            </w:hyperlink>
          </w:p>
        </w:tc>
      </w:tr>
      <w:tr w:rsidR="002E393E" w14:paraId="5261C729" w14:textId="77777777" w:rsidTr="005E22A3">
        <w:tc>
          <w:tcPr>
            <w:tcW w:w="2835" w:type="dxa"/>
          </w:tcPr>
          <w:p w14:paraId="0B21DA45" w14:textId="1FBACA7F" w:rsidR="00271DE0" w:rsidRPr="00FC1B50" w:rsidRDefault="00304865">
            <w:r w:rsidRPr="00FC1B50">
              <w:t>Department for Environment and Water</w:t>
            </w:r>
          </w:p>
        </w:tc>
        <w:tc>
          <w:tcPr>
            <w:tcW w:w="1985" w:type="dxa"/>
          </w:tcPr>
          <w:p w14:paraId="2CBF386C" w14:textId="7C981C7C" w:rsidR="00271DE0" w:rsidRPr="00FC1B50" w:rsidRDefault="00304865" w:rsidP="00B5666E">
            <w:pPr>
              <w:jc w:val="center"/>
            </w:pPr>
            <w:r w:rsidRPr="00FC1B50">
              <w:t>DEW</w:t>
            </w:r>
          </w:p>
        </w:tc>
        <w:tc>
          <w:tcPr>
            <w:tcW w:w="2410" w:type="dxa"/>
          </w:tcPr>
          <w:p w14:paraId="3EE45948" w14:textId="3356087D" w:rsidR="00271DE0" w:rsidRPr="00FC1B50" w:rsidRDefault="00304865" w:rsidP="00B5666E">
            <w:pPr>
              <w:jc w:val="center"/>
            </w:pPr>
            <w:r w:rsidRPr="00FC1B50">
              <w:t>South Australia</w:t>
            </w:r>
          </w:p>
        </w:tc>
        <w:tc>
          <w:tcPr>
            <w:tcW w:w="2693" w:type="dxa"/>
          </w:tcPr>
          <w:p w14:paraId="5941F506" w14:textId="7989FC5A" w:rsidR="00271DE0" w:rsidRPr="00FC1B50" w:rsidRDefault="0D5F6E60" w:rsidP="00102CBF">
            <w:pPr>
              <w:jc w:val="center"/>
            </w:pPr>
            <w:hyperlink r:id="rId29">
              <w:r w:rsidRPr="00FC1B50">
                <w:rPr>
                  <w:rStyle w:val="Hyperlink"/>
                </w:rPr>
                <w:t>SA Website Homepage</w:t>
              </w:r>
            </w:hyperlink>
          </w:p>
        </w:tc>
      </w:tr>
      <w:tr w:rsidR="00304865" w14:paraId="41E84907" w14:textId="77777777" w:rsidTr="005E22A3">
        <w:tc>
          <w:tcPr>
            <w:tcW w:w="2835" w:type="dxa"/>
          </w:tcPr>
          <w:p w14:paraId="2C624267" w14:textId="4C9D4CF6" w:rsidR="00304865" w:rsidRPr="00FC1B50" w:rsidRDefault="00304865" w:rsidP="005E22A3">
            <w:r w:rsidRPr="00FC1B50">
              <w:t>Environment, Planning and Sustainable Development Directorate</w:t>
            </w:r>
          </w:p>
        </w:tc>
        <w:tc>
          <w:tcPr>
            <w:tcW w:w="1985" w:type="dxa"/>
          </w:tcPr>
          <w:p w14:paraId="509A2F3E" w14:textId="499E5335" w:rsidR="00304865" w:rsidRPr="00FC1B50" w:rsidRDefault="00304865" w:rsidP="00304865">
            <w:pPr>
              <w:jc w:val="center"/>
            </w:pPr>
            <w:r w:rsidRPr="00FC1B50">
              <w:t>EPSDD</w:t>
            </w:r>
          </w:p>
        </w:tc>
        <w:tc>
          <w:tcPr>
            <w:tcW w:w="2410" w:type="dxa"/>
          </w:tcPr>
          <w:p w14:paraId="46133334" w14:textId="59EAE9ED" w:rsidR="00304865" w:rsidRPr="00FC1B50" w:rsidRDefault="00304865" w:rsidP="00304865">
            <w:pPr>
              <w:jc w:val="center"/>
            </w:pPr>
            <w:r w:rsidRPr="00FC1B50">
              <w:t>Australian Capital Territory</w:t>
            </w:r>
          </w:p>
        </w:tc>
        <w:tc>
          <w:tcPr>
            <w:tcW w:w="2693" w:type="dxa"/>
          </w:tcPr>
          <w:p w14:paraId="69A03398" w14:textId="5BF42DA8" w:rsidR="00304865" w:rsidRDefault="006D2873" w:rsidP="00102CBF">
            <w:pPr>
              <w:jc w:val="center"/>
            </w:pPr>
            <w:hyperlink r:id="rId30" w:history="1">
              <w:r>
                <w:rPr>
                  <w:rStyle w:val="Hyperlink"/>
                </w:rPr>
                <w:t>ACT Website Homepage</w:t>
              </w:r>
            </w:hyperlink>
          </w:p>
        </w:tc>
      </w:tr>
    </w:tbl>
    <w:p w14:paraId="2FDA4965" w14:textId="7B69C170" w:rsidR="00CF7F8E" w:rsidRDefault="00CF7F8E" w:rsidP="00A878F1">
      <w:pPr>
        <w:pStyle w:val="TableHeading"/>
      </w:pPr>
      <w:bookmarkStart w:id="14" w:name="_Ref189058090"/>
      <w:bookmarkStart w:id="15" w:name="_Toc200716145"/>
      <w:r>
        <w:lastRenderedPageBreak/>
        <w:t xml:space="preserve">Table </w:t>
      </w:r>
      <w:r w:rsidR="00715662">
        <w:fldChar w:fldCharType="begin"/>
      </w:r>
      <w:r w:rsidR="00715662">
        <w:instrText xml:space="preserve"> SEQ Table \* ARABIC </w:instrText>
      </w:r>
      <w:r w:rsidR="00715662">
        <w:fldChar w:fldCharType="separate"/>
      </w:r>
      <w:r w:rsidR="00715662">
        <w:rPr>
          <w:noProof/>
        </w:rPr>
        <w:t>2</w:t>
      </w:r>
      <w:r w:rsidR="00715662">
        <w:rPr>
          <w:noProof/>
        </w:rPr>
        <w:fldChar w:fldCharType="end"/>
      </w:r>
      <w:bookmarkEnd w:id="14"/>
      <w:r>
        <w:t>. Description of spreadsheet headings provided to respondents and used to request information.</w:t>
      </w:r>
      <w:bookmarkEnd w:id="15"/>
    </w:p>
    <w:tbl>
      <w:tblPr>
        <w:tblStyle w:val="TableGridLight"/>
        <w:tblW w:w="5000" w:type="pct"/>
        <w:tblLook w:val="04A0" w:firstRow="1" w:lastRow="0" w:firstColumn="1" w:lastColumn="0" w:noHBand="0" w:noVBand="1"/>
      </w:tblPr>
      <w:tblGrid>
        <w:gridCol w:w="3969"/>
        <w:gridCol w:w="5669"/>
      </w:tblGrid>
      <w:tr w:rsidR="00CF7F8E" w14:paraId="638D652E" w14:textId="77777777" w:rsidTr="00B27D43">
        <w:trPr>
          <w:cnfStyle w:val="100000000000" w:firstRow="1" w:lastRow="0" w:firstColumn="0" w:lastColumn="0" w:oddVBand="0" w:evenVBand="0" w:oddHBand="0" w:evenHBand="0" w:firstRowFirstColumn="0" w:firstRowLastColumn="0" w:lastRowFirstColumn="0" w:lastRowLastColumn="0"/>
          <w:trHeight w:val="300"/>
          <w:tblHeader/>
        </w:trPr>
        <w:tc>
          <w:tcPr>
            <w:tcW w:w="2059" w:type="pct"/>
          </w:tcPr>
          <w:p w14:paraId="643E7BAF" w14:textId="77777777" w:rsidR="00CF7F8E" w:rsidRPr="001D69F9" w:rsidRDefault="00CF7F8E" w:rsidP="00A878F1">
            <w:pPr>
              <w:pStyle w:val="TableHeader"/>
              <w:rPr>
                <w:b w:val="0"/>
                <w:bCs/>
                <w:color w:val="E7E6E6" w:themeColor="background2"/>
              </w:rPr>
            </w:pPr>
            <w:r w:rsidRPr="00FC1B50">
              <w:t>Heading</w:t>
            </w:r>
          </w:p>
        </w:tc>
        <w:tc>
          <w:tcPr>
            <w:tcW w:w="2941" w:type="pct"/>
          </w:tcPr>
          <w:p w14:paraId="4C1BDA2A" w14:textId="77777777" w:rsidR="00CF7F8E" w:rsidRPr="001D69F9" w:rsidRDefault="00CF7F8E" w:rsidP="00A878F1">
            <w:pPr>
              <w:pStyle w:val="TableHeader"/>
              <w:rPr>
                <w:b w:val="0"/>
                <w:bCs/>
                <w:color w:val="E7E6E6" w:themeColor="background2"/>
              </w:rPr>
            </w:pPr>
            <w:r w:rsidRPr="00FC1B50">
              <w:t>Explanation</w:t>
            </w:r>
          </w:p>
        </w:tc>
      </w:tr>
      <w:tr w:rsidR="00CF7F8E" w14:paraId="6A81A27A" w14:textId="77777777" w:rsidTr="00B27D43">
        <w:trPr>
          <w:trHeight w:val="300"/>
        </w:trPr>
        <w:tc>
          <w:tcPr>
            <w:tcW w:w="2059" w:type="pct"/>
          </w:tcPr>
          <w:p w14:paraId="426F9371" w14:textId="77777777" w:rsidR="00CF7F8E" w:rsidRDefault="00CF7F8E">
            <w:r>
              <w:t>Agency</w:t>
            </w:r>
          </w:p>
        </w:tc>
        <w:tc>
          <w:tcPr>
            <w:tcW w:w="2941" w:type="pct"/>
          </w:tcPr>
          <w:p w14:paraId="172B7C53" w14:textId="53BEF669" w:rsidR="00497E76" w:rsidRDefault="00CF7F8E">
            <w:r>
              <w:t>The business or organisation associated with the report.</w:t>
            </w:r>
            <w:r w:rsidR="00DE0601">
              <w:t xml:space="preserve"> </w:t>
            </w:r>
          </w:p>
          <w:p w14:paraId="15A15D36" w14:textId="5FFFF6D4" w:rsidR="00CF7F8E" w:rsidRDefault="00CF7F8E">
            <w:r>
              <w:t>This report reflects agency names at the time of publication. Please note that agency names may change over time, so earlier monitoring and evaluation reports may reference agencies under different names.</w:t>
            </w:r>
          </w:p>
        </w:tc>
      </w:tr>
      <w:tr w:rsidR="00CF7F8E" w14:paraId="4F6C0700" w14:textId="77777777" w:rsidTr="00B27D43">
        <w:trPr>
          <w:trHeight w:val="300"/>
        </w:trPr>
        <w:tc>
          <w:tcPr>
            <w:tcW w:w="2059" w:type="pct"/>
          </w:tcPr>
          <w:p w14:paraId="0A431590" w14:textId="77777777" w:rsidR="00CF7F8E" w:rsidRDefault="00CF7F8E">
            <w:r>
              <w:t>Report Title</w:t>
            </w:r>
          </w:p>
        </w:tc>
        <w:tc>
          <w:tcPr>
            <w:tcW w:w="2941" w:type="pct"/>
          </w:tcPr>
          <w:p w14:paraId="4A9EF6B9" w14:textId="42C23049" w:rsidR="00CF7F8E" w:rsidRDefault="00CF7F8E">
            <w:r>
              <w:t>Name of document</w:t>
            </w:r>
            <w:r w:rsidR="00F565FF">
              <w:t>.</w:t>
            </w:r>
          </w:p>
        </w:tc>
      </w:tr>
      <w:tr w:rsidR="00CF7F8E" w14:paraId="3AD61C65" w14:textId="77777777" w:rsidTr="00B27D43">
        <w:trPr>
          <w:trHeight w:val="300"/>
        </w:trPr>
        <w:tc>
          <w:tcPr>
            <w:tcW w:w="2059" w:type="pct"/>
          </w:tcPr>
          <w:p w14:paraId="7E556523" w14:textId="77777777" w:rsidR="00CF7F8E" w:rsidRDefault="00CF7F8E">
            <w:r>
              <w:t>Description/Purpose</w:t>
            </w:r>
          </w:p>
        </w:tc>
        <w:tc>
          <w:tcPr>
            <w:tcW w:w="2941" w:type="pct"/>
          </w:tcPr>
          <w:p w14:paraId="2D15DD43" w14:textId="2093B426" w:rsidR="00CF7F8E" w:rsidRDefault="00CF7F8E">
            <w:r>
              <w:t>Brief summary of document</w:t>
            </w:r>
            <w:r w:rsidR="00F565FF">
              <w:t>.</w:t>
            </w:r>
          </w:p>
        </w:tc>
      </w:tr>
      <w:tr w:rsidR="00CF7F8E" w14:paraId="51CBE014" w14:textId="77777777" w:rsidTr="00B27D43">
        <w:trPr>
          <w:trHeight w:val="300"/>
        </w:trPr>
        <w:tc>
          <w:tcPr>
            <w:tcW w:w="2059" w:type="pct"/>
          </w:tcPr>
          <w:p w14:paraId="430C2C5A" w14:textId="77777777" w:rsidR="00CF7F8E" w:rsidRDefault="00CF7F8E">
            <w:r>
              <w:t>Document Type</w:t>
            </w:r>
          </w:p>
        </w:tc>
        <w:tc>
          <w:tcPr>
            <w:tcW w:w="2941" w:type="pct"/>
          </w:tcPr>
          <w:p w14:paraId="450E547C" w14:textId="2244888B" w:rsidR="00CF7F8E" w:rsidRDefault="00743A9A" w:rsidP="0077212F">
            <w:r w:rsidRPr="00743A9A">
              <w:t>Category which document belongs to</w:t>
            </w:r>
            <w:r>
              <w:t>. Documents</w:t>
            </w:r>
            <w:r w:rsidR="0077212F" w:rsidRPr="0077212F">
              <w:t xml:space="preserve"> were categorised as Legislative Document,</w:t>
            </w:r>
            <w:r>
              <w:t xml:space="preserve"> </w:t>
            </w:r>
            <w:r w:rsidR="0077212F" w:rsidRPr="0077212F">
              <w:t>Management Plan, Technical Report, Monitoring Information, Matter Report or Other.</w:t>
            </w:r>
            <w:r w:rsidR="0077212F">
              <w:t xml:space="preserve"> </w:t>
            </w:r>
            <w:r w:rsidR="0077212F" w:rsidRPr="0077212F">
              <w:t>Further explanation can be found in Table 3.</w:t>
            </w:r>
          </w:p>
        </w:tc>
      </w:tr>
      <w:tr w:rsidR="00CF7F8E" w14:paraId="0CBBC568" w14:textId="77777777" w:rsidTr="00B27D43">
        <w:trPr>
          <w:trHeight w:val="300"/>
        </w:trPr>
        <w:tc>
          <w:tcPr>
            <w:tcW w:w="2059" w:type="pct"/>
          </w:tcPr>
          <w:p w14:paraId="1560409A" w14:textId="77777777" w:rsidR="00CF7F8E" w:rsidRDefault="00CF7F8E">
            <w:r>
              <w:t>Year of Most Recent Document</w:t>
            </w:r>
          </w:p>
        </w:tc>
        <w:tc>
          <w:tcPr>
            <w:tcW w:w="2941" w:type="pct"/>
          </w:tcPr>
          <w:p w14:paraId="5E30AF23" w14:textId="333A4C01" w:rsidR="00CF7F8E" w:rsidRDefault="00CF7F8E">
            <w:r>
              <w:t>The month and year the document was last published.</w:t>
            </w:r>
          </w:p>
        </w:tc>
      </w:tr>
      <w:tr w:rsidR="00CF7F8E" w14:paraId="33C09B54" w14:textId="77777777" w:rsidTr="00B27D43">
        <w:trPr>
          <w:trHeight w:val="300"/>
        </w:trPr>
        <w:tc>
          <w:tcPr>
            <w:tcW w:w="2059" w:type="pct"/>
          </w:tcPr>
          <w:p w14:paraId="1A90EBA5" w14:textId="77777777" w:rsidR="00CF7F8E" w:rsidRDefault="00CF7F8E">
            <w:r>
              <w:t>Location</w:t>
            </w:r>
          </w:p>
        </w:tc>
        <w:tc>
          <w:tcPr>
            <w:tcW w:w="2941" w:type="pct"/>
          </w:tcPr>
          <w:p w14:paraId="44ACC9A5" w14:textId="77777777" w:rsidR="00CF7F8E" w:rsidRDefault="00CF7F8E">
            <w:r>
              <w:t>Where the document can be found. All are hyperlinked (current as at date of publication) and can be accessed via the hyperlink provided.</w:t>
            </w:r>
          </w:p>
        </w:tc>
      </w:tr>
      <w:tr w:rsidR="00F35498" w14:paraId="4049B388" w14:textId="77777777" w:rsidTr="00B27D43">
        <w:trPr>
          <w:trHeight w:val="300"/>
        </w:trPr>
        <w:tc>
          <w:tcPr>
            <w:tcW w:w="2059" w:type="pct"/>
          </w:tcPr>
          <w:p w14:paraId="37CAF5F4" w14:textId="4B38A392" w:rsidR="00F35498" w:rsidRDefault="00890DC5">
            <w:r>
              <w:t>Matter Reporting</w:t>
            </w:r>
          </w:p>
        </w:tc>
        <w:tc>
          <w:tcPr>
            <w:tcW w:w="2941" w:type="pct"/>
          </w:tcPr>
          <w:p w14:paraId="004A5FCC" w14:textId="225AD4AD" w:rsidR="00F35498" w:rsidRDefault="007D68DC">
            <w:r>
              <w:t>L</w:t>
            </w:r>
            <w:r w:rsidR="00395FD6" w:rsidRPr="00395FD6">
              <w:t>ink</w:t>
            </w:r>
            <w:r w:rsidR="0026038F">
              <w:t>ed</w:t>
            </w:r>
            <w:r w:rsidR="00395FD6" w:rsidRPr="00395FD6">
              <w:t xml:space="preserve"> each document to the Matter Reporting in Schedule 12 of the </w:t>
            </w:r>
            <w:r w:rsidR="000A6A78">
              <w:t>Basin Plan</w:t>
            </w:r>
            <w:r w:rsidR="00395FD6" w:rsidRPr="00395FD6">
              <w:t>. Each document was reviewed to see if it align</w:t>
            </w:r>
            <w:r w:rsidR="0026038F">
              <w:t>ed</w:t>
            </w:r>
            <w:r w:rsidR="00395FD6" w:rsidRPr="00395FD6">
              <w:t xml:space="preserve"> with the specified matters outlined in the schedule</w:t>
            </w:r>
            <w:r w:rsidR="00F565FF">
              <w:t>.</w:t>
            </w:r>
          </w:p>
        </w:tc>
      </w:tr>
      <w:tr w:rsidR="00F35498" w14:paraId="346E66F6" w14:textId="77777777" w:rsidTr="00B27D43">
        <w:trPr>
          <w:trHeight w:val="300"/>
        </w:trPr>
        <w:tc>
          <w:tcPr>
            <w:tcW w:w="2059" w:type="pct"/>
          </w:tcPr>
          <w:p w14:paraId="0D482268" w14:textId="6F30E7BD" w:rsidR="00F35498" w:rsidRDefault="00890DC5">
            <w:r>
              <w:t>Is the reporting</w:t>
            </w:r>
            <w:r w:rsidR="00C90AC9">
              <w:t>/in</w:t>
            </w:r>
            <w:r w:rsidR="009E08E5">
              <w:t>formation public</w:t>
            </w:r>
            <w:r w:rsidR="00DC4D22">
              <w:t>ly available</w:t>
            </w:r>
            <w:r w:rsidR="003A1CB8">
              <w:t xml:space="preserve"> (Y/N)</w:t>
            </w:r>
          </w:p>
        </w:tc>
        <w:tc>
          <w:tcPr>
            <w:tcW w:w="2941" w:type="pct"/>
          </w:tcPr>
          <w:p w14:paraId="235CA68E" w14:textId="0E06F7B4" w:rsidR="00F35498" w:rsidRDefault="00F83DD6">
            <w:r>
              <w:t>Indicate</w:t>
            </w:r>
            <w:r w:rsidR="00316A37">
              <w:t>d</w:t>
            </w:r>
            <w:r>
              <w:t xml:space="preserve"> </w:t>
            </w:r>
            <w:r w:rsidR="00A56AC7">
              <w:t>whether</w:t>
            </w:r>
            <w:r>
              <w:t xml:space="preserve"> the </w:t>
            </w:r>
            <w:r w:rsidR="007D38EA">
              <w:t>document</w:t>
            </w:r>
            <w:r w:rsidR="003B2440">
              <w:t xml:space="preserve"> was</w:t>
            </w:r>
            <w:r w:rsidR="002819E3">
              <w:t xml:space="preserve"> public</w:t>
            </w:r>
            <w:r w:rsidR="008252C0">
              <w:t>ly available</w:t>
            </w:r>
            <w:r w:rsidR="002213BF">
              <w:t xml:space="preserve">. Each listed document was marked with </w:t>
            </w:r>
            <w:r w:rsidR="006C0A66">
              <w:t xml:space="preserve">Y </w:t>
            </w:r>
            <w:r w:rsidR="00104DFC">
              <w:t>(</w:t>
            </w:r>
            <w:r w:rsidR="006C0A66">
              <w:t>yes</w:t>
            </w:r>
            <w:r w:rsidR="00104DFC">
              <w:t xml:space="preserve">) or </w:t>
            </w:r>
            <w:r w:rsidR="006C0A66">
              <w:t xml:space="preserve">N </w:t>
            </w:r>
            <w:r w:rsidR="00104DFC">
              <w:t>(</w:t>
            </w:r>
            <w:r w:rsidR="006C0A66">
              <w:t>no</w:t>
            </w:r>
            <w:r w:rsidR="00104DFC">
              <w:t>)</w:t>
            </w:r>
            <w:r w:rsidR="00A56AC7">
              <w:t xml:space="preserve"> to show if it could be accessed by the public.</w:t>
            </w:r>
          </w:p>
        </w:tc>
      </w:tr>
    </w:tbl>
    <w:p w14:paraId="3B6E6624" w14:textId="3C47333B" w:rsidR="00F21D79" w:rsidRPr="00FC1B50" w:rsidRDefault="00E73C30" w:rsidP="00B5666E">
      <w:pPr>
        <w:pStyle w:val="Heading2"/>
      </w:pPr>
      <w:bookmarkStart w:id="16" w:name="_Toc200716135"/>
      <w:r w:rsidRPr="00FC1B50">
        <w:t xml:space="preserve">Commonwealth and Basin State </w:t>
      </w:r>
      <w:r w:rsidR="00B62BB7" w:rsidRPr="00FC1B50">
        <w:t>a</w:t>
      </w:r>
      <w:r w:rsidR="00AD49AD" w:rsidRPr="00FC1B50">
        <w:t>genc</w:t>
      </w:r>
      <w:r w:rsidR="00B62BB7" w:rsidRPr="00FC1B50">
        <w:t>y</w:t>
      </w:r>
      <w:r w:rsidR="00AD49AD" w:rsidRPr="00FC1B50">
        <w:t xml:space="preserve"> </w:t>
      </w:r>
      <w:r w:rsidR="00B62BB7" w:rsidRPr="00FC1B50">
        <w:t>i</w:t>
      </w:r>
      <w:r w:rsidRPr="00FC1B50">
        <w:t>nvolvement</w:t>
      </w:r>
      <w:bookmarkEnd w:id="16"/>
    </w:p>
    <w:p w14:paraId="5DDD8FF1" w14:textId="7A6C8FCE" w:rsidR="000135FC" w:rsidRDefault="00135B9D" w:rsidP="2FF0C5AD">
      <w:pPr>
        <w:rPr>
          <w:rStyle w:val="CommentReference"/>
          <w:rFonts w:ascii="Arial" w:eastAsiaTheme="minorEastAsia" w:hAnsi="Arial" w:cstheme="minorBidi"/>
          <w:lang w:eastAsia="en-GB"/>
        </w:rPr>
      </w:pPr>
      <w:r w:rsidRPr="00FC1B50">
        <w:t>The</w:t>
      </w:r>
      <w:r w:rsidRPr="00FC1B50" w:rsidDel="00486F1A">
        <w:t xml:space="preserve"> </w:t>
      </w:r>
      <w:r w:rsidRPr="00FC1B50">
        <w:t>Inspector</w:t>
      </w:r>
      <w:r w:rsidR="00076E05" w:rsidRPr="00FC1B50">
        <w:t xml:space="preserve">–General </w:t>
      </w:r>
      <w:r w:rsidR="00F12402" w:rsidRPr="00FC1B50">
        <w:t xml:space="preserve">of Water Compliance </w:t>
      </w:r>
      <w:r w:rsidR="00B40D34" w:rsidRPr="00FC1B50">
        <w:t>contacted</w:t>
      </w:r>
      <w:r w:rsidR="00E35E4D" w:rsidRPr="00FC1B50">
        <w:t xml:space="preserve"> </w:t>
      </w:r>
      <w:r w:rsidR="00F12402" w:rsidRPr="00FC1B50">
        <w:t xml:space="preserve">Commonwealth and </w:t>
      </w:r>
      <w:r w:rsidR="00E35E4D" w:rsidRPr="00FC1B50">
        <w:t xml:space="preserve">Basin State agencies </w:t>
      </w:r>
      <w:r w:rsidR="00F12402" w:rsidRPr="00FC1B50">
        <w:t xml:space="preserve">in </w:t>
      </w:r>
      <w:r w:rsidR="007B4759" w:rsidRPr="00FC1B50">
        <w:t>October 2024</w:t>
      </w:r>
      <w:r w:rsidR="000964FD" w:rsidRPr="00FC1B50">
        <w:t xml:space="preserve"> to request they</w:t>
      </w:r>
      <w:r w:rsidR="00C3363F" w:rsidRPr="00FC1B50">
        <w:t xml:space="preserve"> review </w:t>
      </w:r>
      <w:r w:rsidR="00B83DB3" w:rsidRPr="00FC1B50">
        <w:t>the</w:t>
      </w:r>
      <w:r w:rsidR="00BD01EF" w:rsidRPr="00FC1B50">
        <w:t xml:space="preserve"> preliminary list of </w:t>
      </w:r>
      <w:r w:rsidR="00176A42" w:rsidRPr="00FC1B50">
        <w:t>publicly</w:t>
      </w:r>
      <w:r w:rsidR="00FD3BBE" w:rsidRPr="00FC1B50">
        <w:t xml:space="preserve"> available documents</w:t>
      </w:r>
      <w:r w:rsidR="00131593" w:rsidRPr="00FC1B50">
        <w:t xml:space="preserve"> for accuracy and </w:t>
      </w:r>
      <w:r w:rsidR="00700874" w:rsidRPr="00FC1B50">
        <w:t>coverage</w:t>
      </w:r>
      <w:r w:rsidR="00FD3BBE" w:rsidRPr="00FC1B50">
        <w:t>.</w:t>
      </w:r>
      <w:r w:rsidR="00306A18" w:rsidRPr="00FC1B50">
        <w:t xml:space="preserve"> </w:t>
      </w:r>
      <w:r w:rsidR="00B425A0" w:rsidRPr="00FC1B50">
        <w:t xml:space="preserve">Agencies </w:t>
      </w:r>
      <w:r w:rsidR="00896C7C" w:rsidRPr="00FC1B50">
        <w:t>were as</w:t>
      </w:r>
      <w:r w:rsidR="00C05136" w:rsidRPr="00FC1B50">
        <w:t>ked</w:t>
      </w:r>
      <w:r w:rsidR="00896C7C" w:rsidRPr="00FC1B50">
        <w:t xml:space="preserve"> to</w:t>
      </w:r>
      <w:r w:rsidR="008C0EE0" w:rsidRPr="00FC1B50">
        <w:t xml:space="preserve"> </w:t>
      </w:r>
      <w:r w:rsidR="008D557B" w:rsidRPr="00FC1B50">
        <w:t xml:space="preserve">fill any information gaps, </w:t>
      </w:r>
      <w:r w:rsidR="008C0EE0" w:rsidRPr="00FC1B50">
        <w:t>v</w:t>
      </w:r>
      <w:r w:rsidR="005605FB" w:rsidRPr="00FC1B50">
        <w:t xml:space="preserve">erify </w:t>
      </w:r>
      <w:r w:rsidR="008C0EE0" w:rsidRPr="00FC1B50">
        <w:t xml:space="preserve">if </w:t>
      </w:r>
      <w:r w:rsidR="00714B6E" w:rsidRPr="00FC1B50">
        <w:t>information collected was</w:t>
      </w:r>
      <w:r w:rsidR="005605FB" w:rsidRPr="00FC1B50">
        <w:t xml:space="preserve"> correctly linked </w:t>
      </w:r>
      <w:r w:rsidR="00714B6E" w:rsidRPr="00FC1B50">
        <w:t>to</w:t>
      </w:r>
      <w:r w:rsidR="005605FB" w:rsidRPr="00FC1B50">
        <w:t xml:space="preserve"> </w:t>
      </w:r>
      <w:r w:rsidR="0029300E" w:rsidRPr="00FC1B50">
        <w:t xml:space="preserve">the </w:t>
      </w:r>
      <w:r w:rsidR="005605FB" w:rsidRPr="00FC1B50">
        <w:t xml:space="preserve">Basin Plan </w:t>
      </w:r>
      <w:r w:rsidR="0029300E" w:rsidRPr="00FC1B50">
        <w:t>and</w:t>
      </w:r>
      <w:r w:rsidR="00FB6E9B" w:rsidRPr="00FC1B50">
        <w:t>,</w:t>
      </w:r>
      <w:r w:rsidR="008D557B" w:rsidRPr="00FC1B50">
        <w:t xml:space="preserve"> if </w:t>
      </w:r>
      <w:r w:rsidR="00FB6E9B" w:rsidRPr="00FC1B50">
        <w:t>appropriate,</w:t>
      </w:r>
      <w:r w:rsidR="008D557B" w:rsidRPr="00FC1B50">
        <w:t xml:space="preserve"> </w:t>
      </w:r>
      <w:r w:rsidR="004A31D6" w:rsidRPr="00FC1B50">
        <w:t>provide additional information</w:t>
      </w:r>
      <w:r w:rsidR="005605FB" w:rsidRPr="00FC1B50">
        <w:t xml:space="preserve"> on any other </w:t>
      </w:r>
      <w:r w:rsidR="0064089B" w:rsidRPr="00FC1B50">
        <w:t xml:space="preserve">monitoring and evaluation </w:t>
      </w:r>
      <w:r w:rsidR="005605FB" w:rsidRPr="00FC1B50">
        <w:t>reporting undertaken</w:t>
      </w:r>
      <w:r w:rsidR="004A396D" w:rsidRPr="00FC1B50">
        <w:t>.</w:t>
      </w:r>
    </w:p>
    <w:p w14:paraId="15D11E0F" w14:textId="18EE1FE8" w:rsidR="00701BF4" w:rsidRDefault="000135FC" w:rsidP="00701BF4">
      <w:r>
        <w:t>The information provided by Commonwealth and Basin State agencies was categorised and summarised to provide a snapshot of current monitoring and evaluation reporting, including the range of document types and reporting formats used (</w:t>
      </w:r>
      <w:r>
        <w:fldChar w:fldCharType="begin"/>
      </w:r>
      <w:r>
        <w:instrText xml:space="preserve"> REF _Ref188003794 \h </w:instrText>
      </w:r>
      <w:r>
        <w:fldChar w:fldCharType="separate"/>
      </w:r>
      <w:r>
        <w:t xml:space="preserve">Table </w:t>
      </w:r>
      <w:r w:rsidR="008568AD" w:rsidRPr="53C268AF">
        <w:rPr>
          <w:noProof/>
        </w:rPr>
        <w:t>3</w:t>
      </w:r>
      <w:r>
        <w:fldChar w:fldCharType="end"/>
      </w:r>
      <w:r>
        <w:t>).</w:t>
      </w:r>
      <w:r w:rsidR="009C3462">
        <w:t xml:space="preserve"> </w:t>
      </w:r>
      <w:r w:rsidR="00CA2495">
        <w:t>As the stocktake is a snapshot of current monitoring and evaluation reporting</w:t>
      </w:r>
      <w:r w:rsidR="00DE7E3B">
        <w:t>,</w:t>
      </w:r>
      <w:r w:rsidR="00CA2495">
        <w:t xml:space="preserve"> o</w:t>
      </w:r>
      <w:r w:rsidR="00CB199E">
        <w:t>nly the</w:t>
      </w:r>
      <w:r w:rsidR="009C3462">
        <w:t xml:space="preserve"> most recent</w:t>
      </w:r>
      <w:r w:rsidR="00CB199E">
        <w:t xml:space="preserve">ly published </w:t>
      </w:r>
      <w:r w:rsidR="00CB199E">
        <w:lastRenderedPageBreak/>
        <w:t xml:space="preserve">version of each report </w:t>
      </w:r>
      <w:r w:rsidR="000B2662">
        <w:t>was</w:t>
      </w:r>
      <w:r w:rsidR="00CB199E">
        <w:t xml:space="preserve"> included in the stocktake</w:t>
      </w:r>
      <w:r w:rsidR="009C3462">
        <w:t xml:space="preserve"> rather than providing</w:t>
      </w:r>
      <w:r w:rsidR="003D0FCA">
        <w:t xml:space="preserve"> </w:t>
      </w:r>
      <w:r w:rsidR="00B3129F">
        <w:t>a</w:t>
      </w:r>
      <w:r w:rsidR="009C3462">
        <w:t xml:space="preserve"> full list of </w:t>
      </w:r>
      <w:r w:rsidR="00B3129F">
        <w:t>all published versions</w:t>
      </w:r>
      <w:r w:rsidR="009C3462">
        <w:t>.</w:t>
      </w:r>
      <w:r w:rsidR="1F02E3B2">
        <w:t xml:space="preserve"> The finalised stocktake table is available separately on the IGWC website.</w:t>
      </w:r>
      <w:r w:rsidR="00F772E2">
        <w:rPr>
          <w:rStyle w:val="FootnoteReference"/>
        </w:rPr>
        <w:footnoteReference w:id="6"/>
      </w:r>
    </w:p>
    <w:p w14:paraId="0E1DF020" w14:textId="6273BC7E" w:rsidR="00D34463" w:rsidRDefault="00D34463" w:rsidP="00A878F1">
      <w:pPr>
        <w:pStyle w:val="TableHeading"/>
      </w:pPr>
      <w:bookmarkStart w:id="17" w:name="_Ref188003794"/>
      <w:bookmarkStart w:id="18" w:name="_Toc200716146"/>
      <w:r>
        <w:t xml:space="preserve">Table </w:t>
      </w:r>
      <w:r w:rsidR="00715662">
        <w:fldChar w:fldCharType="begin"/>
      </w:r>
      <w:r w:rsidR="00715662">
        <w:instrText xml:space="preserve"> SEQ Table \* ARABIC </w:instrText>
      </w:r>
      <w:r w:rsidR="00715662">
        <w:fldChar w:fldCharType="separate"/>
      </w:r>
      <w:r w:rsidR="00715662">
        <w:rPr>
          <w:noProof/>
        </w:rPr>
        <w:t>3</w:t>
      </w:r>
      <w:r w:rsidR="00715662">
        <w:rPr>
          <w:noProof/>
        </w:rPr>
        <w:fldChar w:fldCharType="end"/>
      </w:r>
      <w:bookmarkEnd w:id="17"/>
      <w:r>
        <w:t xml:space="preserve">. </w:t>
      </w:r>
      <w:r w:rsidRPr="00F92EAE">
        <w:t>Categorisation of document types</w:t>
      </w:r>
      <w:r>
        <w:t>.</w:t>
      </w:r>
      <w:bookmarkEnd w:id="18"/>
    </w:p>
    <w:tbl>
      <w:tblPr>
        <w:tblStyle w:val="TableGridLight"/>
        <w:tblW w:w="0" w:type="auto"/>
        <w:tblLook w:val="04A0" w:firstRow="1" w:lastRow="0" w:firstColumn="1" w:lastColumn="0" w:noHBand="0" w:noVBand="1"/>
      </w:tblPr>
      <w:tblGrid>
        <w:gridCol w:w="2552"/>
        <w:gridCol w:w="3873"/>
        <w:gridCol w:w="3213"/>
      </w:tblGrid>
      <w:tr w:rsidR="005D2A7D" w14:paraId="79848EF2" w14:textId="77777777" w:rsidTr="00B27D43">
        <w:trPr>
          <w:cnfStyle w:val="100000000000" w:firstRow="1" w:lastRow="0" w:firstColumn="0" w:lastColumn="0" w:oddVBand="0" w:evenVBand="0" w:oddHBand="0" w:evenHBand="0" w:firstRowFirstColumn="0" w:firstRowLastColumn="0" w:lastRowFirstColumn="0" w:lastRowLastColumn="0"/>
          <w:tblHeader/>
        </w:trPr>
        <w:tc>
          <w:tcPr>
            <w:tcW w:w="2552" w:type="dxa"/>
          </w:tcPr>
          <w:p w14:paraId="703C6E97" w14:textId="31263F9E" w:rsidR="005D2A7D" w:rsidRPr="00B5666E" w:rsidRDefault="000A7279" w:rsidP="00A878F1">
            <w:pPr>
              <w:pStyle w:val="TableHeader"/>
              <w:rPr>
                <w:b w:val="0"/>
                <w:bCs/>
                <w:color w:val="E7E6E6" w:themeColor="background2"/>
              </w:rPr>
            </w:pPr>
            <w:r w:rsidRPr="00FC1B50">
              <w:t>Category</w:t>
            </w:r>
          </w:p>
        </w:tc>
        <w:tc>
          <w:tcPr>
            <w:tcW w:w="3873" w:type="dxa"/>
          </w:tcPr>
          <w:p w14:paraId="596B8393" w14:textId="4F57DBAB" w:rsidR="005D2A7D" w:rsidRPr="00B5666E" w:rsidRDefault="00847F12" w:rsidP="00A878F1">
            <w:pPr>
              <w:pStyle w:val="TableHeader"/>
              <w:rPr>
                <w:b w:val="0"/>
                <w:bCs/>
                <w:color w:val="E7E6E6" w:themeColor="background2"/>
              </w:rPr>
            </w:pPr>
            <w:r w:rsidRPr="00FC1B50">
              <w:t>Document Type</w:t>
            </w:r>
          </w:p>
        </w:tc>
        <w:tc>
          <w:tcPr>
            <w:tcW w:w="3213" w:type="dxa"/>
          </w:tcPr>
          <w:p w14:paraId="0CA38DD3" w14:textId="3219D476" w:rsidR="005D2A7D" w:rsidRPr="00B5666E" w:rsidRDefault="00847F12" w:rsidP="00A878F1">
            <w:pPr>
              <w:pStyle w:val="TableHeader"/>
              <w:rPr>
                <w:b w:val="0"/>
                <w:bCs/>
                <w:color w:val="E7E6E6" w:themeColor="background2"/>
              </w:rPr>
            </w:pPr>
            <w:r w:rsidRPr="00FC1B50">
              <w:t>Example</w:t>
            </w:r>
          </w:p>
        </w:tc>
      </w:tr>
      <w:tr w:rsidR="00252D23" w14:paraId="3E14E4C5" w14:textId="77777777" w:rsidTr="00B27D43">
        <w:tc>
          <w:tcPr>
            <w:tcW w:w="2552" w:type="dxa"/>
          </w:tcPr>
          <w:p w14:paraId="5B052F74" w14:textId="2C219AC5" w:rsidR="00252D23" w:rsidRDefault="00252D23" w:rsidP="00701BF4">
            <w:r>
              <w:t>Legislative Documents</w:t>
            </w:r>
          </w:p>
        </w:tc>
        <w:tc>
          <w:tcPr>
            <w:tcW w:w="3873" w:type="dxa"/>
          </w:tcPr>
          <w:p w14:paraId="70FA6515" w14:textId="7A3F218C" w:rsidR="00252D23" w:rsidRDefault="008F6FFF" w:rsidP="00701BF4">
            <w:r>
              <w:t xml:space="preserve">Management </w:t>
            </w:r>
            <w:r w:rsidR="002700DF">
              <w:t>act</w:t>
            </w:r>
            <w:r w:rsidR="00F207AC">
              <w:t>s</w:t>
            </w:r>
            <w:r>
              <w:t xml:space="preserve">, </w:t>
            </w:r>
            <w:r w:rsidR="002700DF">
              <w:t>water acts</w:t>
            </w:r>
            <w:r w:rsidR="000A6375">
              <w:t xml:space="preserve"> and</w:t>
            </w:r>
            <w:r w:rsidR="00F207AC">
              <w:t xml:space="preserve"> </w:t>
            </w:r>
            <w:r w:rsidR="002700DF">
              <w:t>water a</w:t>
            </w:r>
            <w:r w:rsidR="00F207AC">
              <w:t xml:space="preserve">llocation </w:t>
            </w:r>
            <w:r w:rsidR="002700DF">
              <w:t>p</w:t>
            </w:r>
            <w:r w:rsidR="00F207AC">
              <w:t>lans.</w:t>
            </w:r>
          </w:p>
        </w:tc>
        <w:tc>
          <w:tcPr>
            <w:tcW w:w="3213" w:type="dxa"/>
          </w:tcPr>
          <w:p w14:paraId="5104BEB4" w14:textId="164CBC49" w:rsidR="00252D23" w:rsidRPr="00003EB4" w:rsidRDefault="00A8371B" w:rsidP="00701BF4">
            <w:r>
              <w:t xml:space="preserve">Water Management Act </w:t>
            </w:r>
            <w:r w:rsidR="00BF0CEC">
              <w:t>2000 (NSW)</w:t>
            </w:r>
          </w:p>
        </w:tc>
      </w:tr>
      <w:tr w:rsidR="005D2A7D" w14:paraId="76785D37" w14:textId="77777777" w:rsidTr="00B27D43">
        <w:tc>
          <w:tcPr>
            <w:tcW w:w="2552" w:type="dxa"/>
          </w:tcPr>
          <w:p w14:paraId="6D6CDC10" w14:textId="52BB6036" w:rsidR="005D2A7D" w:rsidRDefault="00847F12" w:rsidP="00701BF4">
            <w:r>
              <w:t>Management Plan</w:t>
            </w:r>
          </w:p>
        </w:tc>
        <w:tc>
          <w:tcPr>
            <w:tcW w:w="3873" w:type="dxa"/>
          </w:tcPr>
          <w:p w14:paraId="04433F49" w14:textId="4A2A3720" w:rsidR="005D2A7D" w:rsidRDefault="00003EB4" w:rsidP="00701BF4">
            <w:r>
              <w:t>F</w:t>
            </w:r>
            <w:r w:rsidRPr="00003EB4">
              <w:t>rameworks, strategy, guideline, roadmap, program plan, implementation plan, research and monitoring program</w:t>
            </w:r>
          </w:p>
        </w:tc>
        <w:tc>
          <w:tcPr>
            <w:tcW w:w="3213" w:type="dxa"/>
          </w:tcPr>
          <w:p w14:paraId="22DF9589" w14:textId="7F787787" w:rsidR="005D2A7D" w:rsidRDefault="00003EB4" w:rsidP="00701BF4">
            <w:r w:rsidRPr="00003EB4">
              <w:t>Basin-wide environmental watering strategy</w:t>
            </w:r>
          </w:p>
        </w:tc>
      </w:tr>
      <w:tr w:rsidR="005D2A7D" w14:paraId="198667D3" w14:textId="77777777" w:rsidTr="00B27D43">
        <w:tc>
          <w:tcPr>
            <w:tcW w:w="2552" w:type="dxa"/>
          </w:tcPr>
          <w:p w14:paraId="029D0CE2" w14:textId="243FEEE7" w:rsidR="005D2A7D" w:rsidRDefault="00003EB4" w:rsidP="00701BF4">
            <w:r>
              <w:t>Te</w:t>
            </w:r>
            <w:r w:rsidR="001B5B61">
              <w:t>chnical Report</w:t>
            </w:r>
          </w:p>
        </w:tc>
        <w:tc>
          <w:tcPr>
            <w:tcW w:w="3873" w:type="dxa"/>
          </w:tcPr>
          <w:p w14:paraId="5E03DDFE" w14:textId="0C99EBBF" w:rsidR="005D2A7D" w:rsidRDefault="001B5B61" w:rsidP="00701BF4">
            <w:r>
              <w:t>P</w:t>
            </w:r>
            <w:r w:rsidRPr="001B5B61">
              <w:t>aper, report, report and story map</w:t>
            </w:r>
          </w:p>
        </w:tc>
        <w:tc>
          <w:tcPr>
            <w:tcW w:w="3213" w:type="dxa"/>
          </w:tcPr>
          <w:p w14:paraId="55683357" w14:textId="339BDCFE" w:rsidR="005D2A7D" w:rsidRDefault="001B5B61" w:rsidP="00701BF4">
            <w:r w:rsidRPr="001B5B61">
              <w:t>Nesting waterbird colony population size monitoring using automated counts on drone imagery</w:t>
            </w:r>
          </w:p>
        </w:tc>
      </w:tr>
      <w:tr w:rsidR="005D2A7D" w14:paraId="5B27A1DA" w14:textId="77777777" w:rsidTr="00B27D43">
        <w:tc>
          <w:tcPr>
            <w:tcW w:w="2552" w:type="dxa"/>
          </w:tcPr>
          <w:p w14:paraId="5449CD9D" w14:textId="72C6D0B6" w:rsidR="005D2A7D" w:rsidRDefault="001B5B61" w:rsidP="00701BF4">
            <w:r>
              <w:t xml:space="preserve">Monitoring </w:t>
            </w:r>
            <w:r w:rsidR="00787C2F">
              <w:t>I</w:t>
            </w:r>
            <w:r>
              <w:t>nformation</w:t>
            </w:r>
          </w:p>
        </w:tc>
        <w:tc>
          <w:tcPr>
            <w:tcW w:w="3873" w:type="dxa"/>
          </w:tcPr>
          <w:p w14:paraId="2E61D036" w14:textId="3309E282" w:rsidR="005D2A7D" w:rsidRDefault="0074254B" w:rsidP="00701BF4">
            <w:r w:rsidRPr="0074254B">
              <w:t>Monitoring data, spatial data layers of inundation, monitoring plan, monitoring program, survey, survey and data collection and monitoring report</w:t>
            </w:r>
          </w:p>
        </w:tc>
        <w:tc>
          <w:tcPr>
            <w:tcW w:w="3213" w:type="dxa"/>
          </w:tcPr>
          <w:p w14:paraId="797D68BA" w14:textId="740C7DA5" w:rsidR="005D2A7D" w:rsidRDefault="00787C2F" w:rsidP="00701BF4">
            <w:proofErr w:type="spellStart"/>
            <w:r w:rsidRPr="00787C2F">
              <w:t>WaterInsights</w:t>
            </w:r>
            <w:proofErr w:type="spellEnd"/>
            <w:r w:rsidRPr="00787C2F">
              <w:t xml:space="preserve"> from </w:t>
            </w:r>
            <w:proofErr w:type="spellStart"/>
            <w:r w:rsidRPr="00787C2F">
              <w:t>WaterNSW</w:t>
            </w:r>
            <w:proofErr w:type="spellEnd"/>
          </w:p>
        </w:tc>
      </w:tr>
      <w:tr w:rsidR="005D2A7D" w14:paraId="60527B32" w14:textId="77777777" w:rsidTr="00B27D43">
        <w:tc>
          <w:tcPr>
            <w:tcW w:w="2552" w:type="dxa"/>
          </w:tcPr>
          <w:p w14:paraId="1A7912D2" w14:textId="1D25F61C" w:rsidR="005D2A7D" w:rsidRDefault="00787C2F" w:rsidP="00701BF4">
            <w:r>
              <w:t>Matter Report</w:t>
            </w:r>
          </w:p>
        </w:tc>
        <w:tc>
          <w:tcPr>
            <w:tcW w:w="3873" w:type="dxa"/>
          </w:tcPr>
          <w:p w14:paraId="31D3C7F9" w14:textId="73104AE6" w:rsidR="005D2A7D" w:rsidRDefault="00233B3D" w:rsidP="00701BF4">
            <w:r>
              <w:t>I</w:t>
            </w:r>
            <w:r w:rsidRPr="00233B3D">
              <w:t>mplementation report and report narrative</w:t>
            </w:r>
          </w:p>
        </w:tc>
        <w:tc>
          <w:tcPr>
            <w:tcW w:w="3213" w:type="dxa"/>
          </w:tcPr>
          <w:p w14:paraId="24AB7273" w14:textId="48BCEA54" w:rsidR="005D2A7D" w:rsidRDefault="00A74ACB" w:rsidP="00701BF4">
            <w:r w:rsidRPr="00A74ACB">
              <w:t>NSW Basin Plan Matter 8 Report 2024</w:t>
            </w:r>
          </w:p>
        </w:tc>
      </w:tr>
      <w:tr w:rsidR="005D2A7D" w14:paraId="00B56DEC" w14:textId="77777777" w:rsidTr="00B27D43">
        <w:tc>
          <w:tcPr>
            <w:tcW w:w="2552" w:type="dxa"/>
          </w:tcPr>
          <w:p w14:paraId="574D09B3" w14:textId="59F83669" w:rsidR="005D2A7D" w:rsidRDefault="00FB58C3" w:rsidP="00701BF4">
            <w:r>
              <w:t>Other</w:t>
            </w:r>
          </w:p>
        </w:tc>
        <w:tc>
          <w:tcPr>
            <w:tcW w:w="3873" w:type="dxa"/>
          </w:tcPr>
          <w:p w14:paraId="4179FE61" w14:textId="02F014F0" w:rsidR="005D2A7D" w:rsidRDefault="00FB58C3" w:rsidP="00701BF4">
            <w:r>
              <w:t>W</w:t>
            </w:r>
            <w:r w:rsidRPr="00FB58C3">
              <w:t>ebsites, interactive map, story</w:t>
            </w:r>
            <w:r w:rsidR="00E63EE9">
              <w:t>-</w:t>
            </w:r>
            <w:r w:rsidRPr="00FB58C3">
              <w:t>map and statutory advisory group</w:t>
            </w:r>
          </w:p>
        </w:tc>
        <w:tc>
          <w:tcPr>
            <w:tcW w:w="3213" w:type="dxa"/>
          </w:tcPr>
          <w:p w14:paraId="0020ADBA" w14:textId="27FBA2F5" w:rsidR="005D2A7D" w:rsidRDefault="004E6A95" w:rsidP="00701BF4">
            <w:r>
              <w:t>W</w:t>
            </w:r>
            <w:r w:rsidRPr="004E6A95">
              <w:t>ebsite from the ACT and Region Catchment Management Coordination Group</w:t>
            </w:r>
          </w:p>
        </w:tc>
      </w:tr>
    </w:tbl>
    <w:p w14:paraId="78DF478F" w14:textId="36EB0BF0" w:rsidR="00B81BFF" w:rsidRDefault="00B81BFF">
      <w:pPr>
        <w:spacing w:after="0"/>
      </w:pPr>
    </w:p>
    <w:p w14:paraId="44DAB5FE" w14:textId="3FA29A98" w:rsidR="00473F5B" w:rsidRDefault="003B5DC7" w:rsidP="00473F5B">
      <w:pPr>
        <w:pStyle w:val="Heading1"/>
      </w:pPr>
      <w:bookmarkStart w:id="19" w:name="_Toc200716136"/>
      <w:r>
        <w:lastRenderedPageBreak/>
        <w:t>H</w:t>
      </w:r>
      <w:r w:rsidR="00FA369A">
        <w:t>ierarchy of monitoring</w:t>
      </w:r>
      <w:r w:rsidR="00C32333">
        <w:t xml:space="preserve"> and</w:t>
      </w:r>
      <w:r w:rsidR="00FA369A">
        <w:t xml:space="preserve"> evaluation reporting </w:t>
      </w:r>
      <w:r w:rsidR="001E647A">
        <w:t>requirements</w:t>
      </w:r>
      <w:bookmarkEnd w:id="19"/>
    </w:p>
    <w:p w14:paraId="332AE224" w14:textId="6F1F70F3" w:rsidR="00F415D8" w:rsidRDefault="00AB2549" w:rsidP="007D44B0">
      <w:r w:rsidRPr="00AB2549">
        <w:t>Understanding the hierarchy of monitoring</w:t>
      </w:r>
      <w:r w:rsidR="00C32333">
        <w:t xml:space="preserve"> and </w:t>
      </w:r>
      <w:r w:rsidRPr="00AB2549">
        <w:t>evaluation</w:t>
      </w:r>
      <w:r w:rsidR="00C32333">
        <w:t xml:space="preserve"> </w:t>
      </w:r>
      <w:r w:rsidRPr="00AB2549">
        <w:t xml:space="preserve">reporting requirements helps clarify the relationships and responsibilities among various </w:t>
      </w:r>
      <w:r w:rsidR="00C821DC">
        <w:t>Commonwealth and Basin</w:t>
      </w:r>
      <w:r w:rsidR="004C3F5F">
        <w:t xml:space="preserve"> </w:t>
      </w:r>
      <w:r w:rsidR="00C821DC">
        <w:t>State a</w:t>
      </w:r>
      <w:r w:rsidR="00C821DC" w:rsidRPr="00AB2549">
        <w:t>gencies</w:t>
      </w:r>
      <w:r w:rsidRPr="00AB2549">
        <w:t xml:space="preserve"> and stakeholders. </w:t>
      </w:r>
      <w:r w:rsidR="00B84F46">
        <w:t>This hierarchy is</w:t>
      </w:r>
      <w:r w:rsidR="00F415D8" w:rsidRPr="00F415D8">
        <w:t xml:space="preserve"> established by </w:t>
      </w:r>
      <w:r w:rsidR="00E76C34">
        <w:t xml:space="preserve">the Water Act </w:t>
      </w:r>
      <w:r w:rsidR="00F415D8" w:rsidRPr="00F415D8">
        <w:t xml:space="preserve">and </w:t>
      </w:r>
      <w:r w:rsidR="00E76C34">
        <w:t>Basin Plan</w:t>
      </w:r>
      <w:r w:rsidR="00F415D8" w:rsidRPr="00F415D8">
        <w:t xml:space="preserve"> </w:t>
      </w:r>
      <w:r w:rsidR="00B84F46">
        <w:t xml:space="preserve">to </w:t>
      </w:r>
      <w:r w:rsidR="00F415D8" w:rsidRPr="00F415D8">
        <w:t xml:space="preserve">create a cohesive framework that provides a legislative and operational foundation. This framework </w:t>
      </w:r>
      <w:r w:rsidR="00A378DC">
        <w:t>aims to</w:t>
      </w:r>
      <w:r w:rsidR="00F415D8" w:rsidRPr="00F415D8">
        <w:t xml:space="preserve"> ensure reporting activities are aligned with the overarching goals of sustainable water resource management and environmental accountability in the Basin.</w:t>
      </w:r>
    </w:p>
    <w:p w14:paraId="39D39DBE" w14:textId="056E5EDD" w:rsidR="0039029A" w:rsidRDefault="00AE060C" w:rsidP="00780E32">
      <w:pPr>
        <w:pStyle w:val="Heading2"/>
      </w:pPr>
      <w:bookmarkStart w:id="20" w:name="_Toc200716137"/>
      <w:r>
        <w:t>Legislation</w:t>
      </w:r>
      <w:bookmarkEnd w:id="20"/>
    </w:p>
    <w:p w14:paraId="185F6089" w14:textId="74855325" w:rsidR="59154352" w:rsidRPr="00780E32" w:rsidRDefault="5BD86084" w:rsidP="00B5666E">
      <w:pPr>
        <w:pStyle w:val="Heading3"/>
      </w:pPr>
      <w:r w:rsidRPr="00780E32">
        <w:t>Water Act 2007</w:t>
      </w:r>
    </w:p>
    <w:p w14:paraId="56F0E2AD" w14:textId="338466DC" w:rsidR="00413B1C" w:rsidRPr="00413B1C" w:rsidRDefault="007D6F28" w:rsidP="00B5666E">
      <w:r>
        <w:t>The Water Act</w:t>
      </w:r>
      <w:r w:rsidR="00413B1C" w:rsidRPr="00413B1C">
        <w:t xml:space="preserve"> establishes critical provisions that guide the </w:t>
      </w:r>
      <w:r w:rsidR="00205A46">
        <w:t xml:space="preserve">monitoring and evaluation </w:t>
      </w:r>
      <w:r w:rsidR="002C64AF">
        <w:t>reporting (</w:t>
      </w:r>
      <w:r w:rsidR="00413B1C" w:rsidRPr="00413B1C">
        <w:t>MER</w:t>
      </w:r>
      <w:r w:rsidR="002C64AF">
        <w:t>)</w:t>
      </w:r>
      <w:r w:rsidR="00413B1C" w:rsidRPr="00413B1C">
        <w:t xml:space="preserve"> framework within the</w:t>
      </w:r>
      <w:r>
        <w:t xml:space="preserve"> Basin Plan</w:t>
      </w:r>
      <w:r w:rsidR="00413B1C" w:rsidRPr="00413B1C">
        <w:t>. These provisions ensure sustainable water resource management and accountability:</w:t>
      </w:r>
    </w:p>
    <w:p w14:paraId="7234E4E1" w14:textId="3548395D" w:rsidR="00413B1C" w:rsidRPr="00413B1C" w:rsidRDefault="00413B1C" w:rsidP="00B5666E">
      <w:pPr>
        <w:numPr>
          <w:ilvl w:val="0"/>
          <w:numId w:val="13"/>
        </w:numPr>
      </w:pPr>
      <w:r w:rsidRPr="00413B1C">
        <w:t>Section 21: Defines the objectives and purposes of the Basin Plan, emphasi</w:t>
      </w:r>
      <w:r w:rsidR="00520FB4">
        <w:t>s</w:t>
      </w:r>
      <w:r w:rsidRPr="00413B1C">
        <w:t xml:space="preserve">ing the need to achieve and monitor environmentally sustainable levels of water use. This section underpins Chapter 8 (Environmental Watering Plan), which ensures the delivery of </w:t>
      </w:r>
      <w:r w:rsidR="007642F8">
        <w:t>water for the environment</w:t>
      </w:r>
      <w:r w:rsidRPr="00413B1C">
        <w:t xml:space="preserve"> to restore and maintain ecosystems while aligning with sustainable diversion limits (SDLs).</w:t>
      </w:r>
    </w:p>
    <w:p w14:paraId="3DF21117" w14:textId="0950B39B" w:rsidR="00413B1C" w:rsidRPr="00413B1C" w:rsidRDefault="00413B1C" w:rsidP="00B5666E">
      <w:pPr>
        <w:numPr>
          <w:ilvl w:val="0"/>
          <w:numId w:val="13"/>
        </w:numPr>
      </w:pPr>
      <w:r w:rsidRPr="00413B1C">
        <w:t xml:space="preserve">Section 22: Mandates the inclusion of provisions for monitoring and evaluating the Basin Plan’s effectiveness. This directly informs Chapter 13 (Monitoring and Evaluation Program), which supports evidence-based assessments of the </w:t>
      </w:r>
      <w:r w:rsidR="00C32333">
        <w:t xml:space="preserve">Basin </w:t>
      </w:r>
      <w:r w:rsidRPr="00413B1C">
        <w:t>Plan’s progress and outcomes.</w:t>
      </w:r>
    </w:p>
    <w:p w14:paraId="61A55EB3" w14:textId="58B8B657" w:rsidR="00413B1C" w:rsidRPr="00413B1C" w:rsidRDefault="00413B1C" w:rsidP="00B5666E">
      <w:pPr>
        <w:numPr>
          <w:ilvl w:val="0"/>
          <w:numId w:val="13"/>
        </w:numPr>
      </w:pPr>
      <w:r w:rsidRPr="00413B1C">
        <w:t xml:space="preserve">Section 172: Requires the </w:t>
      </w:r>
      <w:r w:rsidR="00C013E9">
        <w:t>Murra</w:t>
      </w:r>
      <w:r w:rsidR="00AF4FBA">
        <w:t>y</w:t>
      </w:r>
      <w:r w:rsidR="00E16660">
        <w:t>–</w:t>
      </w:r>
      <w:r w:rsidR="00AF4FBA">
        <w:t>Darling Basin Authority (</w:t>
      </w:r>
      <w:r w:rsidRPr="00413B1C">
        <w:t>MDBA</w:t>
      </w:r>
      <w:r w:rsidR="00AF4FBA">
        <w:t>)</w:t>
      </w:r>
      <w:r w:rsidRPr="00413B1C">
        <w:t xml:space="preserve"> to report on the </w:t>
      </w:r>
      <w:r w:rsidR="00C32333">
        <w:t xml:space="preserve">Basin </w:t>
      </w:r>
      <w:r w:rsidRPr="00413B1C">
        <w:t>Plan’s effectiveness and Basin States' compliance. This reporting obligation is operationali</w:t>
      </w:r>
      <w:r w:rsidR="005B469A">
        <w:t>s</w:t>
      </w:r>
      <w:r w:rsidRPr="00413B1C">
        <w:t>ed through Chapter 13 and Schedule 12</w:t>
      </w:r>
      <w:r w:rsidR="00EE6D77">
        <w:t xml:space="preserve"> of the Basin Plan</w:t>
      </w:r>
      <w:r w:rsidRPr="00413B1C">
        <w:t xml:space="preserve">, which provide frameworks for transparency, accountability, and achieving the </w:t>
      </w:r>
      <w:r w:rsidR="00C32333">
        <w:t xml:space="preserve">Basin </w:t>
      </w:r>
      <w:r w:rsidRPr="00413B1C">
        <w:t>Plan’s environmental, social, and economic goals.</w:t>
      </w:r>
    </w:p>
    <w:p w14:paraId="61BA8F75" w14:textId="12C4408E" w:rsidR="00D51471" w:rsidRPr="00413B1C" w:rsidRDefault="00413B1C" w:rsidP="00D51471">
      <w:r w:rsidRPr="00413B1C">
        <w:t>These legislative sections work together to form the foundation of the Basin Plan’s operational effectiveness.</w:t>
      </w:r>
    </w:p>
    <w:p w14:paraId="7121C240" w14:textId="167CBA8F" w:rsidR="59154352" w:rsidRDefault="5BD86084" w:rsidP="00B5666E">
      <w:pPr>
        <w:pStyle w:val="Heading3"/>
      </w:pPr>
      <w:r>
        <w:t>Basin Plan 2012</w:t>
      </w:r>
    </w:p>
    <w:p w14:paraId="43DAE2EB" w14:textId="0DE03837" w:rsidR="59154352" w:rsidRDefault="00440F88" w:rsidP="14C29486">
      <w:r>
        <w:t xml:space="preserve">The </w:t>
      </w:r>
      <w:r w:rsidR="5BD86084" w:rsidRPr="14C29486">
        <w:t>Water Act</w:t>
      </w:r>
      <w:r w:rsidR="007039D3">
        <w:t xml:space="preserve"> </w:t>
      </w:r>
      <w:r w:rsidR="5BD86084" w:rsidRPr="14C29486">
        <w:t>requires the MDBA to prepare a strategic plan for the integrated and sustainable management of water resources. This resulted in the development of the Basin Plan by the MDBA</w:t>
      </w:r>
      <w:r w:rsidR="00CF163E">
        <w:t xml:space="preserve"> </w:t>
      </w:r>
      <w:r w:rsidR="5BD86084" w:rsidRPr="14C29486">
        <w:t xml:space="preserve">to manage the Basin as a connected system. The aim of the Basin Plan is </w:t>
      </w:r>
      <w:r w:rsidR="00EA7760">
        <w:t xml:space="preserve">to </w:t>
      </w:r>
      <w:r w:rsidR="5BD86084" w:rsidRPr="14C29486">
        <w:t xml:space="preserve">bring the Basin back to </w:t>
      </w:r>
      <w:r w:rsidR="00C32333">
        <w:t xml:space="preserve">a </w:t>
      </w:r>
      <w:r w:rsidR="5BD86084" w:rsidRPr="14C29486">
        <w:t>healthier and sustainable level, whilst continuing to support farming and other industries for the benefit of the Australian community.</w:t>
      </w:r>
    </w:p>
    <w:p w14:paraId="56A009EC" w14:textId="2172D3DB" w:rsidR="00BB122C" w:rsidRDefault="001F4FD1" w:rsidP="00974880">
      <w:r>
        <w:t xml:space="preserve">The Basin </w:t>
      </w:r>
      <w:r w:rsidR="4489B913">
        <w:t>Plan</w:t>
      </w:r>
      <w:r>
        <w:t xml:space="preserve"> </w:t>
      </w:r>
      <w:r w:rsidR="007E4E5F">
        <w:t>outlines various provisions directly relating to MER for environmental outcomes. These provisions span several chapters and schedules, detailing specific requirements for assessing, tracking, and reporting progress towards achieving the environmental objectives of the Basin Plan.</w:t>
      </w:r>
      <w:r w:rsidR="007B2FAF">
        <w:t xml:space="preserve"> </w:t>
      </w:r>
      <w:r w:rsidR="00E01A1A">
        <w:t xml:space="preserve">These </w:t>
      </w:r>
      <w:r w:rsidR="000B156C">
        <w:t>c</w:t>
      </w:r>
      <w:r w:rsidR="00E01A1A">
        <w:t>hapters interlink to form a cohesive MER framework for environmental outcomes (</w:t>
      </w:r>
      <w:r>
        <w:fldChar w:fldCharType="begin"/>
      </w:r>
      <w:r>
        <w:instrText xml:space="preserve"> REF _Ref188261136 \h </w:instrText>
      </w:r>
      <w:r w:rsidR="00BB122C">
        <w:instrText xml:space="preserve"> \* MERGEFORMAT </w:instrText>
      </w:r>
      <w:r>
        <w:fldChar w:fldCharType="separate"/>
      </w:r>
      <w:r w:rsidR="00E01A1A">
        <w:t xml:space="preserve">Table </w:t>
      </w:r>
      <w:r w:rsidR="00E01A1A" w:rsidRPr="53C268AF">
        <w:rPr>
          <w:noProof/>
        </w:rPr>
        <w:t>4</w:t>
      </w:r>
      <w:r>
        <w:fldChar w:fldCharType="end"/>
      </w:r>
      <w:r w:rsidR="00E01A1A">
        <w:t>).</w:t>
      </w:r>
      <w:bookmarkStart w:id="21" w:name="_Ref188261136"/>
    </w:p>
    <w:p w14:paraId="0678168F" w14:textId="585BD8FB" w:rsidR="00E01A1A" w:rsidRPr="00A33E2A" w:rsidRDefault="00E01A1A" w:rsidP="00A4470F">
      <w:pPr>
        <w:pStyle w:val="TableHeading"/>
      </w:pPr>
      <w:bookmarkStart w:id="22" w:name="_Toc200716147"/>
      <w:r w:rsidRPr="00A33E2A">
        <w:lastRenderedPageBreak/>
        <w:t xml:space="preserve">Table </w:t>
      </w:r>
      <w:r w:rsidRPr="00A33E2A">
        <w:fldChar w:fldCharType="begin"/>
      </w:r>
      <w:r w:rsidRPr="00A33E2A">
        <w:instrText xml:space="preserve"> SEQ Table \* ARABIC </w:instrText>
      </w:r>
      <w:r w:rsidRPr="00A33E2A">
        <w:fldChar w:fldCharType="separate"/>
      </w:r>
      <w:r w:rsidR="00715662" w:rsidRPr="00A33E2A">
        <w:rPr>
          <w:noProof/>
        </w:rPr>
        <w:t>4</w:t>
      </w:r>
      <w:r w:rsidRPr="00A33E2A">
        <w:rPr>
          <w:noProof/>
        </w:rPr>
        <w:fldChar w:fldCharType="end"/>
      </w:r>
      <w:bookmarkEnd w:id="21"/>
      <w:r w:rsidRPr="00A33E2A">
        <w:t xml:space="preserve">. Key </w:t>
      </w:r>
      <w:r w:rsidR="00F723E4" w:rsidRPr="00A33E2A">
        <w:t>chapters</w:t>
      </w:r>
      <w:r w:rsidRPr="00A33E2A">
        <w:t xml:space="preserve"> in the Basin Plan </w:t>
      </w:r>
      <w:r w:rsidR="00D74F05" w:rsidRPr="00A33E2A">
        <w:t>r</w:t>
      </w:r>
      <w:r w:rsidRPr="00A33E2A">
        <w:t>elating to MER for environmental outcomes.</w:t>
      </w:r>
      <w:bookmarkEnd w:id="22"/>
    </w:p>
    <w:tbl>
      <w:tblPr>
        <w:tblStyle w:val="TableGridLight"/>
        <w:tblW w:w="5000" w:type="pct"/>
        <w:tblLook w:val="04A0" w:firstRow="1" w:lastRow="0" w:firstColumn="1" w:lastColumn="0" w:noHBand="0" w:noVBand="1"/>
      </w:tblPr>
      <w:tblGrid>
        <w:gridCol w:w="1100"/>
        <w:gridCol w:w="3340"/>
        <w:gridCol w:w="5198"/>
      </w:tblGrid>
      <w:tr w:rsidR="008E2769" w:rsidRPr="00E01A1A" w14:paraId="268FBC58" w14:textId="77777777" w:rsidTr="53C268AF">
        <w:trPr>
          <w:cnfStyle w:val="100000000000" w:firstRow="1" w:lastRow="0" w:firstColumn="0" w:lastColumn="0" w:oddVBand="0" w:evenVBand="0" w:oddHBand="0" w:evenHBand="0" w:firstRowFirstColumn="0" w:firstRowLastColumn="0" w:lastRowFirstColumn="0" w:lastRowLastColumn="0"/>
        </w:trPr>
        <w:tc>
          <w:tcPr>
            <w:tcW w:w="524" w:type="pct"/>
          </w:tcPr>
          <w:p w14:paraId="375AA2F1" w14:textId="34C62496" w:rsidR="008E2769" w:rsidRPr="00B5666E" w:rsidRDefault="008E2769" w:rsidP="00A4470F">
            <w:pPr>
              <w:pStyle w:val="TableHeader"/>
              <w:rPr>
                <w:b w:val="0"/>
                <w:color w:val="E7E6E6" w:themeColor="background2"/>
              </w:rPr>
            </w:pPr>
            <w:r w:rsidRPr="00FC1B50">
              <w:t>Chapter</w:t>
            </w:r>
          </w:p>
        </w:tc>
        <w:tc>
          <w:tcPr>
            <w:tcW w:w="1756" w:type="pct"/>
          </w:tcPr>
          <w:p w14:paraId="2B29B764" w14:textId="4BF7FBB2" w:rsidR="008E2769" w:rsidRPr="00B5666E" w:rsidRDefault="0005431B" w:rsidP="00A4470F">
            <w:pPr>
              <w:pStyle w:val="TableHeader"/>
              <w:rPr>
                <w:b w:val="0"/>
                <w:color w:val="E7E6E6" w:themeColor="background2"/>
              </w:rPr>
            </w:pPr>
            <w:r w:rsidRPr="00FC1B50">
              <w:t>Title</w:t>
            </w:r>
          </w:p>
        </w:tc>
        <w:tc>
          <w:tcPr>
            <w:tcW w:w="2720" w:type="pct"/>
          </w:tcPr>
          <w:p w14:paraId="7A6D47DF" w14:textId="0109826D" w:rsidR="008E2769" w:rsidRPr="00B5666E" w:rsidRDefault="0005431B" w:rsidP="00A4470F">
            <w:pPr>
              <w:pStyle w:val="TableHeader"/>
              <w:rPr>
                <w:b w:val="0"/>
                <w:color w:val="E7E6E6" w:themeColor="background2"/>
              </w:rPr>
            </w:pPr>
            <w:r w:rsidRPr="00FC1B50">
              <w:t>Purpose</w:t>
            </w:r>
          </w:p>
        </w:tc>
      </w:tr>
      <w:tr w:rsidR="008E2769" w14:paraId="3CF2280B" w14:textId="77777777" w:rsidTr="53C268AF">
        <w:tc>
          <w:tcPr>
            <w:tcW w:w="524" w:type="pct"/>
          </w:tcPr>
          <w:p w14:paraId="73395009" w14:textId="39E1FEF4" w:rsidR="008E2769" w:rsidRDefault="00A8596B" w:rsidP="005333E1">
            <w:r>
              <w:t>4</w:t>
            </w:r>
          </w:p>
        </w:tc>
        <w:tc>
          <w:tcPr>
            <w:tcW w:w="1756" w:type="pct"/>
          </w:tcPr>
          <w:p w14:paraId="78C061D3" w14:textId="0DBC8D8E" w:rsidR="008E2769" w:rsidRDefault="00A8596B" w:rsidP="005333E1">
            <w:r w:rsidRPr="00684F12">
              <w:t>Identification and management of risks to Basin water resources</w:t>
            </w:r>
          </w:p>
        </w:tc>
        <w:tc>
          <w:tcPr>
            <w:tcW w:w="2720" w:type="pct"/>
          </w:tcPr>
          <w:p w14:paraId="0775E5E6" w14:textId="0F182A42" w:rsidR="008E2769" w:rsidRDefault="00D86CB2" w:rsidP="005333E1">
            <w:r w:rsidRPr="00E95588">
              <w:t>Identifies</w:t>
            </w:r>
            <w:r w:rsidR="00C83C18" w:rsidRPr="00E95588">
              <w:t xml:space="preserve"> risks to water resources</w:t>
            </w:r>
            <w:r w:rsidR="006A38FE">
              <w:t xml:space="preserve"> and</w:t>
            </w:r>
            <w:r w:rsidR="00003662">
              <w:t xml:space="preserve"> underpins the MER framework by aligning risk management with adaptive and evidence-based practices essential for sustainable water resource management in the Basin.</w:t>
            </w:r>
          </w:p>
        </w:tc>
      </w:tr>
      <w:tr w:rsidR="008E2769" w14:paraId="1B3D0F39" w14:textId="77777777" w:rsidTr="53C268AF">
        <w:tc>
          <w:tcPr>
            <w:tcW w:w="524" w:type="pct"/>
          </w:tcPr>
          <w:p w14:paraId="30F703F1" w14:textId="493DA3F8" w:rsidR="008E2769" w:rsidRDefault="00A8596B" w:rsidP="005333E1">
            <w:r>
              <w:t>5</w:t>
            </w:r>
          </w:p>
        </w:tc>
        <w:tc>
          <w:tcPr>
            <w:tcW w:w="1756" w:type="pct"/>
          </w:tcPr>
          <w:p w14:paraId="0F5EF524" w14:textId="5476DAD0" w:rsidR="008E2769" w:rsidRDefault="00A8596B" w:rsidP="005333E1">
            <w:r>
              <w:t>Management objectives and outcomes to be achieved by Basin Plan</w:t>
            </w:r>
          </w:p>
        </w:tc>
        <w:tc>
          <w:tcPr>
            <w:tcW w:w="2720" w:type="pct"/>
          </w:tcPr>
          <w:p w14:paraId="48EF2F95" w14:textId="538E4DE5" w:rsidR="008E2769" w:rsidRPr="00B5666E" w:rsidRDefault="00834530" w:rsidP="005333E1">
            <w:pPr>
              <w:rPr>
                <w:b/>
              </w:rPr>
            </w:pPr>
            <w:r>
              <w:t>Provides</w:t>
            </w:r>
            <w:r w:rsidRPr="00834530">
              <w:t xml:space="preserve"> the foundational framework for planning, delivering, and evaluating environmental water management</w:t>
            </w:r>
            <w:r w:rsidR="00742525" w:rsidRPr="00742525">
              <w:t>, ensuring that monitoring results directly contribute to achieving and reporting on the Basin Plan’s environmental outcomes</w:t>
            </w:r>
            <w:r w:rsidR="008179F2">
              <w:t>.</w:t>
            </w:r>
          </w:p>
        </w:tc>
      </w:tr>
      <w:tr w:rsidR="006E6FCA" w14:paraId="51E36726" w14:textId="77777777" w:rsidTr="53C268AF">
        <w:tc>
          <w:tcPr>
            <w:tcW w:w="524" w:type="pct"/>
          </w:tcPr>
          <w:p w14:paraId="5ED864CD" w14:textId="4DCF34B8" w:rsidR="006E6FCA" w:rsidRDefault="006E6FCA" w:rsidP="005333E1">
            <w:r>
              <w:t>6</w:t>
            </w:r>
          </w:p>
        </w:tc>
        <w:tc>
          <w:tcPr>
            <w:tcW w:w="1756" w:type="pct"/>
          </w:tcPr>
          <w:p w14:paraId="2E9FF9DF" w14:textId="4800D2B9" w:rsidR="006E6FCA" w:rsidRDefault="00735C13" w:rsidP="005333E1">
            <w:r>
              <w:t>Water accounting</w:t>
            </w:r>
          </w:p>
        </w:tc>
        <w:tc>
          <w:tcPr>
            <w:tcW w:w="2720" w:type="pct"/>
          </w:tcPr>
          <w:p w14:paraId="4A419AFB" w14:textId="0FD156A2" w:rsidR="006E6FCA" w:rsidRDefault="00811B0D" w:rsidP="005333E1">
            <w:r>
              <w:t>Provides</w:t>
            </w:r>
            <w:r w:rsidRPr="007A1C6A">
              <w:t xml:space="preserve"> the technical foundation for water use data collection and reporting. Accurate water accounting enables robust evaluations of environmental outcomes and supports transparency and accountability in implementing the Basin Plan’s objectives.</w:t>
            </w:r>
          </w:p>
        </w:tc>
      </w:tr>
      <w:tr w:rsidR="008E2769" w14:paraId="5770AF72" w14:textId="77777777" w:rsidTr="53C268AF">
        <w:tc>
          <w:tcPr>
            <w:tcW w:w="524" w:type="pct"/>
          </w:tcPr>
          <w:p w14:paraId="107DC6FD" w14:textId="5FA7D7D1" w:rsidR="008E2769" w:rsidRDefault="00C21488" w:rsidP="005333E1">
            <w:r>
              <w:t>8</w:t>
            </w:r>
          </w:p>
        </w:tc>
        <w:tc>
          <w:tcPr>
            <w:tcW w:w="1756" w:type="pct"/>
          </w:tcPr>
          <w:p w14:paraId="4447A41D" w14:textId="08A0F3C0" w:rsidR="008E2769" w:rsidRDefault="00A8596B" w:rsidP="005333E1">
            <w:r>
              <w:t>Environmental watering plan</w:t>
            </w:r>
          </w:p>
        </w:tc>
        <w:tc>
          <w:tcPr>
            <w:tcW w:w="2720" w:type="pct"/>
          </w:tcPr>
          <w:p w14:paraId="0B6FBBF6" w14:textId="31D3BB6E" w:rsidR="008E2769" w:rsidRDefault="00EE3CC5" w:rsidP="005333E1">
            <w:r>
              <w:t>E</w:t>
            </w:r>
            <w:r w:rsidRPr="00EE3CC5">
              <w:t>nsures that environmental watering decisions are guided by robust monitoring and reporting, enabling the achievement of the Basin Plan's ecological objectives through adaptive management</w:t>
            </w:r>
            <w:r w:rsidR="00C91EAB">
              <w:t>.</w:t>
            </w:r>
          </w:p>
        </w:tc>
      </w:tr>
      <w:tr w:rsidR="008E2769" w14:paraId="16D02F1F" w14:textId="77777777" w:rsidTr="53C268AF">
        <w:tc>
          <w:tcPr>
            <w:tcW w:w="524" w:type="pct"/>
          </w:tcPr>
          <w:p w14:paraId="19078F4B" w14:textId="7B502FB0" w:rsidR="008E2769" w:rsidRDefault="00C21488" w:rsidP="005333E1">
            <w:r>
              <w:t>9</w:t>
            </w:r>
          </w:p>
        </w:tc>
        <w:tc>
          <w:tcPr>
            <w:tcW w:w="1756" w:type="pct"/>
          </w:tcPr>
          <w:p w14:paraId="5210F2C8" w14:textId="1D01E838" w:rsidR="008E2769" w:rsidRDefault="00A8596B" w:rsidP="005333E1">
            <w:r>
              <w:t>Water quality and salinity management plan</w:t>
            </w:r>
          </w:p>
        </w:tc>
        <w:tc>
          <w:tcPr>
            <w:tcW w:w="2720" w:type="pct"/>
          </w:tcPr>
          <w:p w14:paraId="6F3EC7E2" w14:textId="15EE7621" w:rsidR="008E2769" w:rsidRDefault="00C91EAB" w:rsidP="005333E1">
            <w:r>
              <w:t>I</w:t>
            </w:r>
            <w:r w:rsidRPr="00C91EAB">
              <w:t>ntegrates with MER by establishing clear environmental quality objectives, mandating ongoing monitoring, and linking findings to adaptive management. It ensures water quality and salinity management aligns with broader goals of improving the health of the Murray–Darling Basin's ecosystems</w:t>
            </w:r>
            <w:r w:rsidR="007A1C6A">
              <w:t>.</w:t>
            </w:r>
          </w:p>
        </w:tc>
      </w:tr>
      <w:tr w:rsidR="008E2769" w14:paraId="0EDC06F4" w14:textId="77777777" w:rsidTr="53C268AF">
        <w:tc>
          <w:tcPr>
            <w:tcW w:w="524" w:type="pct"/>
          </w:tcPr>
          <w:p w14:paraId="4BAC80A4" w14:textId="19DB1662" w:rsidR="008E2769" w:rsidRDefault="00C21488" w:rsidP="005333E1">
            <w:r>
              <w:t>10</w:t>
            </w:r>
          </w:p>
        </w:tc>
        <w:tc>
          <w:tcPr>
            <w:tcW w:w="1756" w:type="pct"/>
          </w:tcPr>
          <w:p w14:paraId="33CFFF40" w14:textId="3A3634A3" w:rsidR="008E2769" w:rsidRDefault="00A8596B" w:rsidP="005333E1">
            <w:r>
              <w:t>Water resource plan requirements</w:t>
            </w:r>
          </w:p>
        </w:tc>
        <w:tc>
          <w:tcPr>
            <w:tcW w:w="2720" w:type="pct"/>
          </w:tcPr>
          <w:p w14:paraId="4D8014C3" w14:textId="7A16F66A" w:rsidR="008E2769" w:rsidRDefault="007A1C6A" w:rsidP="005333E1">
            <w:r>
              <w:t>E</w:t>
            </w:r>
            <w:r w:rsidRPr="007A1C6A">
              <w:t>mbeds MER requirements into water resource plans, ensuring that environmental outcomes are consistently monitored, reported, and aligned with the Basin Plan's objectives.</w:t>
            </w:r>
          </w:p>
        </w:tc>
      </w:tr>
      <w:tr w:rsidR="008E2769" w14:paraId="19B2009A" w14:textId="77777777" w:rsidTr="53C268AF">
        <w:tc>
          <w:tcPr>
            <w:tcW w:w="524" w:type="pct"/>
          </w:tcPr>
          <w:p w14:paraId="2A0369E0" w14:textId="13230ED9" w:rsidR="008E2769" w:rsidRDefault="00C83C18" w:rsidP="005333E1">
            <w:r>
              <w:t>12</w:t>
            </w:r>
          </w:p>
        </w:tc>
        <w:tc>
          <w:tcPr>
            <w:tcW w:w="1756" w:type="pct"/>
          </w:tcPr>
          <w:p w14:paraId="600188CB" w14:textId="139B4DFE" w:rsidR="008E2769" w:rsidRDefault="00A8596B" w:rsidP="005333E1">
            <w:r>
              <w:t xml:space="preserve">Water </w:t>
            </w:r>
            <w:r w:rsidR="0038744B">
              <w:t>trading rules</w:t>
            </w:r>
          </w:p>
        </w:tc>
        <w:tc>
          <w:tcPr>
            <w:tcW w:w="2720" w:type="pct"/>
          </w:tcPr>
          <w:p w14:paraId="35E9CC75" w14:textId="6889E878" w:rsidR="008E2769" w:rsidRDefault="00811B0D" w:rsidP="005333E1">
            <w:r w:rsidRPr="00811B0D">
              <w:t>Water trading rules facilitate the trading of water rights within the Murray</w:t>
            </w:r>
            <w:r w:rsidR="00F85DBC">
              <w:t>–</w:t>
            </w:r>
            <w:r w:rsidRPr="00811B0D">
              <w:t xml:space="preserve">Darling Basin, allowing for more efficient water use and allocation. Importantly, </w:t>
            </w:r>
            <w:r w:rsidR="001D2C96">
              <w:t>it</w:t>
            </w:r>
            <w:r w:rsidR="001D2C96" w:rsidRPr="00811B0D">
              <w:t xml:space="preserve"> </w:t>
            </w:r>
            <w:r w:rsidRPr="00811B0D">
              <w:t>also ensure</w:t>
            </w:r>
            <w:r w:rsidR="001D2C96">
              <w:t>s</w:t>
            </w:r>
            <w:r w:rsidRPr="00811B0D">
              <w:t xml:space="preserve"> that water is available for environmental purposes, such as maintaining the health of rivers, wetlands, and floodplains</w:t>
            </w:r>
            <w:r>
              <w:t>.</w:t>
            </w:r>
          </w:p>
        </w:tc>
      </w:tr>
      <w:tr w:rsidR="008E2769" w14:paraId="00E7011C" w14:textId="77777777" w:rsidTr="53C268AF">
        <w:tc>
          <w:tcPr>
            <w:tcW w:w="524" w:type="pct"/>
          </w:tcPr>
          <w:p w14:paraId="5CCDE311" w14:textId="25D804E3" w:rsidR="008E2769" w:rsidRDefault="00C83C18" w:rsidP="005333E1">
            <w:r>
              <w:t>13</w:t>
            </w:r>
          </w:p>
        </w:tc>
        <w:tc>
          <w:tcPr>
            <w:tcW w:w="1756" w:type="pct"/>
          </w:tcPr>
          <w:p w14:paraId="618CFC2F" w14:textId="0C438BD3" w:rsidR="008E2769" w:rsidRDefault="00A8596B" w:rsidP="005333E1">
            <w:r>
              <w:t>Program for monitoring and evaluating the effectiveness of the Basin Plan</w:t>
            </w:r>
          </w:p>
        </w:tc>
        <w:tc>
          <w:tcPr>
            <w:tcW w:w="2720" w:type="pct"/>
          </w:tcPr>
          <w:p w14:paraId="78B37E53" w14:textId="733CBCDF" w:rsidR="008E2769" w:rsidRDefault="00213484" w:rsidP="005333E1">
            <w:r>
              <w:t>P</w:t>
            </w:r>
            <w:r w:rsidRPr="00213484">
              <w:t>rovid</w:t>
            </w:r>
            <w:r>
              <w:t>es</w:t>
            </w:r>
            <w:r w:rsidRPr="00213484">
              <w:t xml:space="preserve"> the structure and processes needed to evaluate environmental outcomes comprehensively and adaptively manage water resources across the Murray–Darling Basin.</w:t>
            </w:r>
          </w:p>
        </w:tc>
      </w:tr>
    </w:tbl>
    <w:p w14:paraId="47477B78" w14:textId="18B72E6C" w:rsidR="0085223A" w:rsidRPr="00FC1B50" w:rsidRDefault="0085223A" w:rsidP="53C268AF">
      <w:pPr>
        <w:jc w:val="both"/>
        <w:rPr>
          <w:rFonts w:eastAsia="Verdana" w:cs="Verdana"/>
          <w:color w:val="000000"/>
        </w:rPr>
      </w:pPr>
    </w:p>
    <w:p w14:paraId="13C01B15" w14:textId="0F72EAB8" w:rsidR="00DC1856" w:rsidRDefault="7206127F" w:rsidP="00960BD1">
      <w:pPr>
        <w:keepLines/>
        <w:jc w:val="both"/>
        <w:rPr>
          <w:i/>
          <w:iCs/>
          <w:color w:val="48555E" w:themeColor="text2"/>
          <w:sz w:val="18"/>
          <w:szCs w:val="18"/>
        </w:rPr>
      </w:pPr>
      <w:r w:rsidRPr="00FC1B50">
        <w:rPr>
          <w:rFonts w:eastAsia="Verdana" w:cs="Verdana"/>
          <w:color w:val="000000"/>
        </w:rPr>
        <w:lastRenderedPageBreak/>
        <w:t xml:space="preserve">Of particular importance to environmental outcomes are the reporting requirements stipulated in Schedule 12 of Chapter 13. Schedule 12 outlines specific </w:t>
      </w:r>
      <w:r w:rsidR="734D5EBA" w:rsidRPr="00FC1B50">
        <w:rPr>
          <w:rFonts w:eastAsia="Verdana" w:cs="Verdana"/>
          <w:color w:val="000000"/>
        </w:rPr>
        <w:t>matters that track progress</w:t>
      </w:r>
      <w:r w:rsidRPr="00FC1B50">
        <w:rPr>
          <w:rFonts w:eastAsia="Verdana" w:cs="Verdana"/>
          <w:color w:val="000000"/>
        </w:rPr>
        <w:t xml:space="preserve"> toward environmental, social, and economic outcomes. Matter reports form a comprehensive MER framework to ensure environmental outcomes are achieved. </w:t>
      </w:r>
      <w:r w:rsidR="03265666" w:rsidRPr="00FC1B50">
        <w:rPr>
          <w:rFonts w:eastAsia="Verdana" w:cs="Verdana"/>
        </w:rPr>
        <w:t xml:space="preserve">These reports guide the </w:t>
      </w:r>
      <w:r w:rsidR="5EE433FB" w:rsidRPr="00FC1B50">
        <w:rPr>
          <w:rFonts w:eastAsia="Verdana" w:cs="Verdana"/>
        </w:rPr>
        <w:t>assessment</w:t>
      </w:r>
      <w:r w:rsidR="03265666" w:rsidRPr="00FC1B50">
        <w:rPr>
          <w:rFonts w:eastAsia="Verdana" w:cs="Verdana"/>
        </w:rPr>
        <w:t xml:space="preserve"> of progress toward key objectives, with relevant matter reports for the stocktake </w:t>
      </w:r>
      <w:r w:rsidR="69B36A4D" w:rsidRPr="00FC1B50">
        <w:rPr>
          <w:rFonts w:eastAsia="Verdana" w:cs="Verdana"/>
        </w:rPr>
        <w:t xml:space="preserve">listed </w:t>
      </w:r>
      <w:r w:rsidR="03265666" w:rsidRPr="00FC1B50">
        <w:rPr>
          <w:rFonts w:eastAsia="Verdana" w:cs="Verdana"/>
        </w:rPr>
        <w:t xml:space="preserve">in </w:t>
      </w:r>
      <w:r w:rsidR="00E33501" w:rsidRPr="00FC1B50">
        <w:rPr>
          <w:rFonts w:eastAsia="Verdana" w:cs="Verdana"/>
        </w:rPr>
        <w:fldChar w:fldCharType="begin"/>
      </w:r>
      <w:r w:rsidR="00E33501" w:rsidRPr="00FC1B50">
        <w:rPr>
          <w:rFonts w:eastAsia="Verdana" w:cs="Verdana"/>
        </w:rPr>
        <w:instrText xml:space="preserve"> REF _Ref189210847 \h </w:instrText>
      </w:r>
      <w:r w:rsidR="00E33501" w:rsidRPr="00FC1B50">
        <w:rPr>
          <w:rFonts w:eastAsia="Verdana" w:cs="Verdana"/>
        </w:rPr>
      </w:r>
      <w:r w:rsidR="00E33501" w:rsidRPr="00FC1B50">
        <w:rPr>
          <w:rFonts w:eastAsia="Verdana" w:cs="Verdana"/>
        </w:rPr>
        <w:fldChar w:fldCharType="separate"/>
      </w:r>
      <w:r w:rsidR="00E33501">
        <w:t xml:space="preserve">Table </w:t>
      </w:r>
      <w:r w:rsidR="00E33501">
        <w:rPr>
          <w:noProof/>
        </w:rPr>
        <w:t>5</w:t>
      </w:r>
      <w:r w:rsidR="00E33501" w:rsidRPr="00FC1B50">
        <w:rPr>
          <w:rFonts w:eastAsia="Verdana" w:cs="Verdana"/>
        </w:rPr>
        <w:fldChar w:fldCharType="end"/>
      </w:r>
      <w:r w:rsidR="03265666" w:rsidRPr="00FC1B50">
        <w:rPr>
          <w:rFonts w:eastAsia="Verdana" w:cs="Verdana"/>
        </w:rPr>
        <w:t>.</w:t>
      </w:r>
      <w:bookmarkStart w:id="23" w:name="_Ref189210847"/>
    </w:p>
    <w:p w14:paraId="1DC316E3" w14:textId="130CE74F" w:rsidR="0085223A" w:rsidRPr="00FC1B50" w:rsidRDefault="00715662" w:rsidP="00A4470F">
      <w:pPr>
        <w:pStyle w:val="TableHeading"/>
        <w:rPr>
          <w:rFonts w:eastAsia="Verdana" w:cs="Verdana"/>
        </w:rPr>
      </w:pPr>
      <w:bookmarkStart w:id="24" w:name="_Toc200716148"/>
      <w:r>
        <w:t xml:space="preserve">Table </w:t>
      </w:r>
      <w:r>
        <w:fldChar w:fldCharType="begin"/>
      </w:r>
      <w:r>
        <w:instrText xml:space="preserve"> SEQ Table \* ARABIC </w:instrText>
      </w:r>
      <w:r>
        <w:fldChar w:fldCharType="separate"/>
      </w:r>
      <w:r>
        <w:rPr>
          <w:noProof/>
        </w:rPr>
        <w:t>5</w:t>
      </w:r>
      <w:r>
        <w:rPr>
          <w:noProof/>
        </w:rPr>
        <w:fldChar w:fldCharType="end"/>
      </w:r>
      <w:bookmarkEnd w:id="23"/>
      <w:r>
        <w:t>. Relevant Basin Plan</w:t>
      </w:r>
      <w:r w:rsidR="00AD3BEA">
        <w:t xml:space="preserve"> </w:t>
      </w:r>
      <w:r>
        <w:t>Schedule 12 Matter reports</w:t>
      </w:r>
      <w:bookmarkEnd w:id="24"/>
    </w:p>
    <w:tbl>
      <w:tblPr>
        <w:tblW w:w="0" w:type="auto"/>
        <w:tblLayout w:type="fixed"/>
        <w:tblLook w:val="06A0" w:firstRow="1" w:lastRow="0" w:firstColumn="1" w:lastColumn="0" w:noHBand="1" w:noVBand="1"/>
      </w:tblPr>
      <w:tblGrid>
        <w:gridCol w:w="709"/>
        <w:gridCol w:w="4200"/>
        <w:gridCol w:w="2062"/>
        <w:gridCol w:w="1393"/>
        <w:gridCol w:w="176"/>
        <w:gridCol w:w="1090"/>
      </w:tblGrid>
      <w:tr w:rsidR="53C268AF" w14:paraId="222E3B92" w14:textId="77777777" w:rsidTr="00296B88">
        <w:trPr>
          <w:trHeight w:val="510"/>
        </w:trPr>
        <w:tc>
          <w:tcPr>
            <w:tcW w:w="709" w:type="dxa"/>
            <w:tcBorders>
              <w:top w:val="nil"/>
              <w:left w:val="nil"/>
              <w:bottom w:val="nil"/>
              <w:right w:val="nil"/>
            </w:tcBorders>
            <w:shd w:val="clear" w:color="auto" w:fill="4C6968" w:themeFill="accent1"/>
            <w:vAlign w:val="center"/>
          </w:tcPr>
          <w:p w14:paraId="468D6848" w14:textId="2A6D958A" w:rsidR="53C268AF" w:rsidRDefault="53C268AF" w:rsidP="00A4470F">
            <w:pPr>
              <w:pStyle w:val="TableHeader"/>
              <w:rPr>
                <w:rFonts w:eastAsia="Verdana" w:cs="Verdana"/>
                <w:szCs w:val="20"/>
              </w:rPr>
            </w:pPr>
            <w:r w:rsidRPr="00A4470F">
              <w:rPr>
                <w:b w:val="0"/>
              </w:rPr>
              <w:t>Item</w:t>
            </w:r>
          </w:p>
        </w:tc>
        <w:tc>
          <w:tcPr>
            <w:tcW w:w="4200" w:type="dxa"/>
            <w:tcBorders>
              <w:top w:val="nil"/>
              <w:left w:val="nil"/>
              <w:bottom w:val="nil"/>
              <w:right w:val="nil"/>
            </w:tcBorders>
            <w:shd w:val="clear" w:color="auto" w:fill="4C6968" w:themeFill="accent1"/>
            <w:vAlign w:val="center"/>
          </w:tcPr>
          <w:p w14:paraId="32501E34" w14:textId="20489FD5" w:rsidR="53C268AF" w:rsidRDefault="53C268AF" w:rsidP="00A4470F">
            <w:pPr>
              <w:pStyle w:val="TableHeader"/>
              <w:rPr>
                <w:rFonts w:eastAsia="Verdana" w:cs="Verdana"/>
                <w:szCs w:val="20"/>
              </w:rPr>
            </w:pPr>
            <w:r w:rsidRPr="00A4470F">
              <w:rPr>
                <w:b w:val="0"/>
              </w:rPr>
              <w:t>Matter</w:t>
            </w:r>
          </w:p>
        </w:tc>
        <w:tc>
          <w:tcPr>
            <w:tcW w:w="2062" w:type="dxa"/>
            <w:tcBorders>
              <w:top w:val="nil"/>
              <w:left w:val="nil"/>
              <w:bottom w:val="nil"/>
              <w:right w:val="nil"/>
            </w:tcBorders>
            <w:shd w:val="clear" w:color="auto" w:fill="4C6968" w:themeFill="accent1"/>
            <w:vAlign w:val="center"/>
          </w:tcPr>
          <w:p w14:paraId="3BB1FC5A" w14:textId="75950D41" w:rsidR="53C268AF" w:rsidRDefault="53C268AF" w:rsidP="00A4470F">
            <w:pPr>
              <w:pStyle w:val="TableHeader"/>
              <w:rPr>
                <w:rFonts w:eastAsia="Verdana" w:cs="Verdana"/>
                <w:szCs w:val="20"/>
              </w:rPr>
            </w:pPr>
            <w:r w:rsidRPr="00A4470F">
              <w:rPr>
                <w:b w:val="0"/>
              </w:rPr>
              <w:t>Reporter</w:t>
            </w:r>
          </w:p>
        </w:tc>
        <w:tc>
          <w:tcPr>
            <w:tcW w:w="1393" w:type="dxa"/>
            <w:tcBorders>
              <w:top w:val="nil"/>
              <w:left w:val="nil"/>
              <w:bottom w:val="nil"/>
              <w:right w:val="nil"/>
            </w:tcBorders>
            <w:shd w:val="clear" w:color="auto" w:fill="4C6968" w:themeFill="accent1"/>
            <w:vAlign w:val="center"/>
          </w:tcPr>
          <w:p w14:paraId="62DB86B8" w14:textId="1B126C21" w:rsidR="53C268AF" w:rsidRDefault="53C268AF" w:rsidP="00A4470F">
            <w:pPr>
              <w:pStyle w:val="TableHeader"/>
              <w:rPr>
                <w:rFonts w:eastAsia="Verdana" w:cs="Verdana"/>
                <w:szCs w:val="20"/>
              </w:rPr>
            </w:pPr>
            <w:r w:rsidRPr="00A4470F">
              <w:rPr>
                <w:b w:val="0"/>
              </w:rPr>
              <w:t>Reporting Timeframe</w:t>
            </w:r>
          </w:p>
        </w:tc>
        <w:tc>
          <w:tcPr>
            <w:tcW w:w="1266" w:type="dxa"/>
            <w:gridSpan w:val="2"/>
            <w:tcBorders>
              <w:top w:val="nil"/>
              <w:left w:val="nil"/>
              <w:bottom w:val="nil"/>
              <w:right w:val="nil"/>
            </w:tcBorders>
            <w:shd w:val="clear" w:color="auto" w:fill="4C6968" w:themeFill="accent1"/>
            <w:vAlign w:val="center"/>
          </w:tcPr>
          <w:p w14:paraId="46B3F0F5" w14:textId="69EF8248" w:rsidR="53C268AF" w:rsidRDefault="53C268AF" w:rsidP="00A4470F">
            <w:pPr>
              <w:pStyle w:val="TableHeader"/>
              <w:rPr>
                <w:rFonts w:eastAsia="Verdana" w:cs="Verdana"/>
                <w:szCs w:val="20"/>
              </w:rPr>
            </w:pPr>
            <w:r w:rsidRPr="00A4470F">
              <w:rPr>
                <w:b w:val="0"/>
              </w:rPr>
              <w:t>Relevant Chapter</w:t>
            </w:r>
          </w:p>
        </w:tc>
      </w:tr>
      <w:tr w:rsidR="53C268AF" w14:paraId="51985661" w14:textId="77777777" w:rsidTr="00296B88">
        <w:trPr>
          <w:trHeight w:val="300"/>
        </w:trPr>
        <w:tc>
          <w:tcPr>
            <w:tcW w:w="709" w:type="dxa"/>
            <w:tcBorders>
              <w:top w:val="nil"/>
              <w:left w:val="nil"/>
              <w:bottom w:val="single" w:sz="8" w:space="0" w:color="000000"/>
              <w:right w:val="nil"/>
            </w:tcBorders>
            <w:vAlign w:val="center"/>
          </w:tcPr>
          <w:p w14:paraId="16478798" w14:textId="498CAF31" w:rsidR="53C268AF" w:rsidRDefault="53C268AF"/>
        </w:tc>
        <w:tc>
          <w:tcPr>
            <w:tcW w:w="4200" w:type="dxa"/>
            <w:tcBorders>
              <w:top w:val="nil"/>
              <w:left w:val="nil"/>
              <w:bottom w:val="single" w:sz="8" w:space="0" w:color="000000"/>
              <w:right w:val="nil"/>
            </w:tcBorders>
            <w:vAlign w:val="center"/>
          </w:tcPr>
          <w:p w14:paraId="0075CEFA" w14:textId="29C34DC8" w:rsidR="53C268AF" w:rsidRPr="00FC1B50" w:rsidRDefault="53C268AF" w:rsidP="00FC515A">
            <w:pPr>
              <w:spacing w:after="0"/>
              <w:rPr>
                <w:rFonts w:eastAsia="Verdana" w:cs="Verdana"/>
                <w:b/>
                <w:i/>
                <w:color w:val="000000"/>
              </w:rPr>
            </w:pPr>
            <w:r w:rsidRPr="00FC1B50">
              <w:rPr>
                <w:rFonts w:eastAsia="Verdana" w:cs="Verdana"/>
                <w:b/>
                <w:i/>
                <w:color w:val="000000"/>
              </w:rPr>
              <w:t>Basin Plan as whole</w:t>
            </w:r>
          </w:p>
        </w:tc>
        <w:tc>
          <w:tcPr>
            <w:tcW w:w="2062" w:type="dxa"/>
            <w:tcBorders>
              <w:top w:val="nil"/>
              <w:left w:val="nil"/>
              <w:bottom w:val="single" w:sz="8" w:space="0" w:color="000000"/>
              <w:right w:val="nil"/>
            </w:tcBorders>
            <w:vAlign w:val="center"/>
          </w:tcPr>
          <w:p w14:paraId="4ED7E324" w14:textId="4DBDC3E8" w:rsidR="53C268AF" w:rsidRDefault="53C268AF"/>
        </w:tc>
        <w:tc>
          <w:tcPr>
            <w:tcW w:w="1569" w:type="dxa"/>
            <w:gridSpan w:val="2"/>
            <w:tcBorders>
              <w:top w:val="nil"/>
              <w:left w:val="nil"/>
              <w:bottom w:val="single" w:sz="8" w:space="0" w:color="000000"/>
              <w:right w:val="nil"/>
            </w:tcBorders>
            <w:vAlign w:val="center"/>
          </w:tcPr>
          <w:p w14:paraId="318A1BA3" w14:textId="1C70EF03" w:rsidR="53C268AF" w:rsidRDefault="53C268AF"/>
        </w:tc>
        <w:tc>
          <w:tcPr>
            <w:tcW w:w="1090" w:type="dxa"/>
            <w:tcBorders>
              <w:top w:val="nil"/>
              <w:left w:val="nil"/>
              <w:bottom w:val="single" w:sz="8" w:space="0" w:color="000000"/>
              <w:right w:val="nil"/>
            </w:tcBorders>
            <w:vAlign w:val="bottom"/>
          </w:tcPr>
          <w:p w14:paraId="70C45AE5" w14:textId="2000039D" w:rsidR="53C268AF" w:rsidRDefault="53C268AF"/>
        </w:tc>
      </w:tr>
      <w:tr w:rsidR="53C268AF" w14:paraId="3DF2589D" w14:textId="77777777" w:rsidTr="00296B88">
        <w:trPr>
          <w:trHeight w:val="780"/>
        </w:trPr>
        <w:tc>
          <w:tcPr>
            <w:tcW w:w="709" w:type="dxa"/>
            <w:tcBorders>
              <w:top w:val="single" w:sz="8" w:space="0" w:color="000000"/>
              <w:left w:val="nil"/>
              <w:bottom w:val="single" w:sz="8" w:space="0" w:color="000000"/>
              <w:right w:val="nil"/>
            </w:tcBorders>
            <w:vAlign w:val="center"/>
          </w:tcPr>
          <w:p w14:paraId="021488DB" w14:textId="3A91F5B5" w:rsidR="53C268AF" w:rsidRPr="00FC1B50" w:rsidRDefault="53C268AF" w:rsidP="00FC515A">
            <w:pPr>
              <w:spacing w:after="0"/>
              <w:jc w:val="center"/>
              <w:rPr>
                <w:rFonts w:eastAsia="Verdana" w:cs="Verdana"/>
                <w:color w:val="000000"/>
              </w:rPr>
            </w:pPr>
            <w:r w:rsidRPr="00FC1B50">
              <w:rPr>
                <w:rFonts w:eastAsia="Verdana" w:cs="Verdana"/>
                <w:color w:val="000000"/>
              </w:rPr>
              <w:t>1</w:t>
            </w:r>
          </w:p>
        </w:tc>
        <w:tc>
          <w:tcPr>
            <w:tcW w:w="4200" w:type="dxa"/>
            <w:tcBorders>
              <w:top w:val="single" w:sz="8" w:space="0" w:color="000000"/>
              <w:left w:val="nil"/>
              <w:bottom w:val="single" w:sz="8" w:space="0" w:color="000000"/>
              <w:right w:val="nil"/>
            </w:tcBorders>
            <w:vAlign w:val="center"/>
          </w:tcPr>
          <w:p w14:paraId="10C83A16" w14:textId="70FE0FB2" w:rsidR="53C268AF" w:rsidRPr="00FC1B50" w:rsidRDefault="53C268AF" w:rsidP="53C268AF">
            <w:pPr>
              <w:spacing w:after="0"/>
              <w:rPr>
                <w:rFonts w:eastAsia="Verdana" w:cs="Verdana"/>
                <w:color w:val="000000"/>
              </w:rPr>
            </w:pPr>
            <w:r w:rsidRPr="00FC1B50">
              <w:rPr>
                <w:rFonts w:eastAsia="Verdana" w:cs="Verdana"/>
                <w:color w:val="000000"/>
              </w:rPr>
              <w:t>The transparency and effectiveness of the management of the Basin water resources</w:t>
            </w:r>
            <w:r w:rsidR="00E54924" w:rsidRPr="00FC1B50">
              <w:rPr>
                <w:rFonts w:eastAsia="Verdana" w:cs="Verdana"/>
                <w:color w:val="000000"/>
              </w:rPr>
              <w:t>.</w:t>
            </w:r>
          </w:p>
        </w:tc>
        <w:tc>
          <w:tcPr>
            <w:tcW w:w="2062" w:type="dxa"/>
            <w:tcBorders>
              <w:top w:val="single" w:sz="8" w:space="0" w:color="000000"/>
              <w:left w:val="nil"/>
              <w:bottom w:val="single" w:sz="8" w:space="0" w:color="000000"/>
              <w:right w:val="nil"/>
            </w:tcBorders>
            <w:vAlign w:val="center"/>
          </w:tcPr>
          <w:p w14:paraId="5B508176" w14:textId="2360C2EC" w:rsidR="53C268AF" w:rsidRPr="00FC1B50" w:rsidRDefault="53C268AF" w:rsidP="00FC515A">
            <w:pPr>
              <w:spacing w:after="0"/>
              <w:jc w:val="center"/>
              <w:rPr>
                <w:rFonts w:eastAsia="Verdana" w:cs="Verdana"/>
                <w:color w:val="000000"/>
              </w:rPr>
            </w:pPr>
            <w:r w:rsidRPr="00FC1B50">
              <w:rPr>
                <w:rFonts w:eastAsia="Verdana" w:cs="Verdana"/>
                <w:color w:val="000000"/>
              </w:rPr>
              <w:t>MDBA</w:t>
            </w:r>
          </w:p>
        </w:tc>
        <w:tc>
          <w:tcPr>
            <w:tcW w:w="1569" w:type="dxa"/>
            <w:gridSpan w:val="2"/>
            <w:tcBorders>
              <w:top w:val="single" w:sz="8" w:space="0" w:color="000000"/>
              <w:left w:val="nil"/>
              <w:bottom w:val="single" w:sz="8" w:space="0" w:color="000000"/>
              <w:right w:val="nil"/>
            </w:tcBorders>
            <w:vAlign w:val="center"/>
          </w:tcPr>
          <w:p w14:paraId="5CB48EEB" w14:textId="074C2042"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59A7FEB8" w14:textId="582D1F4B"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5</w:t>
            </w:r>
          </w:p>
        </w:tc>
      </w:tr>
      <w:tr w:rsidR="53C268AF" w14:paraId="5B1F6E6F" w14:textId="77777777" w:rsidTr="00296B88">
        <w:trPr>
          <w:trHeight w:val="1020"/>
        </w:trPr>
        <w:tc>
          <w:tcPr>
            <w:tcW w:w="709" w:type="dxa"/>
            <w:tcBorders>
              <w:top w:val="single" w:sz="8" w:space="0" w:color="000000"/>
              <w:left w:val="nil"/>
              <w:bottom w:val="single" w:sz="8" w:space="0" w:color="000000"/>
              <w:right w:val="nil"/>
            </w:tcBorders>
            <w:vAlign w:val="center"/>
          </w:tcPr>
          <w:p w14:paraId="01C90025" w14:textId="63279966" w:rsidR="53C268AF" w:rsidRPr="00FC1B50" w:rsidRDefault="53C268AF" w:rsidP="00FC515A">
            <w:pPr>
              <w:spacing w:after="0"/>
              <w:jc w:val="center"/>
              <w:rPr>
                <w:rFonts w:eastAsia="Verdana" w:cs="Verdana"/>
                <w:color w:val="000000"/>
              </w:rPr>
            </w:pPr>
            <w:r w:rsidRPr="00FC1B50">
              <w:rPr>
                <w:rFonts w:eastAsia="Verdana" w:cs="Verdana"/>
                <w:color w:val="000000"/>
              </w:rPr>
              <w:t>2</w:t>
            </w:r>
          </w:p>
        </w:tc>
        <w:tc>
          <w:tcPr>
            <w:tcW w:w="4200" w:type="dxa"/>
            <w:tcBorders>
              <w:top w:val="single" w:sz="8" w:space="0" w:color="000000"/>
              <w:left w:val="nil"/>
              <w:bottom w:val="single" w:sz="8" w:space="0" w:color="000000"/>
              <w:right w:val="nil"/>
            </w:tcBorders>
            <w:vAlign w:val="center"/>
          </w:tcPr>
          <w:p w14:paraId="65470C1D" w14:textId="27E9E040" w:rsidR="53C268AF" w:rsidRPr="00FC1B50" w:rsidRDefault="53C268AF" w:rsidP="00FC515A">
            <w:pPr>
              <w:spacing w:after="0"/>
              <w:rPr>
                <w:rFonts w:eastAsia="Verdana" w:cs="Verdana"/>
                <w:color w:val="000000"/>
              </w:rPr>
            </w:pPr>
            <w:r w:rsidRPr="00FC1B50">
              <w:rPr>
                <w:rFonts w:eastAsia="Verdana" w:cs="Verdana"/>
                <w:color w:val="000000"/>
              </w:rPr>
              <w:t>The protection and restoration of water-dependent ecosystems and ecosystem functions in the Murray</w:t>
            </w:r>
            <w:r w:rsidR="00F85DBC">
              <w:t>–</w:t>
            </w:r>
            <w:r w:rsidRPr="00FC1B50">
              <w:rPr>
                <w:rFonts w:eastAsia="Verdana" w:cs="Verdana"/>
                <w:color w:val="000000"/>
              </w:rPr>
              <w:t>Darling Basin, including for the purposes of strengthening their resilience in a changing climate.</w:t>
            </w:r>
          </w:p>
        </w:tc>
        <w:tc>
          <w:tcPr>
            <w:tcW w:w="2062" w:type="dxa"/>
            <w:tcBorders>
              <w:top w:val="single" w:sz="8" w:space="0" w:color="000000"/>
              <w:left w:val="nil"/>
              <w:bottom w:val="single" w:sz="8" w:space="0" w:color="000000"/>
              <w:right w:val="nil"/>
            </w:tcBorders>
            <w:vAlign w:val="center"/>
          </w:tcPr>
          <w:p w14:paraId="25EC75D1" w14:textId="26587EC7" w:rsidR="53C268AF" w:rsidRPr="00FC1B50" w:rsidRDefault="53C268AF" w:rsidP="00FC515A">
            <w:pPr>
              <w:spacing w:after="0"/>
              <w:jc w:val="center"/>
              <w:rPr>
                <w:rFonts w:eastAsia="Verdana" w:cs="Verdana"/>
                <w:color w:val="000000"/>
              </w:rPr>
            </w:pPr>
            <w:r w:rsidRPr="00FC1B50">
              <w:rPr>
                <w:rFonts w:eastAsia="Verdana" w:cs="Verdana"/>
                <w:color w:val="000000"/>
              </w:rPr>
              <w:t>MDBA</w:t>
            </w:r>
          </w:p>
        </w:tc>
        <w:tc>
          <w:tcPr>
            <w:tcW w:w="1569" w:type="dxa"/>
            <w:gridSpan w:val="2"/>
            <w:tcBorders>
              <w:top w:val="single" w:sz="8" w:space="0" w:color="000000"/>
              <w:left w:val="nil"/>
              <w:bottom w:val="single" w:sz="8" w:space="0" w:color="000000"/>
              <w:right w:val="nil"/>
            </w:tcBorders>
            <w:vAlign w:val="center"/>
          </w:tcPr>
          <w:p w14:paraId="29CC284E" w14:textId="1C94813A"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222DB175" w14:textId="39D5F053"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5</w:t>
            </w:r>
          </w:p>
        </w:tc>
      </w:tr>
      <w:tr w:rsidR="53C268AF" w14:paraId="08A916DD" w14:textId="77777777" w:rsidTr="00296B88">
        <w:trPr>
          <w:trHeight w:val="765"/>
        </w:trPr>
        <w:tc>
          <w:tcPr>
            <w:tcW w:w="709" w:type="dxa"/>
            <w:tcBorders>
              <w:top w:val="single" w:sz="8" w:space="0" w:color="000000"/>
              <w:left w:val="nil"/>
              <w:bottom w:val="single" w:sz="8" w:space="0" w:color="000000"/>
              <w:right w:val="nil"/>
            </w:tcBorders>
            <w:vAlign w:val="center"/>
          </w:tcPr>
          <w:p w14:paraId="0391C321" w14:textId="2A829DCB" w:rsidR="53C268AF" w:rsidRPr="00FC1B50" w:rsidRDefault="53C268AF" w:rsidP="00FC515A">
            <w:pPr>
              <w:spacing w:after="0"/>
              <w:jc w:val="center"/>
              <w:rPr>
                <w:rFonts w:eastAsia="Verdana" w:cs="Verdana"/>
                <w:color w:val="000000"/>
              </w:rPr>
            </w:pPr>
            <w:r w:rsidRPr="00FC1B50">
              <w:rPr>
                <w:rFonts w:eastAsia="Verdana" w:cs="Verdana"/>
                <w:color w:val="000000"/>
              </w:rPr>
              <w:t>3</w:t>
            </w:r>
          </w:p>
        </w:tc>
        <w:tc>
          <w:tcPr>
            <w:tcW w:w="4200" w:type="dxa"/>
            <w:tcBorders>
              <w:top w:val="single" w:sz="8" w:space="0" w:color="000000"/>
              <w:left w:val="nil"/>
              <w:bottom w:val="single" w:sz="8" w:space="0" w:color="000000"/>
              <w:right w:val="nil"/>
            </w:tcBorders>
            <w:vAlign w:val="center"/>
          </w:tcPr>
          <w:p w14:paraId="77B8BBBC" w14:textId="2D55A0BA" w:rsidR="53C268AF" w:rsidRPr="00FC1B50" w:rsidRDefault="53C268AF" w:rsidP="00FC515A">
            <w:pPr>
              <w:spacing w:after="0"/>
              <w:rPr>
                <w:rFonts w:eastAsia="Verdana" w:cs="Verdana"/>
                <w:color w:val="000000"/>
              </w:rPr>
            </w:pPr>
            <w:r w:rsidRPr="00FC1B50">
              <w:rPr>
                <w:rFonts w:eastAsia="Verdana" w:cs="Verdana"/>
                <w:color w:val="000000"/>
              </w:rPr>
              <w:t>The extent to which the Basin Plan has affected social, economic and environmental outcomes in the Murray</w:t>
            </w:r>
            <w:r w:rsidR="00F85DBC">
              <w:t>–</w:t>
            </w:r>
            <w:r w:rsidRPr="00FC1B50">
              <w:rPr>
                <w:rFonts w:eastAsia="Verdana" w:cs="Verdana"/>
                <w:color w:val="000000"/>
              </w:rPr>
              <w:t>Darling Basin</w:t>
            </w:r>
            <w:r w:rsidR="00E54924" w:rsidRPr="00FC1B50">
              <w:rPr>
                <w:rFonts w:eastAsia="Verdana" w:cs="Verdana"/>
                <w:color w:val="000000"/>
              </w:rPr>
              <w:t>.</w:t>
            </w:r>
          </w:p>
        </w:tc>
        <w:tc>
          <w:tcPr>
            <w:tcW w:w="2062" w:type="dxa"/>
            <w:tcBorders>
              <w:top w:val="single" w:sz="8" w:space="0" w:color="000000"/>
              <w:left w:val="nil"/>
              <w:bottom w:val="single" w:sz="8" w:space="0" w:color="000000"/>
              <w:right w:val="nil"/>
            </w:tcBorders>
            <w:vAlign w:val="center"/>
          </w:tcPr>
          <w:p w14:paraId="45181256" w14:textId="59816C6D" w:rsidR="53C268AF" w:rsidRPr="00FC1B50" w:rsidRDefault="53C268AF" w:rsidP="00FC515A">
            <w:pPr>
              <w:spacing w:after="0"/>
              <w:jc w:val="center"/>
              <w:rPr>
                <w:rFonts w:eastAsia="Verdana" w:cs="Verdana"/>
                <w:color w:val="000000"/>
              </w:rPr>
            </w:pPr>
            <w:r w:rsidRPr="00FC1B50">
              <w:rPr>
                <w:rFonts w:eastAsia="Verdana" w:cs="Verdana"/>
                <w:color w:val="000000"/>
              </w:rPr>
              <w:t>Department, MDBA</w:t>
            </w:r>
          </w:p>
        </w:tc>
        <w:tc>
          <w:tcPr>
            <w:tcW w:w="1569" w:type="dxa"/>
            <w:gridSpan w:val="2"/>
            <w:tcBorders>
              <w:top w:val="single" w:sz="8" w:space="0" w:color="000000"/>
              <w:left w:val="nil"/>
              <w:bottom w:val="single" w:sz="8" w:space="0" w:color="000000"/>
              <w:right w:val="nil"/>
            </w:tcBorders>
            <w:vAlign w:val="center"/>
          </w:tcPr>
          <w:p w14:paraId="432F500A" w14:textId="3E402F94"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32132D7D" w14:textId="0594A7A3"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5</w:t>
            </w:r>
          </w:p>
        </w:tc>
      </w:tr>
      <w:tr w:rsidR="53C268AF" w14:paraId="14C28C8F" w14:textId="77777777" w:rsidTr="00296B88">
        <w:trPr>
          <w:trHeight w:val="510"/>
        </w:trPr>
        <w:tc>
          <w:tcPr>
            <w:tcW w:w="709" w:type="dxa"/>
            <w:tcBorders>
              <w:top w:val="single" w:sz="8" w:space="0" w:color="000000"/>
              <w:left w:val="nil"/>
              <w:bottom w:val="single" w:sz="8" w:space="0" w:color="000000"/>
              <w:right w:val="nil"/>
            </w:tcBorders>
            <w:vAlign w:val="center"/>
          </w:tcPr>
          <w:p w14:paraId="3063DF17" w14:textId="1B10BE93" w:rsidR="53C268AF" w:rsidRPr="00FC1B50" w:rsidRDefault="53C268AF" w:rsidP="00FC515A">
            <w:pPr>
              <w:spacing w:after="0"/>
              <w:jc w:val="center"/>
              <w:rPr>
                <w:rFonts w:eastAsia="Verdana" w:cs="Verdana"/>
                <w:color w:val="000000"/>
              </w:rPr>
            </w:pPr>
            <w:r w:rsidRPr="00FC1B50">
              <w:rPr>
                <w:rFonts w:eastAsia="Verdana" w:cs="Verdana"/>
                <w:color w:val="000000"/>
              </w:rPr>
              <w:t>4</w:t>
            </w:r>
          </w:p>
        </w:tc>
        <w:tc>
          <w:tcPr>
            <w:tcW w:w="4200" w:type="dxa"/>
            <w:tcBorders>
              <w:top w:val="single" w:sz="8" w:space="0" w:color="000000"/>
              <w:left w:val="nil"/>
              <w:bottom w:val="single" w:sz="8" w:space="0" w:color="000000"/>
              <w:right w:val="nil"/>
            </w:tcBorders>
            <w:vAlign w:val="center"/>
          </w:tcPr>
          <w:p w14:paraId="5953FC2E" w14:textId="20D18E59" w:rsidR="53C268AF" w:rsidRPr="00FC1B50" w:rsidRDefault="53C268AF" w:rsidP="00FC515A">
            <w:pPr>
              <w:spacing w:after="0"/>
              <w:rPr>
                <w:rFonts w:eastAsia="Verdana" w:cs="Verdana"/>
                <w:color w:val="000000"/>
              </w:rPr>
            </w:pPr>
            <w:r w:rsidRPr="00FC1B50">
              <w:rPr>
                <w:rFonts w:eastAsia="Verdana" w:cs="Verdana"/>
                <w:color w:val="000000"/>
              </w:rPr>
              <w:t>The effectiveness of the management of risks to Basin water resources.</w:t>
            </w:r>
          </w:p>
        </w:tc>
        <w:tc>
          <w:tcPr>
            <w:tcW w:w="2062" w:type="dxa"/>
            <w:tcBorders>
              <w:top w:val="single" w:sz="8" w:space="0" w:color="000000"/>
              <w:left w:val="nil"/>
              <w:bottom w:val="single" w:sz="8" w:space="0" w:color="000000"/>
              <w:right w:val="nil"/>
            </w:tcBorders>
            <w:vAlign w:val="center"/>
          </w:tcPr>
          <w:p w14:paraId="7C172DAA" w14:textId="503F8058" w:rsidR="53C268AF" w:rsidRPr="00FC1B50" w:rsidRDefault="53C268AF" w:rsidP="00FC515A">
            <w:pPr>
              <w:spacing w:after="0"/>
              <w:jc w:val="center"/>
              <w:rPr>
                <w:rFonts w:eastAsia="Verdana" w:cs="Verdana"/>
                <w:color w:val="000000"/>
              </w:rPr>
            </w:pPr>
            <w:r w:rsidRPr="00FC1B50">
              <w:rPr>
                <w:rFonts w:eastAsia="Verdana" w:cs="Verdana"/>
                <w:color w:val="000000"/>
              </w:rPr>
              <w:t>Basin States, MDBA</w:t>
            </w:r>
          </w:p>
        </w:tc>
        <w:tc>
          <w:tcPr>
            <w:tcW w:w="1569" w:type="dxa"/>
            <w:gridSpan w:val="2"/>
            <w:tcBorders>
              <w:top w:val="single" w:sz="8" w:space="0" w:color="000000"/>
              <w:left w:val="nil"/>
              <w:bottom w:val="single" w:sz="8" w:space="0" w:color="000000"/>
              <w:right w:val="nil"/>
            </w:tcBorders>
            <w:vAlign w:val="center"/>
          </w:tcPr>
          <w:p w14:paraId="7F8D8678" w14:textId="7B1EBC89" w:rsidR="53C268AF" w:rsidRPr="00FC1B50" w:rsidRDefault="53C268AF"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05A8E99A" w14:textId="09F3CEB9" w:rsidR="53C268AF" w:rsidRPr="00FC1B50" w:rsidRDefault="53C268AF" w:rsidP="00FC515A">
            <w:pPr>
              <w:spacing w:after="0"/>
              <w:jc w:val="center"/>
              <w:rPr>
                <w:rFonts w:eastAsia="Verdana" w:cs="Verdana"/>
                <w:color w:val="000000"/>
              </w:rPr>
            </w:pPr>
            <w:r w:rsidRPr="00FC1B50">
              <w:rPr>
                <w:rFonts w:eastAsia="Verdana" w:cs="Verdana"/>
                <w:color w:val="000000"/>
              </w:rPr>
              <w:t>4, 5, 10</w:t>
            </w:r>
          </w:p>
        </w:tc>
      </w:tr>
      <w:tr w:rsidR="53C268AF" w14:paraId="633A53FE" w14:textId="77777777" w:rsidTr="00296B88">
        <w:trPr>
          <w:trHeight w:val="510"/>
        </w:trPr>
        <w:tc>
          <w:tcPr>
            <w:tcW w:w="709" w:type="dxa"/>
            <w:tcBorders>
              <w:top w:val="single" w:sz="8" w:space="0" w:color="000000"/>
              <w:left w:val="nil"/>
              <w:bottom w:val="single" w:sz="8" w:space="0" w:color="000000"/>
              <w:right w:val="nil"/>
            </w:tcBorders>
            <w:vAlign w:val="center"/>
          </w:tcPr>
          <w:p w14:paraId="78C8C8CE" w14:textId="68D57CCB" w:rsidR="53C268AF" w:rsidRPr="00FC1B50" w:rsidRDefault="53C268AF" w:rsidP="00FC515A">
            <w:pPr>
              <w:spacing w:after="0"/>
              <w:jc w:val="center"/>
              <w:rPr>
                <w:rFonts w:eastAsia="Verdana" w:cs="Verdana"/>
                <w:color w:val="000000"/>
              </w:rPr>
            </w:pPr>
            <w:r w:rsidRPr="00FC1B50">
              <w:rPr>
                <w:rFonts w:eastAsia="Verdana" w:cs="Verdana"/>
                <w:color w:val="000000"/>
              </w:rPr>
              <w:t>5</w:t>
            </w:r>
          </w:p>
        </w:tc>
        <w:tc>
          <w:tcPr>
            <w:tcW w:w="4200" w:type="dxa"/>
            <w:tcBorders>
              <w:top w:val="single" w:sz="8" w:space="0" w:color="000000"/>
              <w:left w:val="nil"/>
              <w:bottom w:val="single" w:sz="8" w:space="0" w:color="000000"/>
              <w:right w:val="nil"/>
            </w:tcBorders>
            <w:vAlign w:val="center"/>
          </w:tcPr>
          <w:p w14:paraId="6B24C4D6" w14:textId="38E1643A" w:rsidR="53C268AF" w:rsidRPr="00FC1B50" w:rsidRDefault="53C268AF" w:rsidP="00FC515A">
            <w:pPr>
              <w:spacing w:after="0"/>
              <w:rPr>
                <w:rFonts w:eastAsia="Verdana" w:cs="Verdana"/>
                <w:color w:val="000000"/>
              </w:rPr>
            </w:pPr>
            <w:r w:rsidRPr="00FC1B50">
              <w:rPr>
                <w:rFonts w:eastAsia="Verdana" w:cs="Verdana"/>
                <w:color w:val="000000"/>
              </w:rPr>
              <w:t>The transition to long-term average sustainable diversion limits.</w:t>
            </w:r>
          </w:p>
        </w:tc>
        <w:tc>
          <w:tcPr>
            <w:tcW w:w="2062" w:type="dxa"/>
            <w:tcBorders>
              <w:top w:val="single" w:sz="8" w:space="0" w:color="000000"/>
              <w:left w:val="nil"/>
              <w:bottom w:val="single" w:sz="8" w:space="0" w:color="000000"/>
              <w:right w:val="nil"/>
            </w:tcBorders>
            <w:vAlign w:val="center"/>
          </w:tcPr>
          <w:p w14:paraId="5DD8C762" w14:textId="741714DB" w:rsidR="53C268AF" w:rsidRPr="00FC1B50" w:rsidRDefault="53C268AF" w:rsidP="00FC515A">
            <w:pPr>
              <w:spacing w:after="0"/>
              <w:jc w:val="center"/>
              <w:rPr>
                <w:rFonts w:eastAsia="Verdana" w:cs="Verdana"/>
                <w:color w:val="000000"/>
              </w:rPr>
            </w:pPr>
            <w:r w:rsidRPr="00FC1B50">
              <w:rPr>
                <w:rFonts w:eastAsia="Verdana" w:cs="Verdana"/>
                <w:color w:val="000000"/>
              </w:rPr>
              <w:t>Department</w:t>
            </w:r>
          </w:p>
        </w:tc>
        <w:tc>
          <w:tcPr>
            <w:tcW w:w="1569" w:type="dxa"/>
            <w:gridSpan w:val="2"/>
            <w:tcBorders>
              <w:top w:val="single" w:sz="8" w:space="0" w:color="000000"/>
              <w:left w:val="nil"/>
              <w:bottom w:val="single" w:sz="8" w:space="0" w:color="000000"/>
              <w:right w:val="nil"/>
            </w:tcBorders>
            <w:vAlign w:val="center"/>
          </w:tcPr>
          <w:p w14:paraId="3599A1AC" w14:textId="4DF0CA63" w:rsidR="53C268AF" w:rsidRPr="00FC1B50" w:rsidRDefault="53C268AF"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66D6D18D" w14:textId="0FAFD131" w:rsidR="53C268AF" w:rsidRPr="00FC1B50" w:rsidRDefault="53C268AF" w:rsidP="00FC515A">
            <w:pPr>
              <w:spacing w:after="0"/>
              <w:jc w:val="center"/>
              <w:rPr>
                <w:rFonts w:eastAsia="Verdana" w:cs="Verdana"/>
                <w:color w:val="000000"/>
              </w:rPr>
            </w:pPr>
            <w:r w:rsidRPr="00FC1B50">
              <w:rPr>
                <w:rFonts w:eastAsia="Verdana" w:cs="Verdana"/>
                <w:color w:val="000000"/>
              </w:rPr>
              <w:t>5, 6</w:t>
            </w:r>
          </w:p>
        </w:tc>
      </w:tr>
      <w:tr w:rsidR="53C268AF" w14:paraId="206C51AF" w14:textId="77777777" w:rsidTr="00296B88">
        <w:trPr>
          <w:trHeight w:val="510"/>
        </w:trPr>
        <w:tc>
          <w:tcPr>
            <w:tcW w:w="709" w:type="dxa"/>
            <w:tcBorders>
              <w:top w:val="single" w:sz="8" w:space="0" w:color="000000"/>
              <w:left w:val="nil"/>
              <w:bottom w:val="single" w:sz="8" w:space="0" w:color="000000"/>
              <w:right w:val="nil"/>
            </w:tcBorders>
            <w:vAlign w:val="center"/>
          </w:tcPr>
          <w:p w14:paraId="20974968" w14:textId="44538DC7" w:rsidR="53C268AF" w:rsidRPr="00FC1B50" w:rsidRDefault="53C268AF" w:rsidP="00FC515A">
            <w:pPr>
              <w:spacing w:after="0"/>
              <w:jc w:val="center"/>
              <w:rPr>
                <w:rFonts w:eastAsia="Verdana" w:cs="Verdana"/>
                <w:color w:val="000000"/>
              </w:rPr>
            </w:pPr>
            <w:r w:rsidRPr="00FC1B50">
              <w:rPr>
                <w:rFonts w:eastAsia="Verdana" w:cs="Verdana"/>
                <w:color w:val="000000"/>
              </w:rPr>
              <w:t>6</w:t>
            </w:r>
          </w:p>
        </w:tc>
        <w:tc>
          <w:tcPr>
            <w:tcW w:w="4200" w:type="dxa"/>
            <w:tcBorders>
              <w:top w:val="single" w:sz="8" w:space="0" w:color="000000"/>
              <w:left w:val="nil"/>
              <w:bottom w:val="single" w:sz="8" w:space="0" w:color="000000"/>
              <w:right w:val="nil"/>
            </w:tcBorders>
            <w:vAlign w:val="center"/>
          </w:tcPr>
          <w:p w14:paraId="223F199B" w14:textId="3008551F" w:rsidR="53C268AF" w:rsidRPr="00FC1B50" w:rsidRDefault="53C268AF" w:rsidP="00FC515A">
            <w:pPr>
              <w:spacing w:after="0"/>
              <w:rPr>
                <w:rFonts w:eastAsia="Verdana" w:cs="Verdana"/>
                <w:color w:val="000000"/>
              </w:rPr>
            </w:pPr>
            <w:r w:rsidRPr="00FC1B50">
              <w:rPr>
                <w:rFonts w:eastAsia="Verdana" w:cs="Verdana"/>
                <w:color w:val="000000"/>
              </w:rPr>
              <w:t>The extent to which local knowledge and solutions inform the implementation of the Basin Plan.</w:t>
            </w:r>
          </w:p>
        </w:tc>
        <w:tc>
          <w:tcPr>
            <w:tcW w:w="2062" w:type="dxa"/>
            <w:tcBorders>
              <w:top w:val="single" w:sz="8" w:space="0" w:color="000000"/>
              <w:left w:val="nil"/>
              <w:bottom w:val="single" w:sz="8" w:space="0" w:color="000000"/>
              <w:right w:val="nil"/>
            </w:tcBorders>
            <w:vAlign w:val="center"/>
          </w:tcPr>
          <w:p w14:paraId="0F799D04" w14:textId="38308808" w:rsidR="53C268AF" w:rsidRPr="00FC1B50" w:rsidRDefault="53C268AF" w:rsidP="00FC515A">
            <w:pPr>
              <w:spacing w:after="0"/>
              <w:jc w:val="center"/>
              <w:rPr>
                <w:rFonts w:eastAsia="Verdana" w:cs="Verdana"/>
                <w:color w:val="000000"/>
              </w:rPr>
            </w:pPr>
            <w:r w:rsidRPr="00FC1B50">
              <w:rPr>
                <w:rFonts w:eastAsia="Verdana" w:cs="Verdana"/>
                <w:color w:val="000000"/>
              </w:rPr>
              <w:t>Basin States, MDBA, CEWH</w:t>
            </w:r>
          </w:p>
        </w:tc>
        <w:tc>
          <w:tcPr>
            <w:tcW w:w="1569" w:type="dxa"/>
            <w:gridSpan w:val="2"/>
            <w:tcBorders>
              <w:top w:val="single" w:sz="8" w:space="0" w:color="000000"/>
              <w:left w:val="nil"/>
              <w:bottom w:val="single" w:sz="8" w:space="0" w:color="000000"/>
              <w:right w:val="nil"/>
            </w:tcBorders>
            <w:vAlign w:val="center"/>
          </w:tcPr>
          <w:p w14:paraId="4FA00FBC" w14:textId="5C449FEE" w:rsidR="53C268AF" w:rsidRPr="00FC1B50" w:rsidRDefault="53C268AF"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3044BC37" w14:textId="1E02AF1A" w:rsidR="53C268AF" w:rsidRPr="00FC1B50" w:rsidRDefault="53C268AF" w:rsidP="00FC515A">
            <w:pPr>
              <w:spacing w:after="0"/>
              <w:jc w:val="center"/>
              <w:rPr>
                <w:rFonts w:eastAsia="Verdana" w:cs="Verdana"/>
                <w:color w:val="000000"/>
              </w:rPr>
            </w:pPr>
            <w:r w:rsidRPr="00FC1B50">
              <w:rPr>
                <w:rFonts w:eastAsia="Verdana" w:cs="Verdana"/>
                <w:color w:val="000000"/>
              </w:rPr>
              <w:t>6, 8, 10</w:t>
            </w:r>
          </w:p>
        </w:tc>
      </w:tr>
      <w:tr w:rsidR="53C268AF" w14:paraId="231627C1" w14:textId="77777777" w:rsidTr="00296B88">
        <w:trPr>
          <w:trHeight w:val="300"/>
        </w:trPr>
        <w:tc>
          <w:tcPr>
            <w:tcW w:w="709" w:type="dxa"/>
            <w:tcBorders>
              <w:top w:val="single" w:sz="8" w:space="0" w:color="000000"/>
              <w:left w:val="nil"/>
              <w:bottom w:val="single" w:sz="8" w:space="0" w:color="000000"/>
              <w:right w:val="nil"/>
            </w:tcBorders>
            <w:vAlign w:val="center"/>
          </w:tcPr>
          <w:p w14:paraId="69A320DF" w14:textId="62EE01EE" w:rsidR="53C268AF" w:rsidRDefault="53C268AF"/>
        </w:tc>
        <w:tc>
          <w:tcPr>
            <w:tcW w:w="4200" w:type="dxa"/>
            <w:tcBorders>
              <w:top w:val="single" w:sz="8" w:space="0" w:color="000000"/>
              <w:left w:val="nil"/>
              <w:bottom w:val="single" w:sz="8" w:space="0" w:color="000000"/>
              <w:right w:val="nil"/>
            </w:tcBorders>
            <w:vAlign w:val="center"/>
          </w:tcPr>
          <w:p w14:paraId="48531E6E" w14:textId="205ABF10" w:rsidR="53C268AF" w:rsidRPr="00FC1B50" w:rsidRDefault="53C268AF" w:rsidP="00FC515A">
            <w:pPr>
              <w:spacing w:after="0"/>
              <w:rPr>
                <w:rFonts w:eastAsia="Verdana" w:cs="Verdana"/>
                <w:b/>
                <w:i/>
                <w:color w:val="000000"/>
              </w:rPr>
            </w:pPr>
            <w:r w:rsidRPr="00FC1B50">
              <w:rPr>
                <w:rFonts w:eastAsia="Verdana" w:cs="Verdana"/>
                <w:b/>
                <w:i/>
                <w:color w:val="000000"/>
              </w:rPr>
              <w:t>Environmental watering plan</w:t>
            </w:r>
          </w:p>
        </w:tc>
        <w:tc>
          <w:tcPr>
            <w:tcW w:w="2062" w:type="dxa"/>
            <w:tcBorders>
              <w:top w:val="single" w:sz="8" w:space="0" w:color="000000"/>
              <w:left w:val="nil"/>
              <w:bottom w:val="single" w:sz="8" w:space="0" w:color="000000"/>
              <w:right w:val="nil"/>
            </w:tcBorders>
            <w:vAlign w:val="center"/>
          </w:tcPr>
          <w:p w14:paraId="51CCF07D" w14:textId="5F7CC3AA" w:rsidR="53C268AF" w:rsidRDefault="53C268AF"/>
        </w:tc>
        <w:tc>
          <w:tcPr>
            <w:tcW w:w="1569" w:type="dxa"/>
            <w:gridSpan w:val="2"/>
            <w:tcBorders>
              <w:top w:val="single" w:sz="8" w:space="0" w:color="000000"/>
              <w:left w:val="nil"/>
              <w:bottom w:val="single" w:sz="8" w:space="0" w:color="000000"/>
              <w:right w:val="nil"/>
            </w:tcBorders>
            <w:vAlign w:val="center"/>
          </w:tcPr>
          <w:p w14:paraId="02162CE1" w14:textId="4CB984C7" w:rsidR="53C268AF" w:rsidRDefault="53C268AF"/>
        </w:tc>
        <w:tc>
          <w:tcPr>
            <w:tcW w:w="1090" w:type="dxa"/>
            <w:tcBorders>
              <w:top w:val="single" w:sz="8" w:space="0" w:color="000000"/>
              <w:left w:val="nil"/>
              <w:bottom w:val="single" w:sz="8" w:space="0" w:color="000000"/>
              <w:right w:val="nil"/>
            </w:tcBorders>
            <w:vAlign w:val="center"/>
          </w:tcPr>
          <w:p w14:paraId="486CC464" w14:textId="04A0CEF5" w:rsidR="53C268AF" w:rsidRDefault="53C268AF"/>
        </w:tc>
      </w:tr>
      <w:tr w:rsidR="53C268AF" w14:paraId="5C56F4BE" w14:textId="77777777" w:rsidTr="00296B88">
        <w:trPr>
          <w:trHeight w:val="510"/>
        </w:trPr>
        <w:tc>
          <w:tcPr>
            <w:tcW w:w="709" w:type="dxa"/>
            <w:tcBorders>
              <w:top w:val="single" w:sz="8" w:space="0" w:color="000000"/>
              <w:left w:val="nil"/>
              <w:bottom w:val="single" w:sz="8" w:space="0" w:color="000000"/>
              <w:right w:val="nil"/>
            </w:tcBorders>
            <w:vAlign w:val="center"/>
          </w:tcPr>
          <w:p w14:paraId="3C07E38B" w14:textId="4880FD53" w:rsidR="53C268AF" w:rsidRPr="00FC1B50" w:rsidRDefault="53C268AF" w:rsidP="00FC515A">
            <w:pPr>
              <w:spacing w:after="0"/>
              <w:jc w:val="center"/>
              <w:rPr>
                <w:rFonts w:eastAsia="Verdana" w:cs="Verdana"/>
                <w:color w:val="000000"/>
              </w:rPr>
            </w:pPr>
            <w:r w:rsidRPr="00FC1B50">
              <w:rPr>
                <w:rFonts w:eastAsia="Verdana" w:cs="Verdana"/>
                <w:color w:val="000000"/>
              </w:rPr>
              <w:t>7</w:t>
            </w:r>
          </w:p>
        </w:tc>
        <w:tc>
          <w:tcPr>
            <w:tcW w:w="4200" w:type="dxa"/>
            <w:tcBorders>
              <w:top w:val="single" w:sz="8" w:space="0" w:color="000000"/>
              <w:left w:val="nil"/>
              <w:bottom w:val="single" w:sz="8" w:space="0" w:color="000000"/>
              <w:right w:val="nil"/>
            </w:tcBorders>
            <w:vAlign w:val="center"/>
          </w:tcPr>
          <w:p w14:paraId="4B994AA9" w14:textId="18C4BDC8" w:rsidR="53C268AF" w:rsidRPr="00FC1B50" w:rsidRDefault="53C268AF" w:rsidP="00FC515A">
            <w:pPr>
              <w:spacing w:after="0"/>
              <w:rPr>
                <w:rFonts w:eastAsia="Verdana" w:cs="Verdana"/>
                <w:color w:val="000000"/>
              </w:rPr>
            </w:pPr>
            <w:r w:rsidRPr="00FC1B50">
              <w:rPr>
                <w:rFonts w:eastAsia="Verdana" w:cs="Verdana"/>
                <w:color w:val="000000"/>
              </w:rPr>
              <w:t>The achievement of environmental outcomes at a Basin scale, by reference to the targets in Schedule 7.</w:t>
            </w:r>
          </w:p>
        </w:tc>
        <w:tc>
          <w:tcPr>
            <w:tcW w:w="2062" w:type="dxa"/>
            <w:tcBorders>
              <w:top w:val="single" w:sz="8" w:space="0" w:color="000000"/>
              <w:left w:val="nil"/>
              <w:bottom w:val="single" w:sz="8" w:space="0" w:color="000000"/>
              <w:right w:val="nil"/>
            </w:tcBorders>
            <w:vAlign w:val="center"/>
          </w:tcPr>
          <w:p w14:paraId="5680E5A6" w14:textId="3D4F962C" w:rsidR="53C268AF" w:rsidRPr="00FC1B50" w:rsidRDefault="53C268AF" w:rsidP="00FC515A">
            <w:pPr>
              <w:spacing w:after="0"/>
              <w:jc w:val="center"/>
              <w:rPr>
                <w:rFonts w:eastAsia="Verdana" w:cs="Verdana"/>
                <w:color w:val="000000"/>
              </w:rPr>
            </w:pPr>
            <w:r w:rsidRPr="00FC1B50">
              <w:rPr>
                <w:rFonts w:eastAsia="Verdana" w:cs="Verdana"/>
                <w:color w:val="000000"/>
              </w:rPr>
              <w:t>MDBA, CEWH</w:t>
            </w:r>
          </w:p>
        </w:tc>
        <w:tc>
          <w:tcPr>
            <w:tcW w:w="1569" w:type="dxa"/>
            <w:gridSpan w:val="2"/>
            <w:tcBorders>
              <w:top w:val="single" w:sz="8" w:space="0" w:color="000000"/>
              <w:left w:val="nil"/>
              <w:bottom w:val="single" w:sz="8" w:space="0" w:color="000000"/>
              <w:right w:val="nil"/>
            </w:tcBorders>
            <w:vAlign w:val="center"/>
          </w:tcPr>
          <w:p w14:paraId="664EA633" w14:textId="108249F1"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3FBB01DC" w14:textId="0CDCC52B"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8</w:t>
            </w:r>
          </w:p>
        </w:tc>
      </w:tr>
      <w:tr w:rsidR="53C268AF" w14:paraId="4C25E767" w14:textId="77777777" w:rsidTr="00296B88">
        <w:trPr>
          <w:trHeight w:val="510"/>
        </w:trPr>
        <w:tc>
          <w:tcPr>
            <w:tcW w:w="709" w:type="dxa"/>
            <w:tcBorders>
              <w:top w:val="single" w:sz="8" w:space="0" w:color="000000"/>
              <w:left w:val="nil"/>
              <w:bottom w:val="single" w:sz="8" w:space="0" w:color="000000"/>
              <w:right w:val="nil"/>
            </w:tcBorders>
            <w:vAlign w:val="center"/>
          </w:tcPr>
          <w:p w14:paraId="0CFF6789" w14:textId="657563F0" w:rsidR="53C268AF" w:rsidRPr="00FC1B50" w:rsidRDefault="53C268AF" w:rsidP="00FC515A">
            <w:pPr>
              <w:spacing w:after="0"/>
              <w:jc w:val="center"/>
              <w:rPr>
                <w:rFonts w:eastAsia="Verdana" w:cs="Verdana"/>
                <w:color w:val="000000"/>
              </w:rPr>
            </w:pPr>
            <w:r w:rsidRPr="00FC1B50">
              <w:rPr>
                <w:rFonts w:eastAsia="Verdana" w:cs="Verdana"/>
                <w:color w:val="000000"/>
              </w:rPr>
              <w:t>8</w:t>
            </w:r>
          </w:p>
        </w:tc>
        <w:tc>
          <w:tcPr>
            <w:tcW w:w="4200" w:type="dxa"/>
            <w:tcBorders>
              <w:top w:val="single" w:sz="8" w:space="0" w:color="000000"/>
              <w:left w:val="nil"/>
              <w:bottom w:val="single" w:sz="8" w:space="0" w:color="000000"/>
              <w:right w:val="nil"/>
            </w:tcBorders>
            <w:vAlign w:val="center"/>
          </w:tcPr>
          <w:p w14:paraId="32AE7C01" w14:textId="7A4B09D0" w:rsidR="53C268AF" w:rsidRPr="00FC1B50" w:rsidRDefault="53C268AF" w:rsidP="00FC515A">
            <w:pPr>
              <w:spacing w:after="0"/>
              <w:rPr>
                <w:rFonts w:eastAsia="Verdana" w:cs="Verdana"/>
                <w:color w:val="000000"/>
              </w:rPr>
            </w:pPr>
            <w:r w:rsidRPr="00FC1B50">
              <w:rPr>
                <w:rFonts w:eastAsia="Verdana" w:cs="Verdana"/>
                <w:color w:val="000000"/>
              </w:rPr>
              <w:t>The achievement of environmental outcomes at an asset scale.</w:t>
            </w:r>
          </w:p>
        </w:tc>
        <w:tc>
          <w:tcPr>
            <w:tcW w:w="2062" w:type="dxa"/>
            <w:tcBorders>
              <w:top w:val="single" w:sz="8" w:space="0" w:color="000000"/>
              <w:left w:val="nil"/>
              <w:bottom w:val="single" w:sz="8" w:space="0" w:color="000000"/>
              <w:right w:val="nil"/>
            </w:tcBorders>
            <w:vAlign w:val="center"/>
          </w:tcPr>
          <w:p w14:paraId="04A651C2" w14:textId="4A1F0F61" w:rsidR="53C268AF" w:rsidRPr="00FC1B50" w:rsidRDefault="53C268AF" w:rsidP="00FC515A">
            <w:pPr>
              <w:spacing w:after="0"/>
              <w:jc w:val="center"/>
              <w:rPr>
                <w:rFonts w:eastAsia="Verdana" w:cs="Verdana"/>
                <w:color w:val="000000"/>
              </w:rPr>
            </w:pPr>
            <w:r w:rsidRPr="00FC1B50">
              <w:rPr>
                <w:rFonts w:eastAsia="Verdana" w:cs="Verdana"/>
                <w:color w:val="000000"/>
              </w:rPr>
              <w:t>Basin States</w:t>
            </w:r>
          </w:p>
        </w:tc>
        <w:tc>
          <w:tcPr>
            <w:tcW w:w="1569" w:type="dxa"/>
            <w:gridSpan w:val="2"/>
            <w:tcBorders>
              <w:top w:val="single" w:sz="8" w:space="0" w:color="000000"/>
              <w:left w:val="nil"/>
              <w:bottom w:val="single" w:sz="8" w:space="0" w:color="000000"/>
              <w:right w:val="nil"/>
            </w:tcBorders>
            <w:vAlign w:val="center"/>
          </w:tcPr>
          <w:p w14:paraId="745707D5" w14:textId="4AE6686D"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72BF5D93" w14:textId="4B459D44"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8</w:t>
            </w:r>
          </w:p>
        </w:tc>
      </w:tr>
      <w:tr w:rsidR="53C268AF" w14:paraId="38593350" w14:textId="77777777" w:rsidTr="00296B88">
        <w:trPr>
          <w:trHeight w:val="510"/>
        </w:trPr>
        <w:tc>
          <w:tcPr>
            <w:tcW w:w="709" w:type="dxa"/>
            <w:tcBorders>
              <w:top w:val="single" w:sz="8" w:space="0" w:color="000000"/>
              <w:left w:val="nil"/>
              <w:bottom w:val="single" w:sz="8" w:space="0" w:color="000000"/>
              <w:right w:val="nil"/>
            </w:tcBorders>
            <w:vAlign w:val="center"/>
          </w:tcPr>
          <w:p w14:paraId="59366122" w14:textId="48198D83" w:rsidR="53C268AF" w:rsidRPr="00FC1B50" w:rsidRDefault="53C268AF" w:rsidP="00FC515A">
            <w:pPr>
              <w:spacing w:after="0"/>
              <w:jc w:val="center"/>
              <w:rPr>
                <w:rFonts w:eastAsia="Verdana" w:cs="Verdana"/>
                <w:color w:val="000000"/>
              </w:rPr>
            </w:pPr>
            <w:r w:rsidRPr="00FC1B50">
              <w:rPr>
                <w:rFonts w:eastAsia="Verdana" w:cs="Verdana"/>
                <w:color w:val="000000"/>
              </w:rPr>
              <w:t>9</w:t>
            </w:r>
          </w:p>
        </w:tc>
        <w:tc>
          <w:tcPr>
            <w:tcW w:w="4200" w:type="dxa"/>
            <w:tcBorders>
              <w:top w:val="single" w:sz="8" w:space="0" w:color="000000"/>
              <w:left w:val="nil"/>
              <w:bottom w:val="single" w:sz="8" w:space="0" w:color="000000"/>
              <w:right w:val="nil"/>
            </w:tcBorders>
            <w:vAlign w:val="center"/>
          </w:tcPr>
          <w:p w14:paraId="68AA7C5B" w14:textId="7F5EC289" w:rsidR="53C268AF" w:rsidRPr="00FC1B50" w:rsidRDefault="53C268AF" w:rsidP="00FC515A">
            <w:pPr>
              <w:spacing w:after="0"/>
              <w:rPr>
                <w:rFonts w:eastAsia="Verdana" w:cs="Verdana"/>
                <w:color w:val="000000"/>
              </w:rPr>
            </w:pPr>
            <w:r w:rsidRPr="00FC1B50">
              <w:rPr>
                <w:rFonts w:eastAsia="Verdana" w:cs="Verdana"/>
                <w:color w:val="000000"/>
              </w:rPr>
              <w:t>The identification of environmental water and the monitoring of its use.</w:t>
            </w:r>
          </w:p>
        </w:tc>
        <w:tc>
          <w:tcPr>
            <w:tcW w:w="2062" w:type="dxa"/>
            <w:tcBorders>
              <w:top w:val="single" w:sz="8" w:space="0" w:color="000000"/>
              <w:left w:val="nil"/>
              <w:bottom w:val="single" w:sz="8" w:space="0" w:color="000000"/>
              <w:right w:val="nil"/>
            </w:tcBorders>
            <w:vAlign w:val="center"/>
          </w:tcPr>
          <w:p w14:paraId="049B2B03" w14:textId="26098220" w:rsidR="53C268AF" w:rsidRPr="00FC1B50" w:rsidRDefault="53C268AF" w:rsidP="00FC515A">
            <w:pPr>
              <w:spacing w:after="0"/>
              <w:jc w:val="center"/>
              <w:rPr>
                <w:rFonts w:eastAsia="Verdana" w:cs="Verdana"/>
                <w:color w:val="000000"/>
              </w:rPr>
            </w:pPr>
            <w:r w:rsidRPr="00FC1B50">
              <w:rPr>
                <w:rFonts w:eastAsia="Verdana" w:cs="Verdana"/>
                <w:color w:val="000000"/>
              </w:rPr>
              <w:t>Basin States, CEWH, MDBA</w:t>
            </w:r>
          </w:p>
        </w:tc>
        <w:tc>
          <w:tcPr>
            <w:tcW w:w="1569" w:type="dxa"/>
            <w:gridSpan w:val="2"/>
            <w:tcBorders>
              <w:top w:val="single" w:sz="8" w:space="0" w:color="000000"/>
              <w:left w:val="nil"/>
              <w:bottom w:val="single" w:sz="8" w:space="0" w:color="000000"/>
              <w:right w:val="nil"/>
            </w:tcBorders>
            <w:vAlign w:val="center"/>
          </w:tcPr>
          <w:p w14:paraId="5CBE0E4D" w14:textId="2921DAA6" w:rsidR="53C268AF" w:rsidRPr="00FC1B50" w:rsidRDefault="53C268AF"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232EE9E8" w14:textId="79A68C9D"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8</w:t>
            </w:r>
          </w:p>
        </w:tc>
      </w:tr>
      <w:tr w:rsidR="53C268AF" w14:paraId="1B7E8ADE" w14:textId="77777777" w:rsidTr="00296B88">
        <w:trPr>
          <w:trHeight w:val="510"/>
        </w:trPr>
        <w:tc>
          <w:tcPr>
            <w:tcW w:w="709" w:type="dxa"/>
            <w:tcBorders>
              <w:top w:val="single" w:sz="8" w:space="0" w:color="000000"/>
              <w:left w:val="nil"/>
              <w:bottom w:val="single" w:sz="8" w:space="0" w:color="000000"/>
              <w:right w:val="nil"/>
            </w:tcBorders>
            <w:vAlign w:val="center"/>
          </w:tcPr>
          <w:p w14:paraId="4C9BFDC0" w14:textId="35BD3743" w:rsidR="53C268AF" w:rsidRPr="00FC1B50" w:rsidRDefault="53C268AF" w:rsidP="00FC515A">
            <w:pPr>
              <w:spacing w:after="0"/>
              <w:jc w:val="center"/>
              <w:rPr>
                <w:rFonts w:eastAsia="Verdana" w:cs="Verdana"/>
                <w:color w:val="000000"/>
              </w:rPr>
            </w:pPr>
            <w:r w:rsidRPr="00FC1B50">
              <w:rPr>
                <w:rFonts w:eastAsia="Verdana" w:cs="Verdana"/>
                <w:color w:val="000000"/>
              </w:rPr>
              <w:t>10</w:t>
            </w:r>
          </w:p>
        </w:tc>
        <w:tc>
          <w:tcPr>
            <w:tcW w:w="4200" w:type="dxa"/>
            <w:tcBorders>
              <w:top w:val="single" w:sz="8" w:space="0" w:color="000000"/>
              <w:left w:val="nil"/>
              <w:bottom w:val="single" w:sz="8" w:space="0" w:color="000000"/>
              <w:right w:val="nil"/>
            </w:tcBorders>
            <w:vAlign w:val="center"/>
          </w:tcPr>
          <w:p w14:paraId="1A9CCFEC" w14:textId="2C002F1C" w:rsidR="53C268AF" w:rsidRPr="00FC1B50" w:rsidRDefault="53C268AF" w:rsidP="00FC515A">
            <w:pPr>
              <w:spacing w:after="0"/>
              <w:rPr>
                <w:rFonts w:eastAsia="Verdana" w:cs="Verdana"/>
                <w:color w:val="000000"/>
              </w:rPr>
            </w:pPr>
            <w:r w:rsidRPr="00FC1B50">
              <w:rPr>
                <w:rFonts w:eastAsia="Verdana" w:cs="Verdana"/>
                <w:color w:val="000000"/>
              </w:rPr>
              <w:t>The implementation of the environmental management framework (Part 4 of Chapter 8).</w:t>
            </w:r>
          </w:p>
        </w:tc>
        <w:tc>
          <w:tcPr>
            <w:tcW w:w="2062" w:type="dxa"/>
            <w:tcBorders>
              <w:top w:val="single" w:sz="8" w:space="0" w:color="000000"/>
              <w:left w:val="nil"/>
              <w:bottom w:val="single" w:sz="8" w:space="0" w:color="000000"/>
              <w:right w:val="nil"/>
            </w:tcBorders>
            <w:vAlign w:val="center"/>
          </w:tcPr>
          <w:p w14:paraId="4667900A" w14:textId="2EE5469E" w:rsidR="53C268AF" w:rsidRPr="00FC1B50" w:rsidRDefault="53C268AF" w:rsidP="00FC515A">
            <w:pPr>
              <w:spacing w:after="0"/>
              <w:jc w:val="center"/>
              <w:rPr>
                <w:rFonts w:eastAsia="Verdana" w:cs="Verdana"/>
                <w:color w:val="000000"/>
              </w:rPr>
            </w:pPr>
            <w:r w:rsidRPr="00FC1B50">
              <w:rPr>
                <w:rFonts w:eastAsia="Verdana" w:cs="Verdana"/>
                <w:color w:val="000000"/>
              </w:rPr>
              <w:t>Basin States, CEWH, MDBA</w:t>
            </w:r>
          </w:p>
        </w:tc>
        <w:tc>
          <w:tcPr>
            <w:tcW w:w="1569" w:type="dxa"/>
            <w:gridSpan w:val="2"/>
            <w:tcBorders>
              <w:top w:val="single" w:sz="8" w:space="0" w:color="000000"/>
              <w:left w:val="nil"/>
              <w:bottom w:val="single" w:sz="8" w:space="0" w:color="000000"/>
              <w:right w:val="nil"/>
            </w:tcBorders>
            <w:vAlign w:val="center"/>
          </w:tcPr>
          <w:p w14:paraId="1482D72D" w14:textId="0F240C9E" w:rsidR="53C268AF" w:rsidRPr="00FC1B50" w:rsidRDefault="53C268AF"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49DCE3F3" w14:textId="1D5CF1FB"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8</w:t>
            </w:r>
          </w:p>
        </w:tc>
      </w:tr>
      <w:tr w:rsidR="53C268AF" w14:paraId="555093ED" w14:textId="77777777" w:rsidTr="00296B88">
        <w:trPr>
          <w:trHeight w:val="300"/>
        </w:trPr>
        <w:tc>
          <w:tcPr>
            <w:tcW w:w="709" w:type="dxa"/>
            <w:tcBorders>
              <w:top w:val="single" w:sz="8" w:space="0" w:color="000000"/>
              <w:left w:val="nil"/>
              <w:bottom w:val="single" w:sz="8" w:space="0" w:color="000000"/>
              <w:right w:val="nil"/>
            </w:tcBorders>
            <w:vAlign w:val="center"/>
          </w:tcPr>
          <w:p w14:paraId="7C6D4872" w14:textId="3B484A30" w:rsidR="53C268AF" w:rsidRDefault="53C268AF"/>
        </w:tc>
        <w:tc>
          <w:tcPr>
            <w:tcW w:w="4200" w:type="dxa"/>
            <w:tcBorders>
              <w:top w:val="single" w:sz="8" w:space="0" w:color="000000"/>
              <w:left w:val="nil"/>
              <w:bottom w:val="single" w:sz="8" w:space="0" w:color="000000"/>
              <w:right w:val="nil"/>
            </w:tcBorders>
            <w:vAlign w:val="center"/>
          </w:tcPr>
          <w:p w14:paraId="24B2F9D0" w14:textId="1A071CB8" w:rsidR="53C268AF" w:rsidRPr="00FC1B50" w:rsidRDefault="53C268AF" w:rsidP="00FC515A">
            <w:pPr>
              <w:spacing w:after="0"/>
              <w:rPr>
                <w:rFonts w:eastAsia="Verdana" w:cs="Verdana"/>
                <w:b/>
                <w:i/>
                <w:color w:val="000000"/>
              </w:rPr>
            </w:pPr>
            <w:r w:rsidRPr="00FC1B50">
              <w:rPr>
                <w:rFonts w:eastAsia="Verdana" w:cs="Verdana"/>
                <w:b/>
                <w:i/>
                <w:color w:val="000000"/>
              </w:rPr>
              <w:t>Water quality and salinity</w:t>
            </w:r>
          </w:p>
        </w:tc>
        <w:tc>
          <w:tcPr>
            <w:tcW w:w="2062" w:type="dxa"/>
            <w:tcBorders>
              <w:top w:val="single" w:sz="8" w:space="0" w:color="000000"/>
              <w:left w:val="nil"/>
              <w:bottom w:val="single" w:sz="8" w:space="0" w:color="000000"/>
              <w:right w:val="nil"/>
            </w:tcBorders>
            <w:vAlign w:val="center"/>
          </w:tcPr>
          <w:p w14:paraId="79309295" w14:textId="05F655DF" w:rsidR="53C268AF" w:rsidRDefault="53C268AF"/>
        </w:tc>
        <w:tc>
          <w:tcPr>
            <w:tcW w:w="1569" w:type="dxa"/>
            <w:gridSpan w:val="2"/>
            <w:tcBorders>
              <w:top w:val="single" w:sz="8" w:space="0" w:color="000000"/>
              <w:left w:val="nil"/>
              <w:bottom w:val="single" w:sz="8" w:space="0" w:color="000000"/>
              <w:right w:val="nil"/>
            </w:tcBorders>
            <w:vAlign w:val="center"/>
          </w:tcPr>
          <w:p w14:paraId="6E096D90" w14:textId="10D483BB" w:rsidR="53C268AF" w:rsidRDefault="53C268AF"/>
        </w:tc>
        <w:tc>
          <w:tcPr>
            <w:tcW w:w="1090" w:type="dxa"/>
            <w:tcBorders>
              <w:top w:val="single" w:sz="8" w:space="0" w:color="000000"/>
              <w:left w:val="nil"/>
              <w:bottom w:val="single" w:sz="8" w:space="0" w:color="000000"/>
              <w:right w:val="nil"/>
            </w:tcBorders>
            <w:vAlign w:val="center"/>
          </w:tcPr>
          <w:p w14:paraId="48CD53D5" w14:textId="4DA4416E" w:rsidR="53C268AF" w:rsidRDefault="53C268AF"/>
        </w:tc>
      </w:tr>
      <w:tr w:rsidR="53C268AF" w14:paraId="6B271F4A" w14:textId="77777777" w:rsidTr="00296B88">
        <w:trPr>
          <w:trHeight w:val="300"/>
        </w:trPr>
        <w:tc>
          <w:tcPr>
            <w:tcW w:w="709" w:type="dxa"/>
            <w:tcBorders>
              <w:top w:val="single" w:sz="8" w:space="0" w:color="000000"/>
              <w:left w:val="nil"/>
              <w:bottom w:val="single" w:sz="8" w:space="0" w:color="000000"/>
              <w:right w:val="nil"/>
            </w:tcBorders>
            <w:vAlign w:val="center"/>
          </w:tcPr>
          <w:p w14:paraId="7251128E" w14:textId="6593B731" w:rsidR="53C268AF" w:rsidRPr="00FC1B50" w:rsidRDefault="53C268AF" w:rsidP="00FC515A">
            <w:pPr>
              <w:spacing w:after="0"/>
              <w:jc w:val="center"/>
              <w:rPr>
                <w:rFonts w:eastAsia="Verdana" w:cs="Verdana"/>
                <w:color w:val="000000"/>
              </w:rPr>
            </w:pPr>
            <w:r w:rsidRPr="00FC1B50">
              <w:rPr>
                <w:rFonts w:eastAsia="Verdana" w:cs="Verdana"/>
                <w:color w:val="000000"/>
              </w:rPr>
              <w:t>11</w:t>
            </w:r>
          </w:p>
        </w:tc>
        <w:tc>
          <w:tcPr>
            <w:tcW w:w="4200" w:type="dxa"/>
            <w:tcBorders>
              <w:top w:val="single" w:sz="8" w:space="0" w:color="000000"/>
              <w:left w:val="nil"/>
              <w:bottom w:val="single" w:sz="8" w:space="0" w:color="000000"/>
              <w:right w:val="nil"/>
            </w:tcBorders>
            <w:vAlign w:val="center"/>
          </w:tcPr>
          <w:p w14:paraId="78A044A8" w14:textId="5F04FE8F" w:rsidR="53C268AF" w:rsidRPr="00FC1B50" w:rsidRDefault="53C268AF" w:rsidP="00FC515A">
            <w:pPr>
              <w:spacing w:after="0"/>
              <w:rPr>
                <w:rFonts w:eastAsia="Verdana" w:cs="Verdana"/>
                <w:color w:val="000000"/>
              </w:rPr>
            </w:pPr>
            <w:r w:rsidRPr="00FC1B50">
              <w:rPr>
                <w:rFonts w:eastAsia="Verdana" w:cs="Verdana"/>
                <w:color w:val="000000"/>
              </w:rPr>
              <w:t>The fitness for purpose of the Basin water resources</w:t>
            </w:r>
            <w:r w:rsidR="0031170C" w:rsidRPr="00FC1B50">
              <w:rPr>
                <w:rFonts w:eastAsia="Verdana" w:cs="Verdana"/>
                <w:color w:val="000000"/>
              </w:rPr>
              <w:t>.</w:t>
            </w:r>
          </w:p>
        </w:tc>
        <w:tc>
          <w:tcPr>
            <w:tcW w:w="2062" w:type="dxa"/>
            <w:tcBorders>
              <w:top w:val="single" w:sz="8" w:space="0" w:color="000000"/>
              <w:left w:val="nil"/>
              <w:bottom w:val="single" w:sz="8" w:space="0" w:color="000000"/>
              <w:right w:val="nil"/>
            </w:tcBorders>
            <w:vAlign w:val="center"/>
          </w:tcPr>
          <w:p w14:paraId="0A488B11" w14:textId="020C31E0" w:rsidR="53C268AF" w:rsidRPr="00FC1B50" w:rsidRDefault="53C268AF" w:rsidP="00FC515A">
            <w:pPr>
              <w:spacing w:after="0"/>
              <w:jc w:val="center"/>
              <w:rPr>
                <w:rFonts w:eastAsia="Verdana" w:cs="Verdana"/>
                <w:color w:val="000000"/>
              </w:rPr>
            </w:pPr>
            <w:r w:rsidRPr="00FC1B50">
              <w:rPr>
                <w:rFonts w:eastAsia="Verdana" w:cs="Verdana"/>
                <w:color w:val="000000"/>
              </w:rPr>
              <w:t>MDBA</w:t>
            </w:r>
          </w:p>
        </w:tc>
        <w:tc>
          <w:tcPr>
            <w:tcW w:w="1569" w:type="dxa"/>
            <w:gridSpan w:val="2"/>
            <w:tcBorders>
              <w:top w:val="single" w:sz="8" w:space="0" w:color="000000"/>
              <w:left w:val="nil"/>
              <w:bottom w:val="single" w:sz="8" w:space="0" w:color="000000"/>
              <w:right w:val="nil"/>
            </w:tcBorders>
            <w:vAlign w:val="center"/>
          </w:tcPr>
          <w:p w14:paraId="66FCEBDD" w14:textId="363C02D2"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460BE9EF" w14:textId="6F383DD3"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5, 9</w:t>
            </w:r>
          </w:p>
        </w:tc>
      </w:tr>
      <w:tr w:rsidR="53C268AF" w14:paraId="302DCB1D" w14:textId="77777777" w:rsidTr="00296B88">
        <w:trPr>
          <w:trHeight w:val="510"/>
        </w:trPr>
        <w:tc>
          <w:tcPr>
            <w:tcW w:w="709" w:type="dxa"/>
            <w:tcBorders>
              <w:top w:val="single" w:sz="8" w:space="0" w:color="000000"/>
              <w:left w:val="nil"/>
              <w:bottom w:val="single" w:sz="8" w:space="0" w:color="000000"/>
              <w:right w:val="nil"/>
            </w:tcBorders>
            <w:vAlign w:val="center"/>
          </w:tcPr>
          <w:p w14:paraId="11866000" w14:textId="209A8C3B" w:rsidR="53C268AF" w:rsidRPr="00FC1B50" w:rsidRDefault="53C268AF" w:rsidP="00FC515A">
            <w:pPr>
              <w:spacing w:after="0"/>
              <w:jc w:val="center"/>
              <w:rPr>
                <w:rFonts w:eastAsia="Verdana" w:cs="Verdana"/>
                <w:color w:val="000000"/>
              </w:rPr>
            </w:pPr>
            <w:r w:rsidRPr="00FC1B50">
              <w:rPr>
                <w:rFonts w:eastAsia="Verdana" w:cs="Verdana"/>
                <w:color w:val="000000"/>
              </w:rPr>
              <w:t>12</w:t>
            </w:r>
          </w:p>
        </w:tc>
        <w:tc>
          <w:tcPr>
            <w:tcW w:w="4200" w:type="dxa"/>
            <w:tcBorders>
              <w:top w:val="single" w:sz="8" w:space="0" w:color="000000"/>
              <w:left w:val="nil"/>
              <w:bottom w:val="single" w:sz="8" w:space="0" w:color="000000"/>
              <w:right w:val="nil"/>
            </w:tcBorders>
            <w:vAlign w:val="center"/>
          </w:tcPr>
          <w:p w14:paraId="31B93BB3" w14:textId="498D5484" w:rsidR="53C268AF" w:rsidRPr="00FC1B50" w:rsidRDefault="53C268AF" w:rsidP="00FC515A">
            <w:pPr>
              <w:spacing w:after="0"/>
              <w:rPr>
                <w:rFonts w:eastAsia="Verdana" w:cs="Verdana"/>
                <w:color w:val="000000"/>
              </w:rPr>
            </w:pPr>
            <w:r w:rsidRPr="00FC1B50">
              <w:rPr>
                <w:rFonts w:eastAsia="Verdana" w:cs="Verdana"/>
                <w:color w:val="000000"/>
              </w:rPr>
              <w:t>Progress towards the water quality targets in Chapter 9.</w:t>
            </w:r>
          </w:p>
        </w:tc>
        <w:tc>
          <w:tcPr>
            <w:tcW w:w="2062" w:type="dxa"/>
            <w:tcBorders>
              <w:top w:val="single" w:sz="8" w:space="0" w:color="000000"/>
              <w:left w:val="nil"/>
              <w:bottom w:val="single" w:sz="8" w:space="0" w:color="000000"/>
              <w:right w:val="nil"/>
            </w:tcBorders>
            <w:vAlign w:val="center"/>
          </w:tcPr>
          <w:p w14:paraId="0DF9D79B" w14:textId="5AE517B5" w:rsidR="53C268AF" w:rsidRPr="00FC1B50" w:rsidRDefault="53C268AF" w:rsidP="00FC515A">
            <w:pPr>
              <w:spacing w:after="0"/>
              <w:jc w:val="center"/>
              <w:rPr>
                <w:rFonts w:eastAsia="Verdana" w:cs="Verdana"/>
                <w:color w:val="000000"/>
              </w:rPr>
            </w:pPr>
            <w:r w:rsidRPr="00FC1B50">
              <w:rPr>
                <w:rFonts w:eastAsia="Verdana" w:cs="Verdana"/>
                <w:color w:val="000000"/>
              </w:rPr>
              <w:t>Basin States, MDBA</w:t>
            </w:r>
          </w:p>
        </w:tc>
        <w:tc>
          <w:tcPr>
            <w:tcW w:w="1569" w:type="dxa"/>
            <w:gridSpan w:val="2"/>
            <w:tcBorders>
              <w:top w:val="single" w:sz="8" w:space="0" w:color="000000"/>
              <w:left w:val="nil"/>
              <w:bottom w:val="single" w:sz="8" w:space="0" w:color="000000"/>
              <w:right w:val="nil"/>
            </w:tcBorders>
            <w:vAlign w:val="center"/>
          </w:tcPr>
          <w:p w14:paraId="57EE4AC6" w14:textId="0DDD8D7C"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3A1178A1" w14:textId="7C787B2D"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9</w:t>
            </w:r>
          </w:p>
        </w:tc>
      </w:tr>
      <w:tr w:rsidR="53C268AF" w14:paraId="0FF96EAA" w14:textId="77777777" w:rsidTr="00296B88">
        <w:trPr>
          <w:trHeight w:val="765"/>
        </w:trPr>
        <w:tc>
          <w:tcPr>
            <w:tcW w:w="709" w:type="dxa"/>
            <w:tcBorders>
              <w:top w:val="single" w:sz="8" w:space="0" w:color="000000"/>
              <w:left w:val="nil"/>
              <w:bottom w:val="single" w:sz="8" w:space="0" w:color="000000"/>
              <w:right w:val="nil"/>
            </w:tcBorders>
            <w:vAlign w:val="center"/>
          </w:tcPr>
          <w:p w14:paraId="4AA4AE24" w14:textId="14923C75" w:rsidR="53C268AF" w:rsidRPr="00FC1B50" w:rsidRDefault="53C268AF" w:rsidP="00FC515A">
            <w:pPr>
              <w:spacing w:after="0"/>
              <w:jc w:val="center"/>
              <w:rPr>
                <w:rFonts w:eastAsia="Verdana" w:cs="Verdana"/>
                <w:color w:val="000000"/>
              </w:rPr>
            </w:pPr>
            <w:r w:rsidRPr="00FC1B50">
              <w:rPr>
                <w:rFonts w:eastAsia="Verdana" w:cs="Verdana"/>
                <w:color w:val="000000"/>
              </w:rPr>
              <w:t>13</w:t>
            </w:r>
          </w:p>
        </w:tc>
        <w:tc>
          <w:tcPr>
            <w:tcW w:w="4200" w:type="dxa"/>
            <w:tcBorders>
              <w:top w:val="single" w:sz="8" w:space="0" w:color="000000"/>
              <w:left w:val="nil"/>
              <w:bottom w:val="single" w:sz="8" w:space="0" w:color="000000"/>
              <w:right w:val="nil"/>
            </w:tcBorders>
            <w:vAlign w:val="center"/>
          </w:tcPr>
          <w:p w14:paraId="0BAD2524" w14:textId="26D42D7C" w:rsidR="53C268AF" w:rsidRPr="00FC1B50" w:rsidRDefault="53C268AF" w:rsidP="00FC515A">
            <w:pPr>
              <w:spacing w:after="0"/>
              <w:rPr>
                <w:rFonts w:eastAsia="Verdana" w:cs="Verdana"/>
                <w:color w:val="000000"/>
              </w:rPr>
            </w:pPr>
            <w:r w:rsidRPr="00FC1B50">
              <w:rPr>
                <w:rFonts w:eastAsia="Verdana" w:cs="Verdana"/>
                <w:color w:val="000000"/>
              </w:rPr>
              <w:t>The implementation, where necessary, of the emergency response process for critical human water needs.</w:t>
            </w:r>
          </w:p>
        </w:tc>
        <w:tc>
          <w:tcPr>
            <w:tcW w:w="2062" w:type="dxa"/>
            <w:tcBorders>
              <w:top w:val="single" w:sz="8" w:space="0" w:color="000000"/>
              <w:left w:val="nil"/>
              <w:bottom w:val="single" w:sz="8" w:space="0" w:color="000000"/>
              <w:right w:val="nil"/>
            </w:tcBorders>
            <w:vAlign w:val="center"/>
          </w:tcPr>
          <w:p w14:paraId="3D9B149F" w14:textId="71D458EB" w:rsidR="53C268AF" w:rsidRPr="00FC1B50" w:rsidRDefault="53C268AF" w:rsidP="00FC515A">
            <w:pPr>
              <w:spacing w:after="0"/>
              <w:jc w:val="center"/>
              <w:rPr>
                <w:rFonts w:eastAsia="Verdana" w:cs="Verdana"/>
                <w:color w:val="000000"/>
              </w:rPr>
            </w:pPr>
            <w:r w:rsidRPr="00FC1B50">
              <w:rPr>
                <w:rFonts w:eastAsia="Verdana" w:cs="Verdana"/>
                <w:color w:val="000000"/>
              </w:rPr>
              <w:t>Basin States, MDBA, Department</w:t>
            </w:r>
          </w:p>
        </w:tc>
        <w:tc>
          <w:tcPr>
            <w:tcW w:w="1569" w:type="dxa"/>
            <w:gridSpan w:val="2"/>
            <w:tcBorders>
              <w:top w:val="single" w:sz="8" w:space="0" w:color="000000"/>
              <w:left w:val="nil"/>
              <w:bottom w:val="single" w:sz="8" w:space="0" w:color="000000"/>
              <w:right w:val="nil"/>
            </w:tcBorders>
            <w:vAlign w:val="center"/>
          </w:tcPr>
          <w:p w14:paraId="5E0B0204" w14:textId="06AC384A" w:rsidR="53C268AF" w:rsidRPr="00FC1B50" w:rsidRDefault="53C268AF"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2622439D" w14:textId="0C4D0E84"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11</w:t>
            </w:r>
          </w:p>
        </w:tc>
      </w:tr>
      <w:tr w:rsidR="53C268AF" w14:paraId="13908F59" w14:textId="77777777" w:rsidTr="00296B88">
        <w:trPr>
          <w:trHeight w:val="1020"/>
        </w:trPr>
        <w:tc>
          <w:tcPr>
            <w:tcW w:w="709" w:type="dxa"/>
            <w:tcBorders>
              <w:top w:val="single" w:sz="8" w:space="0" w:color="000000"/>
              <w:left w:val="nil"/>
              <w:bottom w:val="single" w:sz="8" w:space="0" w:color="000000"/>
              <w:right w:val="nil"/>
            </w:tcBorders>
            <w:vAlign w:val="center"/>
          </w:tcPr>
          <w:p w14:paraId="420BB507" w14:textId="2D024805" w:rsidR="53C268AF" w:rsidRPr="00FC1B50" w:rsidRDefault="53C268AF" w:rsidP="00FC515A">
            <w:pPr>
              <w:spacing w:after="0"/>
              <w:jc w:val="center"/>
              <w:rPr>
                <w:rFonts w:eastAsia="Verdana" w:cs="Verdana"/>
                <w:color w:val="000000"/>
              </w:rPr>
            </w:pPr>
            <w:r w:rsidRPr="00FC1B50">
              <w:rPr>
                <w:rFonts w:eastAsia="Verdana" w:cs="Verdana"/>
                <w:color w:val="000000"/>
              </w:rPr>
              <w:lastRenderedPageBreak/>
              <w:t>14</w:t>
            </w:r>
          </w:p>
        </w:tc>
        <w:tc>
          <w:tcPr>
            <w:tcW w:w="4200" w:type="dxa"/>
            <w:tcBorders>
              <w:top w:val="single" w:sz="8" w:space="0" w:color="000000"/>
              <w:left w:val="nil"/>
              <w:bottom w:val="single" w:sz="8" w:space="0" w:color="000000"/>
              <w:right w:val="nil"/>
            </w:tcBorders>
            <w:vAlign w:val="center"/>
          </w:tcPr>
          <w:p w14:paraId="590C38BB" w14:textId="23C411EA" w:rsidR="53C268AF" w:rsidRPr="00FC1B50" w:rsidRDefault="53C268AF" w:rsidP="00FC515A">
            <w:pPr>
              <w:spacing w:after="0"/>
              <w:rPr>
                <w:rFonts w:eastAsia="Verdana" w:cs="Verdana"/>
                <w:color w:val="000000"/>
              </w:rPr>
            </w:pPr>
            <w:r w:rsidRPr="00FC1B50">
              <w:rPr>
                <w:rFonts w:eastAsia="Verdana" w:cs="Verdana"/>
                <w:color w:val="000000"/>
              </w:rPr>
              <w:t>The implementation of the water quality and salinity management plan, including the extent to which regard is had to the targets in Chapter 9 when making flow management decisions.</w:t>
            </w:r>
          </w:p>
        </w:tc>
        <w:tc>
          <w:tcPr>
            <w:tcW w:w="2062" w:type="dxa"/>
            <w:tcBorders>
              <w:top w:val="single" w:sz="8" w:space="0" w:color="000000"/>
              <w:left w:val="nil"/>
              <w:bottom w:val="single" w:sz="8" w:space="0" w:color="000000"/>
              <w:right w:val="nil"/>
            </w:tcBorders>
            <w:vAlign w:val="center"/>
          </w:tcPr>
          <w:p w14:paraId="1C1EFDF6" w14:textId="5003FBF1" w:rsidR="53C268AF" w:rsidRPr="00FC1B50" w:rsidRDefault="53C268AF" w:rsidP="00FC515A">
            <w:pPr>
              <w:spacing w:after="0"/>
              <w:jc w:val="center"/>
              <w:rPr>
                <w:rFonts w:eastAsia="Verdana" w:cs="Verdana"/>
                <w:color w:val="000000"/>
              </w:rPr>
            </w:pPr>
            <w:r w:rsidRPr="00FC1B50">
              <w:rPr>
                <w:rFonts w:eastAsia="Verdana" w:cs="Verdana"/>
                <w:color w:val="000000"/>
              </w:rPr>
              <w:t>Basin States, MDBA, CEWH</w:t>
            </w:r>
          </w:p>
        </w:tc>
        <w:tc>
          <w:tcPr>
            <w:tcW w:w="1569" w:type="dxa"/>
            <w:gridSpan w:val="2"/>
            <w:tcBorders>
              <w:top w:val="single" w:sz="8" w:space="0" w:color="000000"/>
              <w:left w:val="nil"/>
              <w:bottom w:val="single" w:sz="8" w:space="0" w:color="000000"/>
              <w:right w:val="nil"/>
            </w:tcBorders>
            <w:vAlign w:val="center"/>
          </w:tcPr>
          <w:p w14:paraId="311483F7" w14:textId="737FCEBB" w:rsidR="53C268AF" w:rsidRPr="00FC1B50" w:rsidRDefault="53C268AF"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16ADDE28" w14:textId="7EBFBCC0"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9</w:t>
            </w:r>
          </w:p>
        </w:tc>
      </w:tr>
      <w:tr w:rsidR="005F493F" w14:paraId="57B71E4C" w14:textId="77777777" w:rsidTr="00296B88">
        <w:trPr>
          <w:trHeight w:val="1020"/>
        </w:trPr>
        <w:tc>
          <w:tcPr>
            <w:tcW w:w="709" w:type="dxa"/>
            <w:tcBorders>
              <w:top w:val="single" w:sz="8" w:space="0" w:color="000000"/>
              <w:left w:val="nil"/>
              <w:bottom w:val="single" w:sz="8" w:space="0" w:color="000000"/>
              <w:right w:val="nil"/>
            </w:tcBorders>
            <w:vAlign w:val="center"/>
          </w:tcPr>
          <w:p w14:paraId="63A603A1" w14:textId="183F263E" w:rsidR="005F493F" w:rsidRPr="00FC1B50" w:rsidRDefault="005F493F" w:rsidP="00FC515A">
            <w:pPr>
              <w:spacing w:after="0"/>
              <w:jc w:val="center"/>
              <w:rPr>
                <w:rFonts w:eastAsia="Verdana" w:cs="Verdana"/>
                <w:color w:val="000000"/>
              </w:rPr>
            </w:pPr>
            <w:r w:rsidRPr="00FC1B50">
              <w:rPr>
                <w:rFonts w:eastAsia="Verdana" w:cs="Verdana"/>
                <w:color w:val="000000"/>
              </w:rPr>
              <w:t>16</w:t>
            </w:r>
          </w:p>
        </w:tc>
        <w:tc>
          <w:tcPr>
            <w:tcW w:w="4200" w:type="dxa"/>
            <w:tcBorders>
              <w:top w:val="single" w:sz="8" w:space="0" w:color="000000"/>
              <w:left w:val="nil"/>
              <w:bottom w:val="single" w:sz="8" w:space="0" w:color="000000"/>
              <w:right w:val="nil"/>
            </w:tcBorders>
            <w:vAlign w:val="center"/>
          </w:tcPr>
          <w:p w14:paraId="72E618F8" w14:textId="450C3872" w:rsidR="005F493F" w:rsidRPr="00FC1B50" w:rsidRDefault="00494AFB" w:rsidP="00FC515A">
            <w:pPr>
              <w:spacing w:after="0"/>
              <w:rPr>
                <w:rFonts w:eastAsia="Verdana" w:cs="Verdana"/>
                <w:color w:val="000000"/>
              </w:rPr>
            </w:pPr>
            <w:r w:rsidRPr="00FC1B50">
              <w:rPr>
                <w:rFonts w:eastAsia="Verdana" w:cs="Verdana"/>
                <w:color w:val="000000"/>
              </w:rPr>
              <w:t>The implementation of water trading rules.</w:t>
            </w:r>
          </w:p>
        </w:tc>
        <w:tc>
          <w:tcPr>
            <w:tcW w:w="2062" w:type="dxa"/>
            <w:tcBorders>
              <w:top w:val="single" w:sz="8" w:space="0" w:color="000000"/>
              <w:left w:val="nil"/>
              <w:bottom w:val="single" w:sz="8" w:space="0" w:color="000000"/>
              <w:right w:val="nil"/>
            </w:tcBorders>
            <w:vAlign w:val="center"/>
          </w:tcPr>
          <w:p w14:paraId="0058C800" w14:textId="4730CA41" w:rsidR="005F493F" w:rsidRPr="00FC1B50" w:rsidRDefault="00494AFB" w:rsidP="00FC515A">
            <w:pPr>
              <w:spacing w:after="0"/>
              <w:jc w:val="center"/>
              <w:rPr>
                <w:rFonts w:eastAsia="Verdana" w:cs="Verdana"/>
                <w:color w:val="000000"/>
              </w:rPr>
            </w:pPr>
            <w:r w:rsidRPr="00FC1B50">
              <w:rPr>
                <w:rFonts w:eastAsia="Verdana" w:cs="Verdana"/>
                <w:color w:val="000000"/>
              </w:rPr>
              <w:t>Basin States, MDBA</w:t>
            </w:r>
            <w:r w:rsidRPr="00FC1B50">
              <w:tab/>
            </w:r>
            <w:r w:rsidRPr="00FC1B50">
              <w:rPr>
                <w:rFonts w:eastAsia="Verdana" w:cs="Verdana"/>
                <w:color w:val="000000"/>
              </w:rPr>
              <w:t>Annual</w:t>
            </w:r>
          </w:p>
        </w:tc>
        <w:tc>
          <w:tcPr>
            <w:tcW w:w="1569" w:type="dxa"/>
            <w:gridSpan w:val="2"/>
            <w:tcBorders>
              <w:top w:val="single" w:sz="8" w:space="0" w:color="000000"/>
              <w:left w:val="nil"/>
              <w:bottom w:val="single" w:sz="8" w:space="0" w:color="000000"/>
              <w:right w:val="nil"/>
            </w:tcBorders>
            <w:vAlign w:val="center"/>
          </w:tcPr>
          <w:p w14:paraId="68FD5CAC" w14:textId="10CC83CE" w:rsidR="005F493F" w:rsidRPr="00FC1B50" w:rsidRDefault="00494AFB"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5AD926EC" w14:textId="6388B4D9" w:rsidR="005F493F" w:rsidRPr="00FC1B50" w:rsidRDefault="00494AFB"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12</w:t>
            </w:r>
          </w:p>
        </w:tc>
      </w:tr>
      <w:tr w:rsidR="53C268AF" w14:paraId="3DEF03B7" w14:textId="77777777" w:rsidTr="00296B88">
        <w:trPr>
          <w:trHeight w:val="300"/>
        </w:trPr>
        <w:tc>
          <w:tcPr>
            <w:tcW w:w="709" w:type="dxa"/>
            <w:tcBorders>
              <w:top w:val="single" w:sz="8" w:space="0" w:color="000000"/>
              <w:left w:val="nil"/>
              <w:bottom w:val="single" w:sz="8" w:space="0" w:color="000000"/>
              <w:right w:val="nil"/>
            </w:tcBorders>
            <w:vAlign w:val="center"/>
          </w:tcPr>
          <w:p w14:paraId="206DC1B8" w14:textId="67251F91" w:rsidR="53C268AF" w:rsidRDefault="53C268AF"/>
        </w:tc>
        <w:tc>
          <w:tcPr>
            <w:tcW w:w="4200" w:type="dxa"/>
            <w:tcBorders>
              <w:top w:val="single" w:sz="8" w:space="0" w:color="000000"/>
              <w:left w:val="nil"/>
              <w:bottom w:val="single" w:sz="8" w:space="0" w:color="000000"/>
              <w:right w:val="nil"/>
            </w:tcBorders>
            <w:vAlign w:val="center"/>
          </w:tcPr>
          <w:p w14:paraId="2ACD720C" w14:textId="6152E639" w:rsidR="53C268AF" w:rsidRPr="00FC1B50" w:rsidRDefault="53C268AF" w:rsidP="00FC515A">
            <w:pPr>
              <w:spacing w:after="0"/>
              <w:rPr>
                <w:rFonts w:eastAsia="Verdana" w:cs="Verdana"/>
                <w:b/>
                <w:i/>
                <w:color w:val="000000"/>
              </w:rPr>
            </w:pPr>
            <w:r w:rsidRPr="00FC1B50">
              <w:rPr>
                <w:rFonts w:eastAsia="Verdana" w:cs="Verdana"/>
                <w:b/>
                <w:i/>
                <w:color w:val="000000"/>
              </w:rPr>
              <w:t>Water resource planning</w:t>
            </w:r>
          </w:p>
        </w:tc>
        <w:tc>
          <w:tcPr>
            <w:tcW w:w="2062" w:type="dxa"/>
            <w:tcBorders>
              <w:top w:val="single" w:sz="8" w:space="0" w:color="000000"/>
              <w:left w:val="nil"/>
              <w:bottom w:val="single" w:sz="8" w:space="0" w:color="000000"/>
              <w:right w:val="nil"/>
            </w:tcBorders>
            <w:vAlign w:val="center"/>
          </w:tcPr>
          <w:p w14:paraId="15CE7501" w14:textId="6FC88112" w:rsidR="53C268AF" w:rsidRDefault="53C268AF"/>
        </w:tc>
        <w:tc>
          <w:tcPr>
            <w:tcW w:w="1569" w:type="dxa"/>
            <w:gridSpan w:val="2"/>
            <w:tcBorders>
              <w:top w:val="single" w:sz="8" w:space="0" w:color="000000"/>
              <w:left w:val="nil"/>
              <w:bottom w:val="single" w:sz="8" w:space="0" w:color="000000"/>
              <w:right w:val="nil"/>
            </w:tcBorders>
            <w:vAlign w:val="center"/>
          </w:tcPr>
          <w:p w14:paraId="54E554AE" w14:textId="12466D57" w:rsidR="53C268AF" w:rsidRDefault="53C268AF"/>
        </w:tc>
        <w:tc>
          <w:tcPr>
            <w:tcW w:w="1090" w:type="dxa"/>
            <w:tcBorders>
              <w:top w:val="single" w:sz="8" w:space="0" w:color="000000"/>
              <w:left w:val="nil"/>
              <w:bottom w:val="single" w:sz="8" w:space="0" w:color="000000"/>
              <w:right w:val="nil"/>
            </w:tcBorders>
            <w:vAlign w:val="center"/>
          </w:tcPr>
          <w:p w14:paraId="330A0195" w14:textId="13127F97" w:rsidR="53C268AF" w:rsidRDefault="53C268AF"/>
        </w:tc>
      </w:tr>
      <w:tr w:rsidR="53C268AF" w14:paraId="63001E58" w14:textId="77777777" w:rsidTr="00296B88">
        <w:trPr>
          <w:trHeight w:val="300"/>
        </w:trPr>
        <w:tc>
          <w:tcPr>
            <w:tcW w:w="709" w:type="dxa"/>
            <w:tcBorders>
              <w:top w:val="single" w:sz="8" w:space="0" w:color="000000"/>
              <w:left w:val="nil"/>
              <w:bottom w:val="single" w:sz="8" w:space="0" w:color="000000"/>
              <w:right w:val="nil"/>
            </w:tcBorders>
            <w:vAlign w:val="center"/>
          </w:tcPr>
          <w:p w14:paraId="6C0A94E1" w14:textId="28EDE6FE" w:rsidR="53C268AF" w:rsidRPr="00FC1B50" w:rsidRDefault="53C268AF" w:rsidP="00FC515A">
            <w:pPr>
              <w:spacing w:after="0"/>
              <w:jc w:val="center"/>
              <w:rPr>
                <w:rFonts w:eastAsia="Verdana" w:cs="Verdana"/>
                <w:color w:val="000000"/>
              </w:rPr>
            </w:pPr>
            <w:r w:rsidRPr="00FC1B50">
              <w:rPr>
                <w:rFonts w:eastAsia="Verdana" w:cs="Verdana"/>
                <w:color w:val="000000"/>
              </w:rPr>
              <w:t>17</w:t>
            </w:r>
          </w:p>
        </w:tc>
        <w:tc>
          <w:tcPr>
            <w:tcW w:w="4200" w:type="dxa"/>
            <w:tcBorders>
              <w:top w:val="single" w:sz="8" w:space="0" w:color="000000"/>
              <w:left w:val="nil"/>
              <w:bottom w:val="single" w:sz="8" w:space="0" w:color="000000"/>
              <w:right w:val="nil"/>
            </w:tcBorders>
            <w:vAlign w:val="center"/>
          </w:tcPr>
          <w:p w14:paraId="75B1EEDF" w14:textId="6A153441" w:rsidR="53C268AF" w:rsidRPr="00FC1B50" w:rsidRDefault="53C268AF" w:rsidP="00FC515A">
            <w:pPr>
              <w:spacing w:after="0"/>
              <w:rPr>
                <w:rFonts w:eastAsia="Verdana" w:cs="Verdana"/>
                <w:color w:val="000000"/>
              </w:rPr>
            </w:pPr>
            <w:r w:rsidRPr="00FC1B50">
              <w:rPr>
                <w:rFonts w:eastAsia="Verdana" w:cs="Verdana"/>
                <w:color w:val="000000"/>
              </w:rPr>
              <w:t>The certainty of access to Basin water resources</w:t>
            </w:r>
            <w:r w:rsidR="006023CC" w:rsidRPr="00FC1B50">
              <w:rPr>
                <w:rFonts w:eastAsia="Verdana" w:cs="Verdana"/>
                <w:color w:val="000000"/>
              </w:rPr>
              <w:t>.</w:t>
            </w:r>
          </w:p>
        </w:tc>
        <w:tc>
          <w:tcPr>
            <w:tcW w:w="2062" w:type="dxa"/>
            <w:tcBorders>
              <w:top w:val="single" w:sz="8" w:space="0" w:color="000000"/>
              <w:left w:val="nil"/>
              <w:bottom w:val="single" w:sz="8" w:space="0" w:color="000000"/>
              <w:right w:val="nil"/>
            </w:tcBorders>
            <w:vAlign w:val="center"/>
          </w:tcPr>
          <w:p w14:paraId="73F51951" w14:textId="5A706291" w:rsidR="53C268AF" w:rsidRPr="00FC1B50" w:rsidRDefault="53C268AF" w:rsidP="00FC515A">
            <w:pPr>
              <w:spacing w:after="0"/>
              <w:jc w:val="center"/>
              <w:rPr>
                <w:rFonts w:eastAsia="Verdana" w:cs="Verdana"/>
                <w:color w:val="000000"/>
              </w:rPr>
            </w:pPr>
            <w:r w:rsidRPr="00FC1B50">
              <w:rPr>
                <w:rFonts w:eastAsia="Verdana" w:cs="Verdana"/>
                <w:color w:val="000000"/>
              </w:rPr>
              <w:t>MDBA</w:t>
            </w:r>
          </w:p>
        </w:tc>
        <w:tc>
          <w:tcPr>
            <w:tcW w:w="1569" w:type="dxa"/>
            <w:gridSpan w:val="2"/>
            <w:tcBorders>
              <w:top w:val="single" w:sz="8" w:space="0" w:color="000000"/>
              <w:left w:val="nil"/>
              <w:bottom w:val="single" w:sz="8" w:space="0" w:color="000000"/>
              <w:right w:val="nil"/>
            </w:tcBorders>
            <w:vAlign w:val="center"/>
          </w:tcPr>
          <w:p w14:paraId="257003A4" w14:textId="73C4A5D0"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5ED09EAD" w14:textId="625EDB33"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5, 10</w:t>
            </w:r>
          </w:p>
        </w:tc>
      </w:tr>
      <w:tr w:rsidR="53C268AF" w14:paraId="114424A0" w14:textId="77777777" w:rsidTr="00296B88">
        <w:trPr>
          <w:trHeight w:val="765"/>
        </w:trPr>
        <w:tc>
          <w:tcPr>
            <w:tcW w:w="709" w:type="dxa"/>
            <w:tcBorders>
              <w:top w:val="single" w:sz="8" w:space="0" w:color="000000"/>
              <w:left w:val="nil"/>
              <w:bottom w:val="single" w:sz="8" w:space="0" w:color="000000"/>
              <w:right w:val="nil"/>
            </w:tcBorders>
            <w:vAlign w:val="center"/>
          </w:tcPr>
          <w:p w14:paraId="433BFEA9" w14:textId="1E960E71" w:rsidR="53C268AF" w:rsidRPr="00FC1B50" w:rsidRDefault="53C268AF" w:rsidP="00FC515A">
            <w:pPr>
              <w:spacing w:after="0"/>
              <w:jc w:val="center"/>
              <w:rPr>
                <w:rFonts w:eastAsia="Verdana" w:cs="Verdana"/>
                <w:color w:val="000000"/>
              </w:rPr>
            </w:pPr>
            <w:r w:rsidRPr="00FC1B50">
              <w:rPr>
                <w:rFonts w:eastAsia="Verdana" w:cs="Verdana"/>
                <w:color w:val="000000"/>
              </w:rPr>
              <w:t>18</w:t>
            </w:r>
          </w:p>
        </w:tc>
        <w:tc>
          <w:tcPr>
            <w:tcW w:w="4200" w:type="dxa"/>
            <w:tcBorders>
              <w:top w:val="single" w:sz="8" w:space="0" w:color="000000"/>
              <w:left w:val="nil"/>
              <w:bottom w:val="single" w:sz="8" w:space="0" w:color="000000"/>
              <w:right w:val="nil"/>
            </w:tcBorders>
            <w:vAlign w:val="center"/>
          </w:tcPr>
          <w:p w14:paraId="218F8852" w14:textId="16C17D00" w:rsidR="53C268AF" w:rsidRPr="00FC1B50" w:rsidRDefault="53C268AF" w:rsidP="00FC515A">
            <w:pPr>
              <w:spacing w:after="0"/>
              <w:rPr>
                <w:rFonts w:eastAsia="Verdana" w:cs="Verdana"/>
                <w:color w:val="000000"/>
              </w:rPr>
            </w:pPr>
            <w:r w:rsidRPr="00FC1B50">
              <w:rPr>
                <w:rFonts w:eastAsia="Verdana" w:cs="Verdana"/>
                <w:color w:val="000000"/>
              </w:rPr>
              <w:t>The efficiency and effectiveness of the operation of water resource plans, including in providing a robust framework under a changing climate.</w:t>
            </w:r>
          </w:p>
        </w:tc>
        <w:tc>
          <w:tcPr>
            <w:tcW w:w="2062" w:type="dxa"/>
            <w:tcBorders>
              <w:top w:val="single" w:sz="8" w:space="0" w:color="000000"/>
              <w:left w:val="nil"/>
              <w:bottom w:val="single" w:sz="8" w:space="0" w:color="000000"/>
              <w:right w:val="nil"/>
            </w:tcBorders>
            <w:vAlign w:val="center"/>
          </w:tcPr>
          <w:p w14:paraId="31D456F3" w14:textId="7EDA6E3F" w:rsidR="53C268AF" w:rsidRPr="00FC1B50" w:rsidRDefault="53C268AF" w:rsidP="00FC515A">
            <w:pPr>
              <w:spacing w:after="0"/>
              <w:jc w:val="center"/>
              <w:rPr>
                <w:rFonts w:eastAsia="Verdana" w:cs="Verdana"/>
                <w:color w:val="000000"/>
              </w:rPr>
            </w:pPr>
            <w:r w:rsidRPr="00FC1B50">
              <w:rPr>
                <w:rFonts w:eastAsia="Verdana" w:cs="Verdana"/>
                <w:color w:val="000000"/>
              </w:rPr>
              <w:t>Basin States, MDBA</w:t>
            </w:r>
          </w:p>
        </w:tc>
        <w:tc>
          <w:tcPr>
            <w:tcW w:w="1569" w:type="dxa"/>
            <w:gridSpan w:val="2"/>
            <w:tcBorders>
              <w:top w:val="single" w:sz="8" w:space="0" w:color="000000"/>
              <w:left w:val="nil"/>
              <w:bottom w:val="single" w:sz="8" w:space="0" w:color="000000"/>
              <w:right w:val="nil"/>
            </w:tcBorders>
            <w:vAlign w:val="center"/>
          </w:tcPr>
          <w:p w14:paraId="2E7117EA" w14:textId="6C169C88" w:rsidR="53C268AF" w:rsidRPr="00FC1B50" w:rsidRDefault="53C268AF" w:rsidP="00FC515A">
            <w:pPr>
              <w:spacing w:after="0"/>
              <w:jc w:val="center"/>
              <w:rPr>
                <w:rFonts w:eastAsia="Verdana" w:cs="Verdana"/>
                <w:color w:val="000000"/>
              </w:rPr>
            </w:pPr>
            <w:r w:rsidRPr="00FC1B50">
              <w:rPr>
                <w:rFonts w:eastAsia="Verdana" w:cs="Verdana"/>
                <w:color w:val="000000"/>
              </w:rPr>
              <w:t>5 yearly</w:t>
            </w:r>
          </w:p>
        </w:tc>
        <w:tc>
          <w:tcPr>
            <w:tcW w:w="1090" w:type="dxa"/>
            <w:tcBorders>
              <w:top w:val="single" w:sz="8" w:space="0" w:color="000000"/>
              <w:left w:val="nil"/>
              <w:bottom w:val="single" w:sz="8" w:space="0" w:color="000000"/>
              <w:right w:val="nil"/>
            </w:tcBorders>
            <w:vAlign w:val="center"/>
          </w:tcPr>
          <w:p w14:paraId="663A7374" w14:textId="4BF703BE"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10</w:t>
            </w:r>
          </w:p>
        </w:tc>
      </w:tr>
      <w:tr w:rsidR="53C268AF" w14:paraId="2A26FCB1" w14:textId="77777777" w:rsidTr="00296B88">
        <w:trPr>
          <w:trHeight w:val="300"/>
        </w:trPr>
        <w:tc>
          <w:tcPr>
            <w:tcW w:w="709" w:type="dxa"/>
            <w:tcBorders>
              <w:top w:val="single" w:sz="8" w:space="0" w:color="000000"/>
              <w:left w:val="nil"/>
              <w:bottom w:val="single" w:sz="8" w:space="0" w:color="000000"/>
              <w:right w:val="nil"/>
            </w:tcBorders>
            <w:vAlign w:val="center"/>
          </w:tcPr>
          <w:p w14:paraId="179B3C06" w14:textId="3DB3B0D2" w:rsidR="53C268AF" w:rsidRPr="00FC1B50" w:rsidRDefault="53C268AF" w:rsidP="00FC515A">
            <w:pPr>
              <w:spacing w:after="0"/>
              <w:jc w:val="center"/>
              <w:rPr>
                <w:rFonts w:eastAsia="Verdana" w:cs="Verdana"/>
                <w:color w:val="000000"/>
              </w:rPr>
            </w:pPr>
            <w:r w:rsidRPr="00FC1B50">
              <w:rPr>
                <w:rFonts w:eastAsia="Verdana" w:cs="Verdana"/>
                <w:color w:val="000000"/>
              </w:rPr>
              <w:t>19</w:t>
            </w:r>
          </w:p>
        </w:tc>
        <w:tc>
          <w:tcPr>
            <w:tcW w:w="4200" w:type="dxa"/>
            <w:tcBorders>
              <w:top w:val="single" w:sz="8" w:space="0" w:color="000000"/>
              <w:left w:val="nil"/>
              <w:bottom w:val="single" w:sz="8" w:space="0" w:color="000000"/>
              <w:right w:val="nil"/>
            </w:tcBorders>
            <w:vAlign w:val="center"/>
          </w:tcPr>
          <w:p w14:paraId="2FF0F973" w14:textId="70BBE64C" w:rsidR="53C268AF" w:rsidRPr="00FC1B50" w:rsidRDefault="53C268AF" w:rsidP="00FC515A">
            <w:pPr>
              <w:spacing w:after="0"/>
              <w:rPr>
                <w:rFonts w:eastAsia="Verdana" w:cs="Verdana"/>
                <w:color w:val="000000"/>
              </w:rPr>
            </w:pPr>
            <w:r w:rsidRPr="00FC1B50">
              <w:rPr>
                <w:rFonts w:eastAsia="Verdana" w:cs="Verdana"/>
                <w:color w:val="000000"/>
              </w:rPr>
              <w:t>Compliance with water resource plans.</w:t>
            </w:r>
          </w:p>
        </w:tc>
        <w:tc>
          <w:tcPr>
            <w:tcW w:w="2062" w:type="dxa"/>
            <w:tcBorders>
              <w:top w:val="single" w:sz="8" w:space="0" w:color="000000"/>
              <w:left w:val="nil"/>
              <w:bottom w:val="single" w:sz="8" w:space="0" w:color="000000"/>
              <w:right w:val="nil"/>
            </w:tcBorders>
            <w:vAlign w:val="center"/>
          </w:tcPr>
          <w:p w14:paraId="09F43559" w14:textId="2248CED6" w:rsidR="53C268AF" w:rsidRPr="00FC1B50" w:rsidRDefault="53C268AF" w:rsidP="00FC515A">
            <w:pPr>
              <w:spacing w:after="0"/>
              <w:jc w:val="center"/>
              <w:rPr>
                <w:rFonts w:eastAsia="Verdana" w:cs="Verdana"/>
                <w:color w:val="000000"/>
              </w:rPr>
            </w:pPr>
            <w:r w:rsidRPr="00FC1B50">
              <w:rPr>
                <w:rFonts w:eastAsia="Verdana" w:cs="Verdana"/>
                <w:color w:val="000000"/>
              </w:rPr>
              <w:t>Basin States</w:t>
            </w:r>
          </w:p>
        </w:tc>
        <w:tc>
          <w:tcPr>
            <w:tcW w:w="1569" w:type="dxa"/>
            <w:gridSpan w:val="2"/>
            <w:tcBorders>
              <w:top w:val="single" w:sz="8" w:space="0" w:color="000000"/>
              <w:left w:val="nil"/>
              <w:bottom w:val="single" w:sz="8" w:space="0" w:color="000000"/>
              <w:right w:val="nil"/>
            </w:tcBorders>
            <w:vAlign w:val="center"/>
          </w:tcPr>
          <w:p w14:paraId="2ED229D8" w14:textId="53C69C92" w:rsidR="53C268AF" w:rsidRPr="00FC1B50" w:rsidRDefault="53C268AF"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48DE08F1" w14:textId="4BFE9EA0" w:rsidR="53C268AF" w:rsidRPr="00FC1B50" w:rsidRDefault="53C268AF"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10</w:t>
            </w:r>
          </w:p>
        </w:tc>
      </w:tr>
      <w:tr w:rsidR="00DB3A79" w14:paraId="7E52B391" w14:textId="77777777" w:rsidTr="00296B88">
        <w:trPr>
          <w:trHeight w:val="300"/>
        </w:trPr>
        <w:tc>
          <w:tcPr>
            <w:tcW w:w="709" w:type="dxa"/>
            <w:tcBorders>
              <w:top w:val="single" w:sz="8" w:space="0" w:color="000000"/>
              <w:left w:val="nil"/>
              <w:bottom w:val="single" w:sz="8" w:space="0" w:color="000000"/>
              <w:right w:val="nil"/>
            </w:tcBorders>
            <w:vAlign w:val="center"/>
          </w:tcPr>
          <w:p w14:paraId="7B62C84D" w14:textId="1D99CD74" w:rsidR="00DB3A79" w:rsidRPr="00FC1B50" w:rsidRDefault="00DB3A79" w:rsidP="00FC515A">
            <w:pPr>
              <w:spacing w:after="0"/>
              <w:jc w:val="center"/>
              <w:rPr>
                <w:rFonts w:eastAsia="Verdana" w:cs="Verdana"/>
                <w:color w:val="000000"/>
              </w:rPr>
            </w:pPr>
            <w:r w:rsidRPr="00FC1B50">
              <w:rPr>
                <w:rFonts w:eastAsia="Verdana" w:cs="Verdana"/>
                <w:color w:val="000000"/>
              </w:rPr>
              <w:t>21</w:t>
            </w:r>
          </w:p>
        </w:tc>
        <w:tc>
          <w:tcPr>
            <w:tcW w:w="4200" w:type="dxa"/>
            <w:tcBorders>
              <w:top w:val="single" w:sz="8" w:space="0" w:color="000000"/>
              <w:left w:val="nil"/>
              <w:bottom w:val="single" w:sz="8" w:space="0" w:color="000000"/>
              <w:right w:val="nil"/>
            </w:tcBorders>
            <w:vAlign w:val="center"/>
          </w:tcPr>
          <w:p w14:paraId="17AB30E7" w14:textId="538E23C6" w:rsidR="00DB3A79" w:rsidRPr="00FC1B50" w:rsidRDefault="00DB3A79" w:rsidP="00FC515A">
            <w:pPr>
              <w:spacing w:after="0"/>
              <w:rPr>
                <w:rFonts w:eastAsia="Verdana" w:cs="Verdana"/>
                <w:color w:val="000000"/>
              </w:rPr>
            </w:pPr>
            <w:r w:rsidRPr="00FC1B50">
              <w:rPr>
                <w:rFonts w:eastAsia="Verdana" w:cs="Verdana"/>
                <w:color w:val="000000"/>
              </w:rPr>
              <w:t>The accountability and transparency of arrangements for water sharing.</w:t>
            </w:r>
          </w:p>
        </w:tc>
        <w:tc>
          <w:tcPr>
            <w:tcW w:w="2062" w:type="dxa"/>
            <w:tcBorders>
              <w:top w:val="single" w:sz="8" w:space="0" w:color="000000"/>
              <w:left w:val="nil"/>
              <w:bottom w:val="single" w:sz="8" w:space="0" w:color="000000"/>
              <w:right w:val="nil"/>
            </w:tcBorders>
            <w:vAlign w:val="center"/>
          </w:tcPr>
          <w:p w14:paraId="1D7FDC5F" w14:textId="3A9BE37A" w:rsidR="00DB3A79" w:rsidRPr="00FC1B50" w:rsidRDefault="00DB3A79" w:rsidP="00FC515A">
            <w:pPr>
              <w:spacing w:after="0"/>
              <w:jc w:val="center"/>
              <w:rPr>
                <w:rFonts w:eastAsia="Verdana" w:cs="Verdana"/>
                <w:color w:val="000000"/>
              </w:rPr>
            </w:pPr>
            <w:r w:rsidRPr="00FC1B50">
              <w:rPr>
                <w:rFonts w:eastAsia="Verdana" w:cs="Verdana"/>
                <w:color w:val="000000"/>
              </w:rPr>
              <w:t>Basin States</w:t>
            </w:r>
          </w:p>
        </w:tc>
        <w:tc>
          <w:tcPr>
            <w:tcW w:w="1569" w:type="dxa"/>
            <w:gridSpan w:val="2"/>
            <w:tcBorders>
              <w:top w:val="single" w:sz="8" w:space="0" w:color="000000"/>
              <w:left w:val="nil"/>
              <w:bottom w:val="single" w:sz="8" w:space="0" w:color="000000"/>
              <w:right w:val="nil"/>
            </w:tcBorders>
            <w:vAlign w:val="center"/>
          </w:tcPr>
          <w:p w14:paraId="4D35E2CE" w14:textId="03216D6A" w:rsidR="00DB3A79" w:rsidRPr="00FC1B50" w:rsidRDefault="00DB3A79" w:rsidP="00FC515A">
            <w:pPr>
              <w:spacing w:after="0"/>
              <w:jc w:val="center"/>
              <w:rPr>
                <w:rFonts w:eastAsia="Verdana" w:cs="Verdana"/>
                <w:color w:val="000000"/>
              </w:rPr>
            </w:pPr>
            <w:r w:rsidRPr="00FC1B50">
              <w:rPr>
                <w:rFonts w:eastAsia="Verdana" w:cs="Verdana"/>
                <w:color w:val="000000"/>
              </w:rPr>
              <w:t>Annual</w:t>
            </w:r>
          </w:p>
        </w:tc>
        <w:tc>
          <w:tcPr>
            <w:tcW w:w="1090" w:type="dxa"/>
            <w:tcBorders>
              <w:top w:val="single" w:sz="8" w:space="0" w:color="000000"/>
              <w:left w:val="nil"/>
              <w:bottom w:val="single" w:sz="8" w:space="0" w:color="000000"/>
              <w:right w:val="nil"/>
            </w:tcBorders>
            <w:vAlign w:val="center"/>
          </w:tcPr>
          <w:p w14:paraId="274ADED1" w14:textId="38094385" w:rsidR="00DB3A79" w:rsidRPr="00FC1B50" w:rsidRDefault="00DB3A79" w:rsidP="00FC515A">
            <w:pPr>
              <w:spacing w:after="0"/>
              <w:jc w:val="center"/>
              <w:rPr>
                <w:rFonts w:ascii="Aptos Narrow" w:eastAsia="Aptos Narrow" w:hAnsi="Aptos Narrow" w:cs="Aptos Narrow"/>
                <w:color w:val="000000"/>
                <w:sz w:val="22"/>
              </w:rPr>
            </w:pPr>
            <w:r w:rsidRPr="00FC1B50">
              <w:rPr>
                <w:rFonts w:ascii="Aptos Narrow" w:eastAsia="Aptos Narrow" w:hAnsi="Aptos Narrow" w:cs="Aptos Narrow"/>
                <w:color w:val="000000"/>
                <w:sz w:val="22"/>
              </w:rPr>
              <w:t>10</w:t>
            </w:r>
          </w:p>
        </w:tc>
      </w:tr>
    </w:tbl>
    <w:p w14:paraId="551D9702" w14:textId="3B1945B2" w:rsidR="0085223A" w:rsidRDefault="00AE060C" w:rsidP="00B5666E">
      <w:pPr>
        <w:pStyle w:val="Heading2"/>
      </w:pPr>
      <w:bookmarkStart w:id="25" w:name="_Toc200716138"/>
      <w:r>
        <w:t>Agency roles and responsibilities</w:t>
      </w:r>
      <w:bookmarkEnd w:id="25"/>
    </w:p>
    <w:p w14:paraId="607E45A2" w14:textId="7AF38186" w:rsidR="00654F62" w:rsidRDefault="000C2AEA" w:rsidP="00677649">
      <w:pPr>
        <w:pStyle w:val="Heading3"/>
        <w:keepLines/>
      </w:pPr>
      <w:r>
        <w:t>MDBA</w:t>
      </w:r>
    </w:p>
    <w:p w14:paraId="417BF2ED" w14:textId="6CB0B0A5" w:rsidR="008C285E" w:rsidRDefault="008C285E" w:rsidP="00677649">
      <w:pPr>
        <w:keepLines/>
      </w:pPr>
      <w:r>
        <w:t xml:space="preserve">The </w:t>
      </w:r>
      <w:r w:rsidR="00256A20">
        <w:t>Murray</w:t>
      </w:r>
      <w:r w:rsidR="00774032" w:rsidRPr="00774032">
        <w:t>–</w:t>
      </w:r>
      <w:r w:rsidR="00256A20">
        <w:t>Darling Basin Authority</w:t>
      </w:r>
      <w:r w:rsidR="00774032">
        <w:t xml:space="preserve"> (</w:t>
      </w:r>
      <w:r>
        <w:t>MDBA</w:t>
      </w:r>
      <w:r w:rsidR="00774032">
        <w:t>)</w:t>
      </w:r>
      <w:r>
        <w:t xml:space="preserve"> has key legislative responsibilities under the Water Act and the Basin Plan to </w:t>
      </w:r>
      <w:r w:rsidR="00BB1028">
        <w:t xml:space="preserve">support </w:t>
      </w:r>
      <w:r>
        <w:t>effective MER for environmental outcomes. These responsibilities are critical to achieving the sustainable management of the Basin’s water resources.</w:t>
      </w:r>
    </w:p>
    <w:p w14:paraId="46055989" w14:textId="0A2BE64B" w:rsidR="008C285E" w:rsidRDefault="008C285E" w:rsidP="00677649">
      <w:pPr>
        <w:keepLines/>
      </w:pPr>
      <w:r>
        <w:t>Under the Water Act, the MDBA must:</w:t>
      </w:r>
    </w:p>
    <w:p w14:paraId="5648C1C6" w14:textId="0B46FC2D" w:rsidR="008C285E" w:rsidRDefault="004B572D" w:rsidP="00677649">
      <w:pPr>
        <w:keepLines/>
        <w:numPr>
          <w:ilvl w:val="0"/>
          <w:numId w:val="13"/>
        </w:numPr>
      </w:pPr>
      <w:r>
        <w:t>Ensure</w:t>
      </w:r>
      <w:r w:rsidR="008C285E">
        <w:t xml:space="preserve"> that the </w:t>
      </w:r>
      <w:r w:rsidR="00004611">
        <w:t xml:space="preserve">Basin </w:t>
      </w:r>
      <w:r w:rsidR="008C285E">
        <w:t xml:space="preserve">Plan aligns with the </w:t>
      </w:r>
      <w:r w:rsidR="00004611">
        <w:t xml:space="preserve">Water </w:t>
      </w:r>
      <w:r w:rsidR="008C285E">
        <w:t>Act’s objectives, including the promotion of sustainable water use and the protection of environmental assets.</w:t>
      </w:r>
    </w:p>
    <w:p w14:paraId="403E9D13" w14:textId="1D511C3A" w:rsidR="008C285E" w:rsidRDefault="004B572D" w:rsidP="00677649">
      <w:pPr>
        <w:keepLines/>
        <w:numPr>
          <w:ilvl w:val="0"/>
          <w:numId w:val="13"/>
        </w:numPr>
      </w:pPr>
      <w:r>
        <w:t>Oversee</w:t>
      </w:r>
      <w:r w:rsidR="008C285E">
        <w:t xml:space="preserve"> </w:t>
      </w:r>
      <w:r w:rsidR="00004611">
        <w:t>reporting of</w:t>
      </w:r>
      <w:r w:rsidR="008C285E">
        <w:t xml:space="preserve"> sustainable diversion limits (SDLs), which are crucial for balancing water use with ecological needs.</w:t>
      </w:r>
    </w:p>
    <w:p w14:paraId="3D1CBB11" w14:textId="6DCE8657" w:rsidR="008C285E" w:rsidRDefault="004B572D" w:rsidP="00677649">
      <w:pPr>
        <w:keepLines/>
        <w:numPr>
          <w:ilvl w:val="0"/>
          <w:numId w:val="13"/>
        </w:numPr>
      </w:pPr>
      <w:r>
        <w:t>Provide</w:t>
      </w:r>
      <w:r w:rsidR="008C285E">
        <w:t xml:space="preserve"> detailed reports to the Australian Government and stakeholders, ensuring accountability in water management.</w:t>
      </w:r>
    </w:p>
    <w:p w14:paraId="12415ADD" w14:textId="7AECB34A" w:rsidR="008C285E" w:rsidRDefault="004B572D" w:rsidP="00677649">
      <w:pPr>
        <w:keepLines/>
        <w:numPr>
          <w:ilvl w:val="0"/>
          <w:numId w:val="13"/>
        </w:numPr>
      </w:pPr>
      <w:r>
        <w:t>Use</w:t>
      </w:r>
      <w:r w:rsidR="008C285E">
        <w:t xml:space="preserve"> evidence-based approaches to address emerging challenges in water resource management.</w:t>
      </w:r>
    </w:p>
    <w:p w14:paraId="0254847E" w14:textId="77005290" w:rsidR="008C285E" w:rsidRDefault="008C285E" w:rsidP="00677649">
      <w:pPr>
        <w:keepLines/>
      </w:pPr>
      <w:r>
        <w:t xml:space="preserve">The Basin Plan provides detailed guidelines for achieving environmental, social, and economic outcomes. Key MER responsibilities </w:t>
      </w:r>
      <w:r w:rsidR="00990522">
        <w:t xml:space="preserve">for the MDBA </w:t>
      </w:r>
      <w:r>
        <w:t>include:</w:t>
      </w:r>
    </w:p>
    <w:p w14:paraId="5863D19E" w14:textId="642162F8" w:rsidR="008C285E" w:rsidRDefault="004B572D" w:rsidP="00677649">
      <w:pPr>
        <w:keepLines/>
        <w:numPr>
          <w:ilvl w:val="0"/>
          <w:numId w:val="13"/>
        </w:numPr>
      </w:pPr>
      <w:r>
        <w:t>Assessing</w:t>
      </w:r>
      <w:r w:rsidR="008C285E">
        <w:t xml:space="preserve"> and optimi</w:t>
      </w:r>
      <w:r w:rsidR="00990522">
        <w:t>sing</w:t>
      </w:r>
      <w:r w:rsidR="008C285E">
        <w:t xml:space="preserve"> the use of environmental water to improve ecosystem health, as specified in Chapter 8.</w:t>
      </w:r>
    </w:p>
    <w:p w14:paraId="086D7D62" w14:textId="01FA6676" w:rsidR="008C285E" w:rsidRDefault="004B572D" w:rsidP="00677649">
      <w:pPr>
        <w:keepLines/>
        <w:numPr>
          <w:ilvl w:val="0"/>
          <w:numId w:val="13"/>
        </w:numPr>
      </w:pPr>
      <w:r>
        <w:t>Tracking</w:t>
      </w:r>
      <w:r w:rsidR="008C285E">
        <w:t xml:space="preserve"> progress toward environmental objectives, such as water quality, ecosystem function, and species diversity.</w:t>
      </w:r>
    </w:p>
    <w:p w14:paraId="6B6FCA0D" w14:textId="188FF507" w:rsidR="008C285E" w:rsidRDefault="004B572D" w:rsidP="00677649">
      <w:pPr>
        <w:keepLines/>
        <w:numPr>
          <w:ilvl w:val="0"/>
          <w:numId w:val="13"/>
        </w:numPr>
      </w:pPr>
      <w:r>
        <w:t>Reporting</w:t>
      </w:r>
      <w:r w:rsidR="008C285E">
        <w:t xml:space="preserve"> on sustainable water use</w:t>
      </w:r>
      <w:r w:rsidR="00134B19">
        <w:t xml:space="preserve"> via</w:t>
      </w:r>
      <w:r w:rsidR="008C285E">
        <w:t xml:space="preserve"> Chapter 9 </w:t>
      </w:r>
      <w:r w:rsidR="00C26B26">
        <w:t xml:space="preserve">which </w:t>
      </w:r>
      <w:r w:rsidR="008C285E">
        <w:t>require</w:t>
      </w:r>
      <w:r w:rsidR="00C26B26">
        <w:t>s</w:t>
      </w:r>
      <w:r w:rsidR="008C285E">
        <w:t xml:space="preserve"> reporting on SDL compliance and water quality improvements.</w:t>
      </w:r>
    </w:p>
    <w:p w14:paraId="3AA7506E" w14:textId="7EC9CBFE" w:rsidR="008C285E" w:rsidRDefault="004B572D" w:rsidP="00677649">
      <w:pPr>
        <w:keepLines/>
        <w:numPr>
          <w:ilvl w:val="0"/>
          <w:numId w:val="13"/>
        </w:numPr>
      </w:pPr>
      <w:r>
        <w:t>Identifying</w:t>
      </w:r>
      <w:r w:rsidR="008C285E">
        <w:t xml:space="preserve"> and addressing risks to water availability and ecosystem health under Chapter 4.</w:t>
      </w:r>
    </w:p>
    <w:p w14:paraId="5C834034" w14:textId="5485B1B0" w:rsidR="59154352" w:rsidRPr="00ED6B68" w:rsidRDefault="00677649" w:rsidP="00B5666E">
      <w:pPr>
        <w:pStyle w:val="Heading3"/>
        <w:rPr>
          <w:color w:val="auto"/>
        </w:rPr>
      </w:pPr>
      <w:r>
        <w:lastRenderedPageBreak/>
        <w:t>CEWH</w:t>
      </w:r>
    </w:p>
    <w:p w14:paraId="16046E49" w14:textId="5285D915" w:rsidR="00A21DF6" w:rsidRPr="00A21DF6" w:rsidRDefault="00A21DF6" w:rsidP="00A21DF6">
      <w:r>
        <w:t xml:space="preserve">The </w:t>
      </w:r>
      <w:r w:rsidR="00611906">
        <w:t>Commonwealth Environmental Water Holder (</w:t>
      </w:r>
      <w:r>
        <w:t>CEW</w:t>
      </w:r>
      <w:r w:rsidR="00E913D7">
        <w:t>H</w:t>
      </w:r>
      <w:r w:rsidR="00611906">
        <w:t>)</w:t>
      </w:r>
      <w:r>
        <w:t xml:space="preserve"> has critical legislative responsibilities under the Water </w:t>
      </w:r>
      <w:r w:rsidR="7372D9B5">
        <w:t>Act and</w:t>
      </w:r>
      <w:r>
        <w:t xml:space="preserve"> the Basin Plan to contribute to MER for environmental outcomes. These responsibilities </w:t>
      </w:r>
      <w:r w:rsidR="001E1944">
        <w:t xml:space="preserve">support </w:t>
      </w:r>
      <w:r>
        <w:t xml:space="preserve">the effective management of Commonwealth environmental water to support the ecological health of the </w:t>
      </w:r>
      <w:r w:rsidR="008F4141">
        <w:t>Murray–Darling</w:t>
      </w:r>
      <w:r>
        <w:t xml:space="preserve"> Basin.</w:t>
      </w:r>
    </w:p>
    <w:p w14:paraId="7B3B2C3C" w14:textId="7433C798" w:rsidR="00A21DF6" w:rsidRPr="00A21DF6" w:rsidRDefault="00A21DF6" w:rsidP="00A21DF6">
      <w:r w:rsidRPr="00A21DF6">
        <w:t>Under the Water Act, the CEW</w:t>
      </w:r>
      <w:r w:rsidR="00E913D7">
        <w:t>H</w:t>
      </w:r>
      <w:r w:rsidRPr="00A21DF6">
        <w:t xml:space="preserve"> is tasked with:</w:t>
      </w:r>
    </w:p>
    <w:p w14:paraId="792E7513" w14:textId="58F8620C" w:rsidR="00A21DF6" w:rsidRPr="00A21DF6" w:rsidRDefault="00293E30" w:rsidP="00885261">
      <w:pPr>
        <w:numPr>
          <w:ilvl w:val="0"/>
          <w:numId w:val="13"/>
        </w:numPr>
      </w:pPr>
      <w:r w:rsidRPr="00A21DF6">
        <w:t>Manag</w:t>
      </w:r>
      <w:r>
        <w:t>ing</w:t>
      </w:r>
      <w:r w:rsidR="005E3E57" w:rsidRPr="00A21DF6">
        <w:t xml:space="preserve"> </w:t>
      </w:r>
      <w:r w:rsidR="00C22B8D" w:rsidRPr="00A21DF6">
        <w:t xml:space="preserve">water </w:t>
      </w:r>
      <w:r w:rsidR="00A21DF6" w:rsidRPr="00A21DF6">
        <w:t>holdings to maximi</w:t>
      </w:r>
      <w:r w:rsidR="00C13B57">
        <w:t>s</w:t>
      </w:r>
      <w:r w:rsidR="00A21DF6" w:rsidRPr="00A21DF6">
        <w:t>e environmental benefits, ensuring the sustainable use of water resources.</w:t>
      </w:r>
    </w:p>
    <w:p w14:paraId="064E4966" w14:textId="6A85DBD5" w:rsidR="00A21DF6" w:rsidRPr="00A21DF6" w:rsidRDefault="00293E30" w:rsidP="00885261">
      <w:pPr>
        <w:numPr>
          <w:ilvl w:val="0"/>
          <w:numId w:val="13"/>
        </w:numPr>
      </w:pPr>
      <w:r>
        <w:t>P</w:t>
      </w:r>
      <w:r w:rsidRPr="00A21DF6">
        <w:t>romoting</w:t>
      </w:r>
      <w:r w:rsidR="00A21DF6" w:rsidRPr="00A21DF6">
        <w:t xml:space="preserve"> environmental sustainability</w:t>
      </w:r>
      <w:r w:rsidR="004640EA">
        <w:t xml:space="preserve"> by </w:t>
      </w:r>
      <w:r w:rsidR="00A21DF6" w:rsidRPr="00A21DF6">
        <w:t>contribut</w:t>
      </w:r>
      <w:r w:rsidR="004640EA">
        <w:t>ing</w:t>
      </w:r>
      <w:r w:rsidR="00A21DF6" w:rsidRPr="00A21DF6">
        <w:t xml:space="preserve"> to the restoration and protection of ecosystems and biodiversity, aligning with the </w:t>
      </w:r>
      <w:r w:rsidR="004640EA">
        <w:t xml:space="preserve">Water </w:t>
      </w:r>
      <w:r w:rsidR="00A21DF6" w:rsidRPr="00A21DF6">
        <w:t>Act’s objectives.</w:t>
      </w:r>
    </w:p>
    <w:p w14:paraId="04628C53" w14:textId="20C062CD" w:rsidR="00A21DF6" w:rsidRPr="00A21DF6" w:rsidRDefault="003360A7" w:rsidP="00885261">
      <w:pPr>
        <w:numPr>
          <w:ilvl w:val="0"/>
          <w:numId w:val="13"/>
        </w:numPr>
      </w:pPr>
      <w:r>
        <w:t>M</w:t>
      </w:r>
      <w:r w:rsidR="00A21DF6" w:rsidRPr="00A21DF6">
        <w:t>onitoring</w:t>
      </w:r>
      <w:r>
        <w:t xml:space="preserve"> and evaluating on </w:t>
      </w:r>
      <w:r w:rsidR="00A21DF6" w:rsidRPr="00A21DF6">
        <w:t>the ecological outcomes of environmental water use and report</w:t>
      </w:r>
      <w:r>
        <w:t>ing</w:t>
      </w:r>
      <w:r w:rsidR="00A21DF6" w:rsidRPr="00A21DF6">
        <w:t xml:space="preserve"> these findings to ensure accountability and inform future decisions.</w:t>
      </w:r>
    </w:p>
    <w:p w14:paraId="54E138E9" w14:textId="1163CB9E" w:rsidR="00A21DF6" w:rsidRPr="00A21DF6" w:rsidRDefault="00A21DF6" w:rsidP="00A21DF6">
      <w:r w:rsidRPr="00A21DF6">
        <w:t>The Basin Plan further refines these responsibilities</w:t>
      </w:r>
      <w:r w:rsidR="003E317A">
        <w:t xml:space="preserve"> and the CEW</w:t>
      </w:r>
      <w:r w:rsidR="00E913D7">
        <w:t>H</w:t>
      </w:r>
      <w:r w:rsidRPr="00A21DF6">
        <w:t>:</w:t>
      </w:r>
    </w:p>
    <w:p w14:paraId="4656EBDD" w14:textId="694F90CE" w:rsidR="00A21DF6" w:rsidRPr="00A21DF6" w:rsidRDefault="00293E30" w:rsidP="00885261">
      <w:pPr>
        <w:numPr>
          <w:ilvl w:val="0"/>
          <w:numId w:val="13"/>
        </w:numPr>
      </w:pPr>
      <w:r w:rsidRPr="00A21DF6">
        <w:t>Plays</w:t>
      </w:r>
      <w:r w:rsidR="00A21DF6" w:rsidRPr="00A21DF6">
        <w:t xml:space="preserve"> a pivotal role in implementing the Environmental Watering Plan </w:t>
      </w:r>
      <w:r w:rsidR="004640EA">
        <w:t xml:space="preserve">(Chapter 8) </w:t>
      </w:r>
      <w:r w:rsidR="00A21DF6" w:rsidRPr="00A21DF6">
        <w:t>by identifying priorities, delivering water to key sites, and evaluating its ecological impacts.</w:t>
      </w:r>
    </w:p>
    <w:p w14:paraId="0FA36271" w14:textId="580339C6" w:rsidR="00A21DF6" w:rsidRPr="00A21DF6" w:rsidRDefault="00A63FC3" w:rsidP="00885261">
      <w:pPr>
        <w:numPr>
          <w:ilvl w:val="0"/>
          <w:numId w:val="13"/>
        </w:numPr>
      </w:pPr>
      <w:r w:rsidRPr="00A21DF6">
        <w:t>Supports</w:t>
      </w:r>
      <w:r w:rsidR="00A21DF6" w:rsidRPr="00A21DF6">
        <w:t xml:space="preserve"> efforts to meet water quality and salinity targets</w:t>
      </w:r>
      <w:r w:rsidR="004640EA">
        <w:t xml:space="preserve"> (Chapter 9)</w:t>
      </w:r>
      <w:r w:rsidR="00A21DF6" w:rsidRPr="00A21DF6">
        <w:t>, ensuring environmental water use contributes to improved ecosystem health.</w:t>
      </w:r>
    </w:p>
    <w:p w14:paraId="1E926E0A" w14:textId="4AEEF523" w:rsidR="009C0B39" w:rsidRDefault="00A63FC3" w:rsidP="00885261">
      <w:pPr>
        <w:numPr>
          <w:ilvl w:val="0"/>
          <w:numId w:val="13"/>
        </w:numPr>
      </w:pPr>
      <w:r w:rsidRPr="00A21DF6">
        <w:t>Participates</w:t>
      </w:r>
      <w:r w:rsidR="00A21DF6" w:rsidRPr="00A21DF6">
        <w:t xml:space="preserve"> in monitoring programs </w:t>
      </w:r>
      <w:r w:rsidR="004640EA">
        <w:t xml:space="preserve">(Chapter 13) </w:t>
      </w:r>
      <w:r w:rsidR="00A21DF6" w:rsidRPr="00A21DF6">
        <w:t>to assess the effectiveness of environmental watering activities and contribute to broader MER requirements.</w:t>
      </w:r>
    </w:p>
    <w:p w14:paraId="60CF0A7D" w14:textId="2B0676CB" w:rsidR="00A21DF6" w:rsidRPr="00A21DF6" w:rsidRDefault="00A63FC3" w:rsidP="00885261">
      <w:pPr>
        <w:numPr>
          <w:ilvl w:val="0"/>
          <w:numId w:val="13"/>
        </w:numPr>
      </w:pPr>
      <w:r w:rsidRPr="00A21DF6">
        <w:t>Identifies</w:t>
      </w:r>
      <w:r w:rsidR="00A21DF6" w:rsidRPr="00A21DF6">
        <w:t xml:space="preserve"> and manages risks to environmental outcomes</w:t>
      </w:r>
      <w:r w:rsidR="004640EA">
        <w:t xml:space="preserve"> (Chapter 4)</w:t>
      </w:r>
      <w:r w:rsidR="00A21DF6" w:rsidRPr="00A21DF6">
        <w:t>, such as climate variability and changes in water availability.</w:t>
      </w:r>
    </w:p>
    <w:p w14:paraId="40ECD6EB" w14:textId="29E7F7C7" w:rsidR="0011275D" w:rsidRDefault="0011275D" w:rsidP="00677649">
      <w:pPr>
        <w:pStyle w:val="Heading3"/>
        <w:keepLines/>
      </w:pPr>
      <w:r>
        <w:t>Basin State agencies</w:t>
      </w:r>
    </w:p>
    <w:p w14:paraId="169499D2" w14:textId="085CCB2E" w:rsidR="0011275D" w:rsidRDefault="00D808A5" w:rsidP="00677649">
      <w:pPr>
        <w:keepLines/>
      </w:pPr>
      <w:r>
        <w:t>Under the Basin Plan</w:t>
      </w:r>
      <w:r w:rsidR="00893D53">
        <w:t>, Basin State</w:t>
      </w:r>
      <w:r w:rsidR="003A46D5">
        <w:t xml:space="preserve"> agencies</w:t>
      </w:r>
      <w:r w:rsidR="00893D53">
        <w:t xml:space="preserve"> have the</w:t>
      </w:r>
      <w:r w:rsidR="00E576FB">
        <w:t>se three</w:t>
      </w:r>
      <w:r w:rsidR="00893D53" w:rsidDel="00E576FB">
        <w:t xml:space="preserve"> </w:t>
      </w:r>
      <w:r w:rsidR="00893D53">
        <w:t>obligations:</w:t>
      </w:r>
    </w:p>
    <w:p w14:paraId="5EAB2335" w14:textId="4C0A2171" w:rsidR="00893D53" w:rsidRDefault="00900E13" w:rsidP="00677649">
      <w:pPr>
        <w:keepLines/>
        <w:numPr>
          <w:ilvl w:val="0"/>
          <w:numId w:val="13"/>
        </w:numPr>
      </w:pPr>
      <w:r>
        <w:t>C</w:t>
      </w:r>
      <w:r w:rsidR="00893D53">
        <w:t>ollect</w:t>
      </w:r>
      <w:r w:rsidR="009B2A3A">
        <w:t xml:space="preserve"> environmental</w:t>
      </w:r>
      <w:r w:rsidR="00893D53">
        <w:t xml:space="preserve"> monitoring data </w:t>
      </w:r>
      <w:r w:rsidR="009B2A3A">
        <w:t>on environmental indicators such as water quality, salinity, and e</w:t>
      </w:r>
      <w:r>
        <w:t>cological health.</w:t>
      </w:r>
    </w:p>
    <w:p w14:paraId="55FA9C72" w14:textId="771671BD" w:rsidR="00900E13" w:rsidRDefault="00900E13" w:rsidP="00677649">
      <w:pPr>
        <w:keepLines/>
        <w:numPr>
          <w:ilvl w:val="0"/>
          <w:numId w:val="13"/>
        </w:numPr>
      </w:pPr>
      <w:r>
        <w:t>Ass</w:t>
      </w:r>
      <w:r w:rsidR="007F2CCC">
        <w:t>ess the effectiveness of the Basin Plan by evaluating whether the expected environmental outcomes are being achieved.</w:t>
      </w:r>
    </w:p>
    <w:p w14:paraId="0D781810" w14:textId="65F135A7" w:rsidR="007F2CCC" w:rsidRDefault="009B351A" w:rsidP="00677649">
      <w:pPr>
        <w:pStyle w:val="ListParagraph"/>
        <w:keepLines/>
        <w:numPr>
          <w:ilvl w:val="0"/>
          <w:numId w:val="62"/>
        </w:numPr>
      </w:pPr>
      <w:r>
        <w:t>Report on their findings annually and every five years to the MDBA</w:t>
      </w:r>
      <w:r w:rsidR="00F51571">
        <w:t>.</w:t>
      </w:r>
    </w:p>
    <w:p w14:paraId="22D44443" w14:textId="5C387328" w:rsidR="005C53D0" w:rsidRDefault="005C53D0" w:rsidP="00A95198">
      <w:pPr>
        <w:pStyle w:val="Heading3"/>
        <w:keepLines/>
      </w:pPr>
      <w:r>
        <w:t>The Inspector</w:t>
      </w:r>
      <w:r w:rsidR="00B55D3E">
        <w:t>–</w:t>
      </w:r>
      <w:r>
        <w:t>General of Water Compliance</w:t>
      </w:r>
    </w:p>
    <w:p w14:paraId="0D8DD900" w14:textId="2DF71F5E" w:rsidR="005A18C9" w:rsidRDefault="00915FF1" w:rsidP="00A95198">
      <w:pPr>
        <w:keepLines/>
      </w:pPr>
      <w:r>
        <w:t xml:space="preserve">The </w:t>
      </w:r>
      <w:r w:rsidR="00DC66B6">
        <w:t xml:space="preserve">independent </w:t>
      </w:r>
      <w:r>
        <w:t>Ins</w:t>
      </w:r>
      <w:r w:rsidR="005C7516">
        <w:t>pector</w:t>
      </w:r>
      <w:r w:rsidR="00B55D3E">
        <w:t>–</w:t>
      </w:r>
      <w:r w:rsidR="005C7516">
        <w:t xml:space="preserve">General </w:t>
      </w:r>
      <w:r w:rsidR="00D75465">
        <w:t xml:space="preserve">has a key role </w:t>
      </w:r>
      <w:r w:rsidR="00545208">
        <w:t>supporting</w:t>
      </w:r>
      <w:r w:rsidR="00D75465">
        <w:t xml:space="preserve"> effective implementation of the Basin Plan so that environmental outcomes are met. </w:t>
      </w:r>
      <w:r w:rsidR="0006614A">
        <w:t xml:space="preserve">The </w:t>
      </w:r>
      <w:r w:rsidR="002716E7">
        <w:t>Inspector</w:t>
      </w:r>
      <w:r w:rsidR="000F0AEF">
        <w:t>–</w:t>
      </w:r>
      <w:r w:rsidR="002716E7">
        <w:t>General broadly has the roles of</w:t>
      </w:r>
      <w:r w:rsidR="00D75465">
        <w:t>:</w:t>
      </w:r>
    </w:p>
    <w:p w14:paraId="27ACBCAD" w14:textId="4055E102" w:rsidR="002716E7" w:rsidRPr="002716E7" w:rsidRDefault="002716E7" w:rsidP="002716E7">
      <w:pPr>
        <w:keepLines/>
        <w:numPr>
          <w:ilvl w:val="0"/>
          <w:numId w:val="13"/>
        </w:numPr>
      </w:pPr>
      <w:r w:rsidRPr="002716E7">
        <w:t>Monitoring and overseeing the performance of functions and exercise of powers by agencies of the Commonwealth</w:t>
      </w:r>
      <w:r w:rsidR="001757CF">
        <w:t>.</w:t>
      </w:r>
    </w:p>
    <w:p w14:paraId="28CF0042" w14:textId="4D363EFE" w:rsidR="002716E7" w:rsidRPr="002716E7" w:rsidRDefault="002716E7" w:rsidP="002716E7">
      <w:pPr>
        <w:keepLines/>
        <w:numPr>
          <w:ilvl w:val="0"/>
          <w:numId w:val="13"/>
        </w:numPr>
      </w:pPr>
      <w:r w:rsidRPr="002716E7">
        <w:t>Monitoring and overseeing relevant Commonwealth, and Basin state and territory government agencies’ performance in the management of Basin water resources</w:t>
      </w:r>
      <w:r w:rsidR="000F26FA">
        <w:t>.</w:t>
      </w:r>
    </w:p>
    <w:p w14:paraId="28499B6D" w14:textId="4CA331D1" w:rsidR="002716E7" w:rsidRPr="002716E7" w:rsidRDefault="002716E7" w:rsidP="002716E7">
      <w:pPr>
        <w:keepLines/>
        <w:numPr>
          <w:ilvl w:val="0"/>
          <w:numId w:val="13"/>
        </w:numPr>
      </w:pPr>
      <w:r w:rsidRPr="002716E7">
        <w:t>Enforcing compliance with Commonwealth laws that regulate the management of Basin water resources and the provision of water markets information</w:t>
      </w:r>
      <w:r w:rsidR="001757CF">
        <w:t>.</w:t>
      </w:r>
    </w:p>
    <w:p w14:paraId="2ADC67F6" w14:textId="75A05E0A" w:rsidR="002716E7" w:rsidRPr="002716E7" w:rsidRDefault="002716E7" w:rsidP="002716E7">
      <w:pPr>
        <w:keepLines/>
        <w:numPr>
          <w:ilvl w:val="0"/>
          <w:numId w:val="13"/>
        </w:numPr>
      </w:pPr>
      <w:r w:rsidRPr="002716E7">
        <w:t>Engaging with the Australian community on the management of Basin water resources</w:t>
      </w:r>
      <w:r w:rsidR="001757CF">
        <w:t>.</w:t>
      </w:r>
    </w:p>
    <w:p w14:paraId="60007B53" w14:textId="0A74753B" w:rsidR="003B3811" w:rsidRDefault="001A6ED0" w:rsidP="002D1C17">
      <w:pPr>
        <w:pStyle w:val="Heading1"/>
      </w:pPr>
      <w:bookmarkStart w:id="26" w:name="_Toc200716139"/>
      <w:r>
        <w:lastRenderedPageBreak/>
        <w:t>M</w:t>
      </w:r>
      <w:r w:rsidR="0008441E">
        <w:t xml:space="preserve">onitoring </w:t>
      </w:r>
      <w:r w:rsidR="00A23A30">
        <w:t xml:space="preserve">and </w:t>
      </w:r>
      <w:r w:rsidR="0008441E">
        <w:t>evaluation reporting requirements</w:t>
      </w:r>
      <w:bookmarkEnd w:id="26"/>
    </w:p>
    <w:p w14:paraId="6A7E2E6A" w14:textId="0F337500" w:rsidR="00511AD9" w:rsidRPr="00511AD9" w:rsidRDefault="00511AD9" w:rsidP="00511AD9">
      <w:r w:rsidRPr="00511AD9">
        <w:t>Monitoring</w:t>
      </w:r>
      <w:r>
        <w:t xml:space="preserve"> and </w:t>
      </w:r>
      <w:r w:rsidRPr="00511AD9">
        <w:t>evaluation</w:t>
      </w:r>
      <w:r>
        <w:t xml:space="preserve"> </w:t>
      </w:r>
      <w:r w:rsidRPr="00511AD9">
        <w:t xml:space="preserve">reporting </w:t>
      </w:r>
      <w:r>
        <w:t>is</w:t>
      </w:r>
      <w:r w:rsidRPr="00511AD9">
        <w:t xml:space="preserve"> essential to achieving the environmental outcomes outlined in the</w:t>
      </w:r>
      <w:r w:rsidR="00DA453B">
        <w:t xml:space="preserve"> </w:t>
      </w:r>
      <w:r w:rsidR="00EE56DD">
        <w:t>Basin Plan</w:t>
      </w:r>
      <w:r w:rsidRPr="00511AD9">
        <w:t xml:space="preserve">. The current delivery of </w:t>
      </w:r>
      <w:r w:rsidR="00FC1D78">
        <w:t>monitoring and evaluation reporting</w:t>
      </w:r>
      <w:r w:rsidRPr="00511AD9">
        <w:t xml:space="preserve"> by key Basin State agencies, the </w:t>
      </w:r>
      <w:r w:rsidR="00540277">
        <w:t>Murray–Darling Basing Authority (MDBA)</w:t>
      </w:r>
      <w:r w:rsidRPr="00511AD9">
        <w:t xml:space="preserve">, and the </w:t>
      </w:r>
      <w:r w:rsidR="00540277">
        <w:t>Commonwealth Environmental Water Holder (</w:t>
      </w:r>
      <w:r w:rsidRPr="00511AD9">
        <w:t>CEW</w:t>
      </w:r>
      <w:r w:rsidR="00E913D7">
        <w:t>H</w:t>
      </w:r>
      <w:r w:rsidR="00540277">
        <w:t>)</w:t>
      </w:r>
      <w:r w:rsidRPr="00511AD9">
        <w:t>, is critical for making progress toward goals such as healthy ecosystems, restored habitats, and improved resilience to climate change</w:t>
      </w:r>
      <w:r w:rsidR="003470B2">
        <w:t xml:space="preserve"> </w:t>
      </w:r>
      <w:r w:rsidR="003470B2" w:rsidRPr="003470B2">
        <w:t>and other risks and threats</w:t>
      </w:r>
      <w:r w:rsidRPr="00511AD9">
        <w:t xml:space="preserve">. </w:t>
      </w:r>
    </w:p>
    <w:p w14:paraId="50BC8385" w14:textId="2738EC61" w:rsidR="00511AD9" w:rsidRPr="00511AD9" w:rsidRDefault="00511AD9" w:rsidP="00511AD9">
      <w:r w:rsidRPr="00511AD9">
        <w:t xml:space="preserve">Monitoring practices, evaluation </w:t>
      </w:r>
      <w:r w:rsidR="006D4E50" w:rsidRPr="00511AD9">
        <w:t>method</w:t>
      </w:r>
      <w:r w:rsidR="006D4E50">
        <w:t>s</w:t>
      </w:r>
      <w:r w:rsidRPr="00511AD9">
        <w:t>, and reporting mechanisms are integral to these activities. Basin State agencies</w:t>
      </w:r>
      <w:r w:rsidR="001A6ED0">
        <w:t xml:space="preserve"> </w:t>
      </w:r>
      <w:r w:rsidRPr="00511AD9">
        <w:t>focus on water quality, ecosystem health, and environmental water delivery. The MDBA coordinates Basin-wide monitoring programs, while the CEW</w:t>
      </w:r>
      <w:r w:rsidR="00E913D7">
        <w:t>H</w:t>
      </w:r>
      <w:r w:rsidRPr="00511AD9">
        <w:t xml:space="preserve"> tracks the outcomes of Commonwealth environmental water use. </w:t>
      </w:r>
    </w:p>
    <w:p w14:paraId="688E4BDC" w14:textId="14C721B3" w:rsidR="001A6ED0" w:rsidRDefault="001A6ED0" w:rsidP="00511AD9">
      <w:r>
        <w:t>This section outlines the approaches these agencies take in</w:t>
      </w:r>
      <w:r w:rsidRPr="001A6ED0">
        <w:t xml:space="preserve"> discharging their roles and responsibilities to produce monitoring and evaluation reports</w:t>
      </w:r>
      <w:r>
        <w:t>.</w:t>
      </w:r>
      <w:r w:rsidRPr="001A6ED0">
        <w:t xml:space="preserve"> </w:t>
      </w:r>
    </w:p>
    <w:p w14:paraId="74E74CD9" w14:textId="35FF0885" w:rsidR="00095473" w:rsidRDefault="00095473" w:rsidP="00511AD9">
      <w:pPr>
        <w:pStyle w:val="Heading2"/>
      </w:pPr>
      <w:bookmarkStart w:id="27" w:name="_Toc200716140"/>
      <w:r>
        <w:t>Monitoring</w:t>
      </w:r>
      <w:r w:rsidR="000D6475">
        <w:t xml:space="preserve"> </w:t>
      </w:r>
      <w:r w:rsidR="003073E1">
        <w:t>p</w:t>
      </w:r>
      <w:r w:rsidR="000D6475">
        <w:t>ractices</w:t>
      </w:r>
      <w:bookmarkEnd w:id="27"/>
    </w:p>
    <w:p w14:paraId="37875522" w14:textId="5E6221FD" w:rsidR="00702D7C" w:rsidRDefault="00702D7C" w:rsidP="00702D7C">
      <w:r>
        <w:t>Monitoring practices employed by Basin State agencies, the MDBA, and the CEW</w:t>
      </w:r>
      <w:r w:rsidR="00E913D7">
        <w:t>H</w:t>
      </w:r>
      <w:r>
        <w:t xml:space="preserve"> are designed to assess progress toward the environmental outcomes specified in the Basin Plan.</w:t>
      </w:r>
    </w:p>
    <w:p w14:paraId="5DD9CA1F" w14:textId="3DAAFA20" w:rsidR="00702D7C" w:rsidRDefault="00702D7C" w:rsidP="00ED11C9">
      <w:pPr>
        <w:pStyle w:val="Heading3"/>
      </w:pPr>
      <w:r>
        <w:t xml:space="preserve">Basin State </w:t>
      </w:r>
      <w:r w:rsidR="003073E1">
        <w:t>a</w:t>
      </w:r>
      <w:r>
        <w:t>gencies</w:t>
      </w:r>
    </w:p>
    <w:p w14:paraId="072C0020" w14:textId="77777777" w:rsidR="00702D7C" w:rsidRDefault="00702D7C" w:rsidP="00702D7C">
      <w:r>
        <w:t>Basin State agencies monitor local and regional environmental conditions, focusing on water quality, flow regimes, ecosystem health, and biodiversity. Key practices include:</w:t>
      </w:r>
    </w:p>
    <w:p w14:paraId="26BDBB06" w14:textId="77777777" w:rsidR="00702D7C" w:rsidRDefault="00702D7C" w:rsidP="00C40253">
      <w:pPr>
        <w:pStyle w:val="ListParagraph"/>
        <w:numPr>
          <w:ilvl w:val="0"/>
          <w:numId w:val="14"/>
        </w:numPr>
        <w:spacing w:before="120" w:after="120"/>
        <w:ind w:left="714" w:hanging="357"/>
        <w:contextualSpacing w:val="0"/>
      </w:pPr>
      <w:r>
        <w:t>Water quality monitoring: Measuring salinity, nutrient levels, and other parameters to assess compliance with water quality targets.</w:t>
      </w:r>
    </w:p>
    <w:p w14:paraId="57BCA50D" w14:textId="2CDE82EE" w:rsidR="00702D7C" w:rsidRDefault="00702D7C" w:rsidP="03773003">
      <w:pPr>
        <w:pStyle w:val="ListParagraph"/>
        <w:numPr>
          <w:ilvl w:val="0"/>
          <w:numId w:val="14"/>
        </w:numPr>
        <w:spacing w:before="120" w:after="120"/>
        <w:ind w:left="714" w:hanging="357"/>
      </w:pPr>
      <w:r>
        <w:t xml:space="preserve">Hydrological monitoring: Tracking water </w:t>
      </w:r>
      <w:r w:rsidR="008A3D09">
        <w:t>flow, storage</w:t>
      </w:r>
      <w:r>
        <w:t xml:space="preserve"> and environmental water delivery.</w:t>
      </w:r>
    </w:p>
    <w:p w14:paraId="7B14D5AF" w14:textId="77777777" w:rsidR="00702D7C" w:rsidRDefault="00702D7C" w:rsidP="00C40253">
      <w:pPr>
        <w:pStyle w:val="ListParagraph"/>
        <w:numPr>
          <w:ilvl w:val="0"/>
          <w:numId w:val="14"/>
        </w:numPr>
        <w:spacing w:before="120" w:after="120"/>
        <w:ind w:left="714" w:hanging="357"/>
        <w:contextualSpacing w:val="0"/>
      </w:pPr>
      <w:r>
        <w:t>Ecological surveys: Monitoring vegetation, fish, and bird populations to assess ecosystem responses to environmental watering.</w:t>
      </w:r>
    </w:p>
    <w:p w14:paraId="6956A557" w14:textId="77777777" w:rsidR="00702D7C" w:rsidRDefault="00702D7C" w:rsidP="00C40253">
      <w:pPr>
        <w:pStyle w:val="ListParagraph"/>
        <w:numPr>
          <w:ilvl w:val="0"/>
          <w:numId w:val="14"/>
        </w:numPr>
        <w:spacing w:before="120" w:after="120"/>
        <w:ind w:left="714" w:hanging="357"/>
        <w:contextualSpacing w:val="0"/>
      </w:pPr>
      <w:r>
        <w:t>Groundwater assessments: Examining groundwater levels and salinity to understand their role in supporting ecological outcomes.</w:t>
      </w:r>
    </w:p>
    <w:p w14:paraId="3C11E3BB" w14:textId="77777777" w:rsidR="00702D7C" w:rsidRDefault="00702D7C" w:rsidP="00ED11C9">
      <w:pPr>
        <w:pStyle w:val="Heading3"/>
      </w:pPr>
      <w:r>
        <w:t>MDBA</w:t>
      </w:r>
    </w:p>
    <w:p w14:paraId="03455B32" w14:textId="73EE0C06" w:rsidR="00702D7C" w:rsidRDefault="00702D7C" w:rsidP="008D1A47">
      <w:r>
        <w:t xml:space="preserve">The MDBA oversees Basin-wide monitoring programs, integrating data from state agencies and </w:t>
      </w:r>
      <w:r w:rsidR="00C54E4E">
        <w:t>Commonwe</w:t>
      </w:r>
      <w:r w:rsidR="00325DFC">
        <w:t>alth</w:t>
      </w:r>
      <w:r w:rsidR="00C54E4E">
        <w:t xml:space="preserve"> </w:t>
      </w:r>
      <w:r>
        <w:t>programs. Key practices include:</w:t>
      </w:r>
    </w:p>
    <w:p w14:paraId="16C83D0C" w14:textId="77777777" w:rsidR="00702D7C" w:rsidRDefault="00702D7C" w:rsidP="00C40253">
      <w:pPr>
        <w:pStyle w:val="ListParagraph"/>
        <w:numPr>
          <w:ilvl w:val="0"/>
          <w:numId w:val="15"/>
        </w:numPr>
        <w:spacing w:before="120" w:after="120"/>
        <w:ind w:left="714" w:hanging="357"/>
        <w:contextualSpacing w:val="0"/>
      </w:pPr>
      <w:r>
        <w:t>Ecosystem condition assessments: Evaluating long-term trends in ecosystem health through initiatives like the Sustainable Rivers Audit.</w:t>
      </w:r>
    </w:p>
    <w:p w14:paraId="1ADAAB76" w14:textId="77777777" w:rsidR="00702D7C" w:rsidRDefault="00702D7C" w:rsidP="03773003">
      <w:pPr>
        <w:pStyle w:val="ListParagraph"/>
        <w:numPr>
          <w:ilvl w:val="0"/>
          <w:numId w:val="15"/>
        </w:numPr>
        <w:spacing w:before="120" w:after="120"/>
        <w:ind w:left="714" w:hanging="357"/>
      </w:pPr>
      <w:r>
        <w:t>Salinity and water quality monitoring: Operating the Basin Salinity Management Strategy to address salinity risks.</w:t>
      </w:r>
    </w:p>
    <w:p w14:paraId="51F09DE4" w14:textId="76111EFD" w:rsidR="00702D7C" w:rsidRDefault="00702D7C" w:rsidP="00C40253">
      <w:pPr>
        <w:pStyle w:val="ListParagraph"/>
        <w:numPr>
          <w:ilvl w:val="0"/>
          <w:numId w:val="15"/>
        </w:numPr>
        <w:spacing w:before="120" w:after="120"/>
        <w:ind w:left="714" w:hanging="357"/>
        <w:contextualSpacing w:val="0"/>
      </w:pPr>
      <w:r>
        <w:t xml:space="preserve">Hydrological </w:t>
      </w:r>
      <w:r w:rsidR="00511E50">
        <w:t>modelling</w:t>
      </w:r>
      <w:r>
        <w:t>: Using models to predict ecological responses and refine water management strategies.</w:t>
      </w:r>
    </w:p>
    <w:p w14:paraId="16E60D5F" w14:textId="04058D55" w:rsidR="00702D7C" w:rsidRDefault="00702D7C" w:rsidP="00ED11C9">
      <w:pPr>
        <w:pStyle w:val="Heading3"/>
      </w:pPr>
      <w:r>
        <w:t>CEW</w:t>
      </w:r>
      <w:r w:rsidR="00E913D7">
        <w:t>H</w:t>
      </w:r>
    </w:p>
    <w:p w14:paraId="129BAB50" w14:textId="2E9AD7AA" w:rsidR="00702D7C" w:rsidRDefault="00702D7C" w:rsidP="00702D7C">
      <w:r>
        <w:t>The CEW</w:t>
      </w:r>
      <w:r w:rsidR="00E913D7">
        <w:t>H</w:t>
      </w:r>
      <w:r>
        <w:t xml:space="preserve"> focuses on monitoring the outcomes of Commonwealth environmental water delivery. Practices include:</w:t>
      </w:r>
    </w:p>
    <w:p w14:paraId="3E18D721" w14:textId="77777777" w:rsidR="00702D7C" w:rsidRDefault="00702D7C" w:rsidP="00C40253">
      <w:pPr>
        <w:pStyle w:val="ListParagraph"/>
        <w:numPr>
          <w:ilvl w:val="0"/>
          <w:numId w:val="16"/>
        </w:numPr>
        <w:spacing w:before="120" w:after="120"/>
        <w:ind w:left="714" w:hanging="357"/>
        <w:contextualSpacing w:val="0"/>
      </w:pPr>
      <w:r>
        <w:lastRenderedPageBreak/>
        <w:t>Targeted ecological monitoring: Assessing the impact of environmental watering on priority ecosystems, species, and habitats.</w:t>
      </w:r>
    </w:p>
    <w:p w14:paraId="5A01E6D3" w14:textId="1BB5D1F1" w:rsidR="00702D7C" w:rsidRDefault="00702D7C" w:rsidP="00C40253">
      <w:pPr>
        <w:pStyle w:val="ListParagraph"/>
        <w:numPr>
          <w:ilvl w:val="0"/>
          <w:numId w:val="16"/>
        </w:numPr>
        <w:spacing w:before="120" w:after="120"/>
        <w:ind w:left="714" w:hanging="357"/>
        <w:contextualSpacing w:val="0"/>
      </w:pPr>
      <w:r>
        <w:t>Water use tracking: Monitoring how and where environmental water is used to optimi</w:t>
      </w:r>
      <w:r w:rsidR="00C13B57">
        <w:t>s</w:t>
      </w:r>
      <w:r>
        <w:t>e future allocations.</w:t>
      </w:r>
    </w:p>
    <w:p w14:paraId="160124B1" w14:textId="77777777" w:rsidR="00702D7C" w:rsidRDefault="00702D7C" w:rsidP="03773003">
      <w:pPr>
        <w:pStyle w:val="ListParagraph"/>
        <w:numPr>
          <w:ilvl w:val="0"/>
          <w:numId w:val="16"/>
        </w:numPr>
        <w:spacing w:before="120" w:after="120"/>
        <w:ind w:left="714" w:hanging="357"/>
      </w:pPr>
      <w:r>
        <w:t>Collaborative projects: Working with stakeholders to monitor shared outcomes, such as vegetation recovery or fish breeding events.</w:t>
      </w:r>
    </w:p>
    <w:p w14:paraId="2711E315" w14:textId="6A8A9B82" w:rsidR="00C76134" w:rsidRDefault="00702D7C" w:rsidP="00702D7C">
      <w:r>
        <w:t>Collectively, these practices provide a framework for achieving and assessing environmental outcomes, ensuring the Basin Plan’s objectives are met.</w:t>
      </w:r>
    </w:p>
    <w:p w14:paraId="2AF66D6D" w14:textId="09DEBA3D" w:rsidR="00663835" w:rsidRDefault="00663835" w:rsidP="00EC591D">
      <w:pPr>
        <w:pStyle w:val="Heading2"/>
      </w:pPr>
      <w:bookmarkStart w:id="28" w:name="_Toc200716141"/>
      <w:r>
        <w:t>Evaluat</w:t>
      </w:r>
      <w:r w:rsidR="00A002A5">
        <w:t xml:space="preserve">ion </w:t>
      </w:r>
      <w:r w:rsidR="003073E1">
        <w:t>m</w:t>
      </w:r>
      <w:r w:rsidR="00891B0F">
        <w:t>ethods</w:t>
      </w:r>
      <w:bookmarkEnd w:id="28"/>
    </w:p>
    <w:p w14:paraId="2A92652D" w14:textId="45D57A49" w:rsidR="00856898" w:rsidRDefault="00856898" w:rsidP="00856898">
      <w:r>
        <w:t xml:space="preserve">Evaluation </w:t>
      </w:r>
      <w:r w:rsidR="0086646D">
        <w:t xml:space="preserve">methods </w:t>
      </w:r>
      <w:r>
        <w:t>employed by Basin State agencies, the MDBA, and CEW</w:t>
      </w:r>
      <w:r w:rsidR="00E913D7">
        <w:t>H</w:t>
      </w:r>
      <w:r>
        <w:t xml:space="preserve"> are designed to assess the effectiveness of water management practices in achieving the environmental outcomes specified in the Basin Plan.</w:t>
      </w:r>
    </w:p>
    <w:p w14:paraId="3181BEF2" w14:textId="2904535F" w:rsidR="00856898" w:rsidRDefault="00856898" w:rsidP="00856898">
      <w:pPr>
        <w:pStyle w:val="Heading3"/>
      </w:pPr>
      <w:r>
        <w:t xml:space="preserve">Basin State </w:t>
      </w:r>
      <w:r w:rsidR="003073E1">
        <w:t>a</w:t>
      </w:r>
      <w:r>
        <w:t>gencies</w:t>
      </w:r>
    </w:p>
    <w:p w14:paraId="598711EB" w14:textId="29B970F7" w:rsidR="00856898" w:rsidRDefault="00856898" w:rsidP="00856898">
      <w:r>
        <w:t xml:space="preserve">State agencies evaluate environmental outcomes at local and regional levels using </w:t>
      </w:r>
      <w:r w:rsidR="00CD1C3A">
        <w:t xml:space="preserve">methods </w:t>
      </w:r>
      <w:r>
        <w:t>such as:</w:t>
      </w:r>
    </w:p>
    <w:p w14:paraId="52DDAA6E" w14:textId="77777777" w:rsidR="00856898" w:rsidRDefault="00856898" w:rsidP="03773003">
      <w:pPr>
        <w:pStyle w:val="ListParagraph"/>
        <w:numPr>
          <w:ilvl w:val="0"/>
          <w:numId w:val="19"/>
        </w:numPr>
        <w:spacing w:before="120" w:after="120"/>
        <w:ind w:left="714" w:hanging="357"/>
      </w:pPr>
      <w:r>
        <w:t>Trend analysis: Comparing data over time to identify patterns in water quality, flow regimes, and ecological responses.</w:t>
      </w:r>
    </w:p>
    <w:p w14:paraId="1CE0261D" w14:textId="77777777" w:rsidR="00856898" w:rsidRDefault="00856898" w:rsidP="00C40253">
      <w:pPr>
        <w:pStyle w:val="ListParagraph"/>
        <w:numPr>
          <w:ilvl w:val="0"/>
          <w:numId w:val="19"/>
        </w:numPr>
        <w:spacing w:before="120" w:after="120"/>
        <w:ind w:left="714" w:hanging="357"/>
        <w:contextualSpacing w:val="0"/>
      </w:pPr>
      <w:r>
        <w:t>Impact assessments: Evaluating the effects of water delivery and management actions on specific ecosystems, such as wetlands or riparian zones.</w:t>
      </w:r>
    </w:p>
    <w:p w14:paraId="5E22EC71" w14:textId="77777777" w:rsidR="00856898" w:rsidRDefault="00856898" w:rsidP="00C40253">
      <w:pPr>
        <w:pStyle w:val="ListParagraph"/>
        <w:numPr>
          <w:ilvl w:val="0"/>
          <w:numId w:val="19"/>
        </w:numPr>
        <w:spacing w:before="120" w:after="120"/>
        <w:ind w:left="714" w:hanging="357"/>
        <w:contextualSpacing w:val="0"/>
      </w:pPr>
      <w:r>
        <w:t>Compliance evaluations: Assessing adherence to water quality and sustainable diversion limit (SDL) targets.</w:t>
      </w:r>
    </w:p>
    <w:p w14:paraId="7CD596F2" w14:textId="77777777" w:rsidR="00856898" w:rsidRDefault="00856898" w:rsidP="00C40253">
      <w:pPr>
        <w:pStyle w:val="ListParagraph"/>
        <w:numPr>
          <w:ilvl w:val="0"/>
          <w:numId w:val="19"/>
        </w:numPr>
        <w:spacing w:before="120" w:after="120"/>
        <w:ind w:left="714" w:hanging="357"/>
        <w:contextualSpacing w:val="0"/>
      </w:pPr>
      <w:r>
        <w:t>Ecological indicators: Using species populations, vegetation health, and habitat conditions as proxies for ecosystem health.</w:t>
      </w:r>
    </w:p>
    <w:p w14:paraId="290CB156" w14:textId="77777777" w:rsidR="00856898" w:rsidRDefault="00856898" w:rsidP="00856898">
      <w:pPr>
        <w:pStyle w:val="Heading3"/>
      </w:pPr>
      <w:r>
        <w:t>MDBA</w:t>
      </w:r>
    </w:p>
    <w:p w14:paraId="66FBE79D" w14:textId="0E2048C3" w:rsidR="00856898" w:rsidRDefault="00856898" w:rsidP="00856898">
      <w:r>
        <w:t>The MDBA employs a Basin-wide approach, using standardi</w:t>
      </w:r>
      <w:r w:rsidR="00C13B57">
        <w:t>s</w:t>
      </w:r>
      <w:r>
        <w:t xml:space="preserve">ed methods. Key </w:t>
      </w:r>
      <w:r w:rsidR="00C06DF2">
        <w:t xml:space="preserve">methods </w:t>
      </w:r>
      <w:r>
        <w:t>include:</w:t>
      </w:r>
    </w:p>
    <w:p w14:paraId="0D4EB2A9" w14:textId="0E601ECF" w:rsidR="00856898" w:rsidRDefault="00856898" w:rsidP="03773003">
      <w:pPr>
        <w:pStyle w:val="ListParagraph"/>
        <w:numPr>
          <w:ilvl w:val="0"/>
          <w:numId w:val="18"/>
        </w:numPr>
        <w:spacing w:before="120" w:after="120"/>
        <w:ind w:left="714" w:hanging="357"/>
      </w:pPr>
      <w:r>
        <w:t xml:space="preserve">Integrated reporting frameworks: Collating data from state agencies and </w:t>
      </w:r>
      <w:r w:rsidR="00D93852">
        <w:t xml:space="preserve">Commonwealth </w:t>
      </w:r>
      <w:r>
        <w:t>programs to assess overall progress toward Basin Plan objectives.</w:t>
      </w:r>
    </w:p>
    <w:p w14:paraId="1F28B8BD" w14:textId="5ED87D47" w:rsidR="00856898" w:rsidRDefault="00856898" w:rsidP="03773003">
      <w:pPr>
        <w:pStyle w:val="ListParagraph"/>
        <w:numPr>
          <w:ilvl w:val="0"/>
          <w:numId w:val="18"/>
        </w:numPr>
        <w:spacing w:before="120" w:after="120"/>
        <w:ind w:left="714" w:hanging="357"/>
      </w:pPr>
      <w:r>
        <w:t>System-scale evaluations: Assessing ecological health across the Basin, through the</w:t>
      </w:r>
      <w:r w:rsidR="008D789F">
        <w:t>ir</w:t>
      </w:r>
      <w:r>
        <w:t xml:space="preserve"> </w:t>
      </w:r>
      <w:r w:rsidR="004D2A2D">
        <w:t xml:space="preserve">5-yearly </w:t>
      </w:r>
      <w:r w:rsidR="008D789F">
        <w:t>Basin Plan Evaluation</w:t>
      </w:r>
      <w:r>
        <w:t>.</w:t>
      </w:r>
    </w:p>
    <w:p w14:paraId="7843FF1A" w14:textId="6AC6F12A" w:rsidR="00856898" w:rsidRDefault="00856898" w:rsidP="00C40253">
      <w:pPr>
        <w:pStyle w:val="ListParagraph"/>
        <w:numPr>
          <w:ilvl w:val="0"/>
          <w:numId w:val="18"/>
        </w:numPr>
        <w:spacing w:before="120" w:after="120"/>
        <w:ind w:left="714" w:hanging="357"/>
        <w:contextualSpacing w:val="0"/>
      </w:pPr>
      <w:r>
        <w:t xml:space="preserve">Scenario </w:t>
      </w:r>
      <w:r w:rsidR="0043556F">
        <w:t>modelling</w:t>
      </w:r>
      <w:r>
        <w:t>: Evaluating potential outcomes of different water management strategies to inform adaptive decision-making.</w:t>
      </w:r>
    </w:p>
    <w:p w14:paraId="639E7D7B" w14:textId="77777777" w:rsidR="00856898" w:rsidRDefault="00856898" w:rsidP="00C40253">
      <w:pPr>
        <w:pStyle w:val="ListParagraph"/>
        <w:numPr>
          <w:ilvl w:val="0"/>
          <w:numId w:val="18"/>
        </w:numPr>
        <w:spacing w:before="120" w:after="120"/>
        <w:ind w:left="714" w:hanging="357"/>
        <w:contextualSpacing w:val="0"/>
      </w:pPr>
      <w:r>
        <w:t>Multi-criteria analysis: Weighing environmental, social, and economic factors in water resource planning.</w:t>
      </w:r>
    </w:p>
    <w:p w14:paraId="5240CD65" w14:textId="49C4C0D4" w:rsidR="00856898" w:rsidRDefault="00856898" w:rsidP="00856898">
      <w:pPr>
        <w:pStyle w:val="Heading3"/>
      </w:pPr>
      <w:r>
        <w:t>CEW</w:t>
      </w:r>
      <w:r w:rsidR="00E913D7">
        <w:t>H</w:t>
      </w:r>
    </w:p>
    <w:p w14:paraId="1B14833F" w14:textId="07E95F89" w:rsidR="00856898" w:rsidRDefault="00856898" w:rsidP="00856898">
      <w:r>
        <w:t>The CEW</w:t>
      </w:r>
      <w:r w:rsidR="00E913D7">
        <w:t>H</w:t>
      </w:r>
      <w:r>
        <w:t xml:space="preserve"> focuses on evaluating the outcomes of Commonwealth environmental water delivery. </w:t>
      </w:r>
      <w:r w:rsidR="00C06DF2">
        <w:t xml:space="preserve">Methods </w:t>
      </w:r>
      <w:r>
        <w:t>include:</w:t>
      </w:r>
    </w:p>
    <w:p w14:paraId="6077EEA5" w14:textId="77777777" w:rsidR="00856898" w:rsidRDefault="00856898" w:rsidP="00C40253">
      <w:pPr>
        <w:pStyle w:val="ListParagraph"/>
        <w:numPr>
          <w:ilvl w:val="0"/>
          <w:numId w:val="17"/>
        </w:numPr>
        <w:spacing w:before="120" w:after="120"/>
        <w:ind w:left="714" w:hanging="357"/>
        <w:contextualSpacing w:val="0"/>
      </w:pPr>
      <w:r>
        <w:t>Ecological response evaluations: Measuring the effectiveness of environmental watering actions in supporting biodiversity, habitat restoration, and ecosystem resilience.</w:t>
      </w:r>
    </w:p>
    <w:p w14:paraId="740B1C5C" w14:textId="77777777" w:rsidR="00856898" w:rsidRDefault="00856898" w:rsidP="00C40253">
      <w:pPr>
        <w:pStyle w:val="ListParagraph"/>
        <w:numPr>
          <w:ilvl w:val="0"/>
          <w:numId w:val="17"/>
        </w:numPr>
        <w:spacing w:before="120" w:after="120"/>
        <w:ind w:left="714" w:hanging="357"/>
        <w:contextualSpacing w:val="0"/>
      </w:pPr>
      <w:r>
        <w:t>Targeted case studies: Conducting detailed studies on specific watering events to refine future delivery strategies.</w:t>
      </w:r>
    </w:p>
    <w:p w14:paraId="694BEF41" w14:textId="0F179345" w:rsidR="00856898" w:rsidRDefault="00856898" w:rsidP="00C40253">
      <w:pPr>
        <w:pStyle w:val="ListParagraph"/>
        <w:numPr>
          <w:ilvl w:val="0"/>
          <w:numId w:val="17"/>
        </w:numPr>
        <w:spacing w:before="120" w:after="120"/>
        <w:ind w:left="714" w:hanging="357"/>
        <w:contextualSpacing w:val="0"/>
      </w:pPr>
      <w:r>
        <w:t xml:space="preserve">Collaborative evaluations: Partnering with state agencies, scientists, and communities </w:t>
      </w:r>
      <w:r w:rsidR="008D137B">
        <w:t xml:space="preserve">which contribute </w:t>
      </w:r>
      <w:r>
        <w:t>to comprehensive assessments.</w:t>
      </w:r>
    </w:p>
    <w:p w14:paraId="4AB265CC" w14:textId="171A973F" w:rsidR="00A002A5" w:rsidRDefault="00A002A5" w:rsidP="00C76134"/>
    <w:p w14:paraId="1FD7BAD5" w14:textId="09B25518" w:rsidR="00A002A5" w:rsidRDefault="00A002A5" w:rsidP="00EC591D">
      <w:pPr>
        <w:pStyle w:val="Heading2"/>
      </w:pPr>
      <w:bookmarkStart w:id="29" w:name="_Toc200716142"/>
      <w:r>
        <w:lastRenderedPageBreak/>
        <w:t>Reporting</w:t>
      </w:r>
      <w:r w:rsidR="00B255DC">
        <w:t xml:space="preserve"> </w:t>
      </w:r>
      <w:r w:rsidR="003073E1">
        <w:t>m</w:t>
      </w:r>
      <w:r w:rsidR="00B255DC">
        <w:t>echanisms</w:t>
      </w:r>
      <w:bookmarkEnd w:id="29"/>
    </w:p>
    <w:p w14:paraId="03EC1400" w14:textId="46E4AD16" w:rsidR="005313D1" w:rsidRDefault="005313D1" w:rsidP="005313D1">
      <w:r>
        <w:t>Reporting mechanisms employed by Basin State agencies, the MDBA, and the CEW</w:t>
      </w:r>
      <w:r w:rsidR="00E913D7">
        <w:t>H</w:t>
      </w:r>
      <w:r>
        <w:t xml:space="preserve"> </w:t>
      </w:r>
      <w:r w:rsidR="00207561">
        <w:t>are intended to provide</w:t>
      </w:r>
      <w:r>
        <w:t xml:space="preserve"> transparency</w:t>
      </w:r>
      <w:r w:rsidR="00D90877">
        <w:t xml:space="preserve"> and </w:t>
      </w:r>
      <w:r>
        <w:t>accountability in achieving the environmental outcomes specified in the Basin Plan 2012. These mechanisms include structured reporting frameworks, collaborative reporting initiatives, and public accessibility of results.</w:t>
      </w:r>
    </w:p>
    <w:p w14:paraId="1E288114" w14:textId="77777777" w:rsidR="005313D1" w:rsidRDefault="005313D1" w:rsidP="005313D1">
      <w:pPr>
        <w:pStyle w:val="Heading3"/>
      </w:pPr>
      <w:r>
        <w:t>Basin State Agencies</w:t>
      </w:r>
    </w:p>
    <w:p w14:paraId="12ECA0D4" w14:textId="5E8AA60A" w:rsidR="005313D1" w:rsidRDefault="00C3261B" w:rsidP="005313D1">
      <w:r>
        <w:t xml:space="preserve">Basin </w:t>
      </w:r>
      <w:r w:rsidR="005313D1">
        <w:t>State agencies report on water management and ecological health at the regional level, contributing to Basin-wide reporting. Key mechanisms include:</w:t>
      </w:r>
    </w:p>
    <w:p w14:paraId="0328FE21" w14:textId="0F4B70B1" w:rsidR="005313D1" w:rsidRDefault="005313D1" w:rsidP="00C40253">
      <w:pPr>
        <w:pStyle w:val="ListParagraph"/>
        <w:numPr>
          <w:ilvl w:val="0"/>
          <w:numId w:val="22"/>
        </w:numPr>
        <w:spacing w:before="120" w:after="120"/>
        <w:ind w:left="714" w:hanging="357"/>
        <w:contextualSpacing w:val="0"/>
      </w:pPr>
      <w:r>
        <w:t xml:space="preserve">Annual reporting: Providing updates on </w:t>
      </w:r>
      <w:r w:rsidR="004C2B10">
        <w:t xml:space="preserve">the implementation of accredited </w:t>
      </w:r>
      <w:r>
        <w:t>water resource plans, water quality targets, and ecological outcomes to the MDBA.</w:t>
      </w:r>
    </w:p>
    <w:p w14:paraId="56A9E88A" w14:textId="77777777" w:rsidR="005313D1" w:rsidRDefault="005313D1" w:rsidP="00C40253">
      <w:pPr>
        <w:pStyle w:val="ListParagraph"/>
        <w:numPr>
          <w:ilvl w:val="0"/>
          <w:numId w:val="22"/>
        </w:numPr>
        <w:spacing w:before="120" w:after="120"/>
        <w:ind w:left="714" w:hanging="357"/>
        <w:contextualSpacing w:val="0"/>
      </w:pPr>
      <w:r>
        <w:t>SDL compliance reporting: Monitoring and documenting adherence to sustainable diversion limits.</w:t>
      </w:r>
    </w:p>
    <w:p w14:paraId="4F4AEAF3" w14:textId="77777777" w:rsidR="005313D1" w:rsidRDefault="005313D1" w:rsidP="00C40253">
      <w:pPr>
        <w:pStyle w:val="ListParagraph"/>
        <w:numPr>
          <w:ilvl w:val="0"/>
          <w:numId w:val="22"/>
        </w:numPr>
        <w:spacing w:before="120" w:after="120"/>
        <w:ind w:left="714" w:hanging="357"/>
        <w:contextualSpacing w:val="0"/>
      </w:pPr>
      <w:r>
        <w:t>Thematic reports: Focusing on specific issues like salinity management, environmental watering outcomes, or groundwater assessments.</w:t>
      </w:r>
    </w:p>
    <w:p w14:paraId="08243D94" w14:textId="77777777" w:rsidR="005313D1" w:rsidRDefault="005313D1" w:rsidP="00C40253">
      <w:pPr>
        <w:pStyle w:val="ListParagraph"/>
        <w:numPr>
          <w:ilvl w:val="0"/>
          <w:numId w:val="22"/>
        </w:numPr>
        <w:spacing w:before="120" w:after="120"/>
        <w:ind w:left="714" w:hanging="357"/>
        <w:contextualSpacing w:val="0"/>
      </w:pPr>
      <w:r>
        <w:t>Data-sharing platforms: Contributing real-time data to MDBA systems to support integrated reporting.</w:t>
      </w:r>
    </w:p>
    <w:p w14:paraId="715B0D50" w14:textId="77777777" w:rsidR="005313D1" w:rsidRDefault="005313D1" w:rsidP="005313D1">
      <w:pPr>
        <w:pStyle w:val="Heading3"/>
      </w:pPr>
      <w:r>
        <w:t>MDBA</w:t>
      </w:r>
    </w:p>
    <w:p w14:paraId="4D1A98E4" w14:textId="1C0D0B28" w:rsidR="005313D1" w:rsidRDefault="005313D1" w:rsidP="005313D1">
      <w:r>
        <w:t xml:space="preserve">The MDBA consolidates regional data into Basin-wide </w:t>
      </w:r>
      <w:proofErr w:type="gramStart"/>
      <w:r>
        <w:t xml:space="preserve">reports, </w:t>
      </w:r>
      <w:r w:rsidR="008320F0">
        <w:t>and</w:t>
      </w:r>
      <w:proofErr w:type="gramEnd"/>
      <w:r w:rsidR="008320F0">
        <w:t xml:space="preserve"> are responsible for </w:t>
      </w:r>
      <w:r>
        <w:t>ensuring alignment with the Basin Plan's objectives</w:t>
      </w:r>
      <w:r w:rsidR="00A32E0A">
        <w:t xml:space="preserve"> and</w:t>
      </w:r>
      <w:r w:rsidR="00A32E0A" w:rsidRPr="00A32E0A">
        <w:t xml:space="preserve"> that water resource management contributes to the long-term sustainability of the Murray–Darling Basin's environment, economy, and communities</w:t>
      </w:r>
      <w:r>
        <w:t>. Reporting mechanisms include:</w:t>
      </w:r>
    </w:p>
    <w:p w14:paraId="0D4A9700" w14:textId="5A7A8F02" w:rsidR="005313D1" w:rsidRDefault="005313D1" w:rsidP="00C40253">
      <w:pPr>
        <w:pStyle w:val="ListParagraph"/>
        <w:numPr>
          <w:ilvl w:val="0"/>
          <w:numId w:val="21"/>
        </w:numPr>
        <w:spacing w:before="120" w:after="120"/>
        <w:ind w:left="714" w:hanging="357"/>
        <w:contextualSpacing w:val="0"/>
      </w:pPr>
      <w:r>
        <w:t>Basin Plan annual reports: Summari</w:t>
      </w:r>
      <w:r w:rsidR="00C13B57">
        <w:t>s</w:t>
      </w:r>
      <w:r>
        <w:t>ing progress toward achieving environmental, social, and economic outcomes, including water quality and ecosystem health.</w:t>
      </w:r>
    </w:p>
    <w:p w14:paraId="018F8557" w14:textId="3B71B3DB" w:rsidR="005313D1" w:rsidRDefault="005313D1" w:rsidP="03773003">
      <w:pPr>
        <w:pStyle w:val="ListParagraph"/>
        <w:numPr>
          <w:ilvl w:val="0"/>
          <w:numId w:val="21"/>
        </w:numPr>
        <w:spacing w:before="120" w:after="120"/>
        <w:ind w:left="714" w:hanging="357"/>
      </w:pPr>
      <w:r>
        <w:t>Compliance: Documenting adherence to SDLs</w:t>
      </w:r>
      <w:r w:rsidR="008320F0">
        <w:t xml:space="preserve"> in the Register of Take,</w:t>
      </w:r>
      <w:r>
        <w:t xml:space="preserve"> and water resource plan requirements across the Basin</w:t>
      </w:r>
      <w:r w:rsidR="008320F0">
        <w:t xml:space="preserve"> through accreditation assessment</w:t>
      </w:r>
      <w:r>
        <w:t>.</w:t>
      </w:r>
    </w:p>
    <w:p w14:paraId="79FAFFC4" w14:textId="2FAF4FDA" w:rsidR="005313D1" w:rsidRDefault="005313D1" w:rsidP="00C40253">
      <w:pPr>
        <w:pStyle w:val="ListParagraph"/>
        <w:numPr>
          <w:ilvl w:val="0"/>
          <w:numId w:val="21"/>
        </w:numPr>
        <w:spacing w:before="120" w:after="120"/>
        <w:ind w:left="714" w:hanging="357"/>
        <w:contextualSpacing w:val="0"/>
      </w:pPr>
      <w:r>
        <w:t xml:space="preserve">State of the Environment reports: Providing periodic assessments of the overall health of the </w:t>
      </w:r>
      <w:r w:rsidR="008F4141">
        <w:t>Murray–Darling</w:t>
      </w:r>
      <w:r>
        <w:t xml:space="preserve"> Basin ecosystems.</w:t>
      </w:r>
    </w:p>
    <w:p w14:paraId="60C0EACF" w14:textId="140DA67D" w:rsidR="00112522" w:rsidRDefault="005313D1" w:rsidP="00C40253">
      <w:pPr>
        <w:pStyle w:val="ListParagraph"/>
        <w:numPr>
          <w:ilvl w:val="0"/>
          <w:numId w:val="21"/>
        </w:numPr>
        <w:spacing w:before="120" w:after="120"/>
        <w:ind w:left="714" w:hanging="357"/>
        <w:contextualSpacing w:val="0"/>
      </w:pPr>
      <w:r>
        <w:t>Interactive dashboards and tools: Offering stakeholders and the public access to water management data.</w:t>
      </w:r>
    </w:p>
    <w:p w14:paraId="555E1D1B" w14:textId="7CA18125" w:rsidR="00194F92" w:rsidRDefault="00D91B5B" w:rsidP="00194F92">
      <w:pPr>
        <w:jc w:val="both"/>
      </w:pPr>
      <w:r>
        <w:t xml:space="preserve">The MDBA also undertakes </w:t>
      </w:r>
      <w:r w:rsidRPr="00D91B5B">
        <w:t>additional reviews such as the “Review of the Environmental Watering Plan”. This review assessed</w:t>
      </w:r>
      <w:r w:rsidR="00194F92">
        <w:t xml:space="preserve"> </w:t>
      </w:r>
      <w:r w:rsidR="00194F92" w:rsidRPr="14C29486">
        <w:t xml:space="preserve">the effectiveness of the </w:t>
      </w:r>
      <w:r w:rsidR="00C1525D">
        <w:t>Environmental Water</w:t>
      </w:r>
      <w:r w:rsidR="002E1072">
        <w:t>ing</w:t>
      </w:r>
      <w:r w:rsidR="00C1525D">
        <w:t xml:space="preserve"> Plan (</w:t>
      </w:r>
      <w:r w:rsidR="00194F92" w:rsidRPr="14C29486">
        <w:t>EWP</w:t>
      </w:r>
      <w:r w:rsidR="002E1072">
        <w:t>)</w:t>
      </w:r>
      <w:r w:rsidR="00194F92" w:rsidRPr="14C29486">
        <w:t xml:space="preserve"> in contribution to achieving the environmental objectives for the water-dependent ecosystems of the </w:t>
      </w:r>
      <w:r w:rsidR="00194F92">
        <w:t>Murray–Darling</w:t>
      </w:r>
      <w:r w:rsidR="00194F92" w:rsidRPr="14C29486">
        <w:t xml:space="preserve"> Basin. The review found that the EWP had effective coordination in planning, prioritisation and in the use of environmental water across the Basin. Substantial changes were not needed but potential improvements in the implementation of the EWP was identified and potential improvements to be addressed for the Basin </w:t>
      </w:r>
      <w:r w:rsidR="007E1F7D">
        <w:t xml:space="preserve">Plan </w:t>
      </w:r>
      <w:r w:rsidR="00194F92" w:rsidRPr="14C29486">
        <w:t>review 2026.</w:t>
      </w:r>
    </w:p>
    <w:p w14:paraId="168F73BF" w14:textId="3DC2FA7B" w:rsidR="00194F92" w:rsidRDefault="00194F92" w:rsidP="00194F92">
      <w:r w:rsidRPr="14C29486">
        <w:t>These improvements were in relation to:</w:t>
      </w:r>
    </w:p>
    <w:p w14:paraId="18581F2F" w14:textId="77777777" w:rsidR="00194F92" w:rsidRDefault="00194F92" w:rsidP="00C40253">
      <w:pPr>
        <w:pStyle w:val="ListParagraph"/>
        <w:numPr>
          <w:ilvl w:val="0"/>
          <w:numId w:val="1"/>
        </w:numPr>
        <w:spacing w:before="120" w:after="120"/>
        <w:ind w:left="714" w:hanging="357"/>
        <w:contextualSpacing w:val="0"/>
      </w:pPr>
      <w:r w:rsidRPr="14C29486">
        <w:t>First Nations</w:t>
      </w:r>
      <w:r>
        <w:t xml:space="preserve"> access to cultural water</w:t>
      </w:r>
    </w:p>
    <w:p w14:paraId="07B11BC7" w14:textId="77777777" w:rsidR="00194F92" w:rsidRDefault="00194F92" w:rsidP="00C40253">
      <w:pPr>
        <w:pStyle w:val="ListParagraph"/>
        <w:numPr>
          <w:ilvl w:val="0"/>
          <w:numId w:val="1"/>
        </w:numPr>
        <w:spacing w:before="120" w:after="120"/>
        <w:ind w:left="714" w:hanging="357"/>
        <w:contextualSpacing w:val="0"/>
      </w:pPr>
      <w:r w:rsidRPr="14C29486">
        <w:t>Adaptative management</w:t>
      </w:r>
    </w:p>
    <w:p w14:paraId="308362A2" w14:textId="77777777" w:rsidR="00194F92" w:rsidRDefault="00194F92" w:rsidP="03773003">
      <w:pPr>
        <w:pStyle w:val="ListParagraph"/>
        <w:numPr>
          <w:ilvl w:val="0"/>
          <w:numId w:val="1"/>
        </w:numPr>
        <w:spacing w:before="120" w:after="120"/>
        <w:ind w:left="714" w:hanging="357"/>
      </w:pPr>
      <w:r w:rsidRPr="14C29486">
        <w:t>Climate adaptation and objectives and targets setting</w:t>
      </w:r>
    </w:p>
    <w:p w14:paraId="7CC75D31" w14:textId="77777777" w:rsidR="00194F92" w:rsidRDefault="00194F92" w:rsidP="00C40253">
      <w:pPr>
        <w:pStyle w:val="ListParagraph"/>
        <w:numPr>
          <w:ilvl w:val="0"/>
          <w:numId w:val="1"/>
        </w:numPr>
        <w:spacing w:before="120" w:after="120"/>
        <w:ind w:left="714" w:hanging="357"/>
        <w:contextualSpacing w:val="0"/>
      </w:pPr>
      <w:r w:rsidRPr="14C29486">
        <w:t>Alignment within the EWP and to other Basin Plan chapters</w:t>
      </w:r>
    </w:p>
    <w:p w14:paraId="63954915" w14:textId="0023E9A7" w:rsidR="0089106A" w:rsidRPr="0089106A" w:rsidRDefault="00194F92" w:rsidP="03773003">
      <w:pPr>
        <w:pStyle w:val="ListParagraph"/>
        <w:numPr>
          <w:ilvl w:val="0"/>
          <w:numId w:val="1"/>
        </w:numPr>
        <w:spacing w:before="120" w:after="120"/>
        <w:ind w:left="714" w:hanging="357"/>
      </w:pPr>
      <w:r w:rsidRPr="14C29486">
        <w:t>Regulatory power and interpretation of the EWP</w:t>
      </w:r>
      <w:r>
        <w:t>.</w:t>
      </w:r>
    </w:p>
    <w:p w14:paraId="197A26DD" w14:textId="645A33BB" w:rsidR="005313D1" w:rsidRDefault="005313D1" w:rsidP="005313D1">
      <w:pPr>
        <w:pStyle w:val="Heading3"/>
      </w:pPr>
      <w:r>
        <w:lastRenderedPageBreak/>
        <w:t>CEW</w:t>
      </w:r>
      <w:r w:rsidR="00E913D7">
        <w:t>H</w:t>
      </w:r>
    </w:p>
    <w:p w14:paraId="50B6AE6B" w14:textId="7E73339A" w:rsidR="005313D1" w:rsidRDefault="005313D1" w:rsidP="005313D1">
      <w:r>
        <w:t>The CEW</w:t>
      </w:r>
      <w:r w:rsidR="00E913D7">
        <w:t>H</w:t>
      </w:r>
      <w:r>
        <w:t xml:space="preserve"> focuses on reporting the use and outcomes of Commonwealth environmental water through:</w:t>
      </w:r>
    </w:p>
    <w:p w14:paraId="0B4E0ED3" w14:textId="77777777" w:rsidR="005313D1" w:rsidRDefault="005313D1" w:rsidP="00C40253">
      <w:pPr>
        <w:pStyle w:val="ListParagraph"/>
        <w:numPr>
          <w:ilvl w:val="0"/>
          <w:numId w:val="20"/>
        </w:numPr>
        <w:spacing w:before="120" w:after="120"/>
        <w:ind w:left="714" w:hanging="357"/>
        <w:contextualSpacing w:val="0"/>
      </w:pPr>
      <w:r>
        <w:t>Annual watering reports: Highlighting water deliveries, ecological responses, and key achievements.</w:t>
      </w:r>
    </w:p>
    <w:p w14:paraId="4C9B60DC" w14:textId="77777777" w:rsidR="005313D1" w:rsidRDefault="005313D1" w:rsidP="00C40253">
      <w:pPr>
        <w:pStyle w:val="ListParagraph"/>
        <w:numPr>
          <w:ilvl w:val="0"/>
          <w:numId w:val="20"/>
        </w:numPr>
        <w:spacing w:before="120" w:after="120"/>
        <w:ind w:left="714" w:hanging="357"/>
        <w:contextualSpacing w:val="0"/>
      </w:pPr>
      <w:r>
        <w:t>Monitoring program reports: Documenting results from ecological monitoring and targeted case studies.</w:t>
      </w:r>
    </w:p>
    <w:p w14:paraId="7FDFB833" w14:textId="77777777" w:rsidR="005313D1" w:rsidRDefault="005313D1" w:rsidP="00C40253">
      <w:pPr>
        <w:pStyle w:val="ListParagraph"/>
        <w:numPr>
          <w:ilvl w:val="0"/>
          <w:numId w:val="20"/>
        </w:numPr>
        <w:spacing w:before="120" w:after="120"/>
        <w:ind w:left="714" w:hanging="357"/>
        <w:contextualSpacing w:val="0"/>
      </w:pPr>
      <w:r>
        <w:t>Public engagement: Sharing insights through newsletters, fact sheets, and online platforms to promote understanding of environmental water use.</w:t>
      </w:r>
    </w:p>
    <w:p w14:paraId="677CF059" w14:textId="717A24B9" w:rsidR="007D7E88" w:rsidRDefault="0024301A" w:rsidP="004321E6">
      <w:pPr>
        <w:pStyle w:val="Heading1"/>
      </w:pPr>
      <w:bookmarkStart w:id="30" w:name="_Toc200716143"/>
      <w:r>
        <w:lastRenderedPageBreak/>
        <w:t>Stocktake Analysis</w:t>
      </w:r>
      <w:bookmarkEnd w:id="30"/>
    </w:p>
    <w:p w14:paraId="2E2C2427" w14:textId="494408DF" w:rsidR="00A041C2" w:rsidRDefault="00A263DC" w:rsidP="00FC3CCC">
      <w:r>
        <w:t xml:space="preserve">In response to </w:t>
      </w:r>
      <w:r w:rsidR="00E23017">
        <w:t xml:space="preserve">the stocktake </w:t>
      </w:r>
      <w:r>
        <w:t>request from the Inspector–General</w:t>
      </w:r>
      <w:r w:rsidR="00775A8B">
        <w:t>,</w:t>
      </w:r>
      <w:r>
        <w:t xml:space="preserve"> </w:t>
      </w:r>
      <w:r w:rsidR="00292008">
        <w:t xml:space="preserve">Basin State and Commonwealth agencies </w:t>
      </w:r>
      <w:r w:rsidR="005A5C4E">
        <w:t>submitted</w:t>
      </w:r>
      <w:r w:rsidR="00292008">
        <w:t xml:space="preserve"> </w:t>
      </w:r>
      <w:r w:rsidR="00BE11EB">
        <w:t>221</w:t>
      </w:r>
      <w:r w:rsidR="00292008">
        <w:t xml:space="preserve"> reports</w:t>
      </w:r>
      <w:r w:rsidR="00C9220B">
        <w:t>.</w:t>
      </w:r>
      <w:r w:rsidR="004E0553">
        <w:rPr>
          <w:rStyle w:val="FootnoteReference"/>
        </w:rPr>
        <w:footnoteReference w:id="7"/>
      </w:r>
      <w:r w:rsidR="00C9220B">
        <w:t xml:space="preserve"> </w:t>
      </w:r>
      <w:r w:rsidR="00775A8B">
        <w:t xml:space="preserve">These reports covered a broad range of </w:t>
      </w:r>
      <w:r w:rsidR="006116F7">
        <w:t>topics</w:t>
      </w:r>
      <w:r w:rsidR="00F06AD8">
        <w:t xml:space="preserve"> summarised in</w:t>
      </w:r>
      <w:r w:rsidR="00753DEA">
        <w:t xml:space="preserve"> </w:t>
      </w:r>
      <w:r w:rsidR="002F1DC8">
        <w:fldChar w:fldCharType="begin"/>
      </w:r>
      <w:r w:rsidR="002F1DC8">
        <w:instrText xml:space="preserve"> REF _Ref199169174 \h </w:instrText>
      </w:r>
      <w:r w:rsidR="002F1DC8">
        <w:fldChar w:fldCharType="separate"/>
      </w:r>
      <w:r w:rsidR="002F1DC8">
        <w:t xml:space="preserve">Figure </w:t>
      </w:r>
      <w:r w:rsidR="002F1DC8">
        <w:rPr>
          <w:noProof/>
        </w:rPr>
        <w:t>1</w:t>
      </w:r>
      <w:r w:rsidR="002F1DC8">
        <w:fldChar w:fldCharType="end"/>
      </w:r>
      <w:r w:rsidR="00855E33">
        <w:t>,</w:t>
      </w:r>
      <w:r w:rsidR="00934632">
        <w:t xml:space="preserve"> with </w:t>
      </w:r>
      <w:r w:rsidR="00E37B09">
        <w:t>9</w:t>
      </w:r>
      <w:r w:rsidR="009321E1">
        <w:t>5</w:t>
      </w:r>
      <w:r w:rsidR="00E37B09">
        <w:t>%</w:t>
      </w:r>
      <w:r w:rsidR="0014292F">
        <w:t xml:space="preserve"> publicly available.</w:t>
      </w:r>
    </w:p>
    <w:p w14:paraId="0C5FF4AE" w14:textId="77777777" w:rsidR="007A7582" w:rsidRDefault="007A7582" w:rsidP="00FC3CCC"/>
    <w:p w14:paraId="743F35D0" w14:textId="25529B47" w:rsidR="009A5BDB" w:rsidRDefault="006212B8" w:rsidP="00EA6467">
      <w:pPr>
        <w:keepNext/>
      </w:pPr>
      <w:r w:rsidRPr="006212B8">
        <w:rPr>
          <w:noProof/>
        </w:rPr>
        <w:drawing>
          <wp:inline distT="0" distB="0" distL="0" distR="0" wp14:anchorId="6D1BAE49" wp14:editId="48B85AE5">
            <wp:extent cx="5433678" cy="3100926"/>
            <wp:effectExtent l="0" t="0" r="0" b="4445"/>
            <wp:docPr id="1020879897" name="Picture 1" descr="This bar chart shows how many reports exist for different types of environmental documents. The most common are Evaluation Reports (49)and Management Plans (55). Monitoring Information follows with 38, then Matter Reports (30), Technical Reports (24), Other types (20), and finally Legislative Documents wit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79897" name="Picture 1" descr="This bar chart shows how many reports exist for different types of environmental documents. The most common are Evaluation Reports (49)and Management Plans (55). Monitoring Information follows with 38, then Matter Reports (30), Technical Reports (24), Other types (20), and finally Legislative Documents with 6."/>
                    <pic:cNvPicPr/>
                  </pic:nvPicPr>
                  <pic:blipFill>
                    <a:blip r:embed="rId31"/>
                    <a:stretch>
                      <a:fillRect/>
                    </a:stretch>
                  </pic:blipFill>
                  <pic:spPr>
                    <a:xfrm>
                      <a:off x="0" y="0"/>
                      <a:ext cx="5495981" cy="3136482"/>
                    </a:xfrm>
                    <a:prstGeom prst="rect">
                      <a:avLst/>
                    </a:prstGeom>
                  </pic:spPr>
                </pic:pic>
              </a:graphicData>
            </a:graphic>
          </wp:inline>
        </w:drawing>
      </w:r>
    </w:p>
    <w:p w14:paraId="44B44D85" w14:textId="1A5103FF" w:rsidR="00394811" w:rsidRDefault="009A5BDB" w:rsidP="001B13E4">
      <w:pPr>
        <w:pStyle w:val="FigureHeading"/>
      </w:pPr>
      <w:bookmarkStart w:id="31" w:name="_Ref199169174"/>
      <w:bookmarkStart w:id="32" w:name="_Toc200716718"/>
      <w:r>
        <w:t xml:space="preserve">Figure </w:t>
      </w:r>
      <w:r>
        <w:fldChar w:fldCharType="begin"/>
      </w:r>
      <w:r>
        <w:instrText xml:space="preserve"> SEQ Figure \* ARABIC </w:instrText>
      </w:r>
      <w:r>
        <w:fldChar w:fldCharType="separate"/>
      </w:r>
      <w:r w:rsidR="00C577D1">
        <w:rPr>
          <w:noProof/>
        </w:rPr>
        <w:t>1</w:t>
      </w:r>
      <w:r>
        <w:fldChar w:fldCharType="end"/>
      </w:r>
      <w:bookmarkEnd w:id="31"/>
      <w:r>
        <w:t>. Document types of information received.</w:t>
      </w:r>
      <w:bookmarkEnd w:id="32"/>
    </w:p>
    <w:p w14:paraId="240B21A3" w14:textId="4827FD58" w:rsidR="00DA14D9" w:rsidRPr="00300AAD" w:rsidRDefault="00C577D1" w:rsidP="00DA14D9">
      <w:r>
        <w:fldChar w:fldCharType="begin"/>
      </w:r>
      <w:r>
        <w:instrText xml:space="preserve"> REF _Ref200716700 \h </w:instrText>
      </w:r>
      <w:r>
        <w:fldChar w:fldCharType="separate"/>
      </w:r>
      <w:r>
        <w:t xml:space="preserve">Figure </w:t>
      </w:r>
      <w:r>
        <w:rPr>
          <w:noProof/>
        </w:rPr>
        <w:t>2</w:t>
      </w:r>
      <w:r>
        <w:fldChar w:fldCharType="end"/>
      </w:r>
      <w:r>
        <w:t xml:space="preserve"> </w:t>
      </w:r>
      <w:r w:rsidR="00DA14D9" w:rsidRPr="00300AAD">
        <w:t>illustrates the relationship between various document categories and the complexity of monitoring and evaluation reporting of environmental outcomes. High-level legislative documents establish legal guidelines and regulatory context, informing management plans and frameworks. These plans and frameworks provide structure, guidelines, and objectives for evaluation reports. Technical reports, monitoring data, and other supporting information flow upwards to inform evaluation reports, creating a cyclical process that allows for continuous improvement.</w:t>
      </w:r>
    </w:p>
    <w:p w14:paraId="5A161ED0" w14:textId="7C6528E9" w:rsidR="00DA14D9" w:rsidRPr="00300AAD" w:rsidRDefault="00DA14D9" w:rsidP="00DA14D9">
      <w:r w:rsidRPr="00300AAD">
        <w:t xml:space="preserve">This interconnected process shows how evaluation reports are informed by both top-down strategies and ongoing data collection from multiple levels. Coordination across agencies is required to present a cohesive view of environmental outcomes. </w:t>
      </w:r>
      <w:r w:rsidR="00220271" w:rsidRPr="00220271">
        <w:t xml:space="preserve">Monitoring and evaluation occur at different timeframes, with annual reporting providing regular updates on progress and short-term changes, while five-yearly evaluations offer a more comprehensive assessment of long-term trends and the overall effectiveness of water management strategies. Integrating both approaches </w:t>
      </w:r>
      <w:r w:rsidR="00A26C35">
        <w:t>may support</w:t>
      </w:r>
      <w:r w:rsidR="00220271" w:rsidRPr="00220271">
        <w:t xml:space="preserve"> a balance between responsiveness to immediate issues and a broader perspective on the Basin’s environmental, social, and economic sustainability.</w:t>
      </w:r>
    </w:p>
    <w:p w14:paraId="0914973A" w14:textId="3570BDE2" w:rsidR="00DA14D9" w:rsidRPr="00300AAD" w:rsidRDefault="00C518F9" w:rsidP="00DA14D9">
      <w:r>
        <w:t>C</w:t>
      </w:r>
      <w:r w:rsidR="00DA14D9" w:rsidRPr="00300AAD">
        <w:t>ommunication of monitoring and evaluation reporting by Basin States and Commonwealth agencies via publicly available reports, websites, newsletters, story-maps, and other media demonstrates a commitment to transparency and community engagement.</w:t>
      </w:r>
      <w:r>
        <w:t xml:space="preserve"> However, cut-through appears to</w:t>
      </w:r>
      <w:r w:rsidR="00E571C3">
        <w:t xml:space="preserve"> be</w:t>
      </w:r>
      <w:r>
        <w:t xml:space="preserve"> an ongoing challenge.</w:t>
      </w:r>
    </w:p>
    <w:p w14:paraId="69FB5AC5" w14:textId="3AA7FE64" w:rsidR="0044746D" w:rsidRPr="00300AAD" w:rsidRDefault="00C94709" w:rsidP="00DA14D9">
      <w:r w:rsidRPr="00C94709">
        <w:lastRenderedPageBreak/>
        <w:drawing>
          <wp:inline distT="0" distB="0" distL="0" distR="0" wp14:anchorId="59D71AD1" wp14:editId="74449A50">
            <wp:extent cx="6171126" cy="1816925"/>
            <wp:effectExtent l="0" t="0" r="1270" b="0"/>
            <wp:docPr id="689743335" name="Picture 1" descr="A flowchart diagram showing the relationship between six categories of documents. At the top, &quot;Legislative Documents&quot; flow downward into &quot;Management Plans &amp; Frameworks.&quot; This connects via a double-ended arrow to &quot;Evaluation Reports.&quot; Side-by-side of  &quot;Evaluation Reports,&quot; is &quot;Technical Reports&quot; and &quot;Monitoring Data&quot; boxes on either side. Both &quot;Monitoring Data&quot; and &quot;Technical Report&quot; boxes feed into it with arrows. Below. &quot;Evaluation Reports&quot; flow into &quot;Public Communication Tools.&quot; A dotted circular line surrounds all elements, labelled &quot;Coordination across agencies,&quot; indicating a cyclical and collaborativ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43335" name="Picture 1" descr="A flowchart diagram showing the relationship between six categories of documents. At the top, &quot;Legislative Documents&quot; flow downward into &quot;Management Plans &amp; Frameworks.&quot; This connects via a double-ended arrow to &quot;Evaluation Reports.&quot; Side-by-side of  &quot;Evaluation Reports,&quot; is &quot;Technical Reports&quot; and &quot;Monitoring Data&quot; boxes on either side. Both &quot;Monitoring Data&quot; and &quot;Technical Report&quot; boxes feed into it with arrows. Below. &quot;Evaluation Reports&quot; flow into &quot;Public Communication Tools.&quot; A dotted circular line surrounds all elements, labelled &quot;Coordination across agencies,&quot; indicating a cyclical and collaborative process."/>
                    <pic:cNvPicPr/>
                  </pic:nvPicPr>
                  <pic:blipFill>
                    <a:blip r:embed="rId32"/>
                    <a:stretch>
                      <a:fillRect/>
                    </a:stretch>
                  </pic:blipFill>
                  <pic:spPr>
                    <a:xfrm>
                      <a:off x="0" y="0"/>
                      <a:ext cx="6230513" cy="1834410"/>
                    </a:xfrm>
                    <a:prstGeom prst="rect">
                      <a:avLst/>
                    </a:prstGeom>
                  </pic:spPr>
                </pic:pic>
              </a:graphicData>
            </a:graphic>
          </wp:inline>
        </w:drawing>
      </w:r>
    </w:p>
    <w:p w14:paraId="1570ED4C" w14:textId="7EF091B7" w:rsidR="00372E1A" w:rsidRDefault="00C577D1" w:rsidP="00C577D1">
      <w:pPr>
        <w:pStyle w:val="Caption"/>
      </w:pPr>
      <w:bookmarkStart w:id="33" w:name="_Ref200716700"/>
      <w:bookmarkStart w:id="34" w:name="_Toc200716719"/>
      <w:r>
        <w:t xml:space="preserve">Figure </w:t>
      </w:r>
      <w:r>
        <w:fldChar w:fldCharType="begin"/>
      </w:r>
      <w:r>
        <w:instrText xml:space="preserve"> SEQ Figure \* ARABIC </w:instrText>
      </w:r>
      <w:r>
        <w:fldChar w:fldCharType="separate"/>
      </w:r>
      <w:r>
        <w:rPr>
          <w:noProof/>
        </w:rPr>
        <w:t>2</w:t>
      </w:r>
      <w:r>
        <w:fldChar w:fldCharType="end"/>
      </w:r>
      <w:bookmarkEnd w:id="33"/>
      <w:r>
        <w:t xml:space="preserve">. </w:t>
      </w:r>
      <w:r w:rsidRPr="003F76C3">
        <w:t>Relationship between different document types involved in monitoring and evaluation reporting of environmental outcomes.</w:t>
      </w:r>
      <w:bookmarkEnd w:id="34"/>
    </w:p>
    <w:sectPr w:rsidR="00372E1A" w:rsidSect="00553759">
      <w:footerReference w:type="first" r:id="rId33"/>
      <w:pgSz w:w="11906" w:h="16838"/>
      <w:pgMar w:top="1281" w:right="1134" w:bottom="816" w:left="1134" w:header="0" w:footer="99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0C486" w14:textId="77777777" w:rsidR="00907F80" w:rsidRDefault="00907F80">
      <w:r>
        <w:separator/>
      </w:r>
    </w:p>
  </w:endnote>
  <w:endnote w:type="continuationSeparator" w:id="0">
    <w:p w14:paraId="1A2C14D1" w14:textId="77777777" w:rsidR="00907F80" w:rsidRDefault="00907F80">
      <w:r>
        <w:continuationSeparator/>
      </w:r>
    </w:p>
  </w:endnote>
  <w:endnote w:type="continuationNotice" w:id="1">
    <w:p w14:paraId="0A315850" w14:textId="77777777" w:rsidR="00907F80" w:rsidRDefault="00907F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83AF" w14:textId="6F620E29" w:rsidR="00527D4B" w:rsidRDefault="00527D4B">
    <w:pPr>
      <w:pStyle w:val="Footer"/>
    </w:pPr>
    <w:r>
      <w:rPr>
        <w:noProof/>
      </w:rPr>
      <mc:AlternateContent>
        <mc:Choice Requires="wps">
          <w:drawing>
            <wp:anchor distT="0" distB="0" distL="0" distR="0" simplePos="0" relativeHeight="251658245" behindDoc="0" locked="0" layoutInCell="1" allowOverlap="1" wp14:anchorId="1FC624C5" wp14:editId="753EDDA0">
              <wp:simplePos x="635" y="635"/>
              <wp:positionH relativeFrom="page">
                <wp:align>center</wp:align>
              </wp:positionH>
              <wp:positionV relativeFrom="page">
                <wp:align>bottom</wp:align>
              </wp:positionV>
              <wp:extent cx="551815" cy="376555"/>
              <wp:effectExtent l="0" t="0" r="635" b="0"/>
              <wp:wrapNone/>
              <wp:docPr id="161293966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43F88E" w14:textId="66A33959"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624C5"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C43F88E" w14:textId="66A33959"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047171"/>
      <w:docPartObj>
        <w:docPartGallery w:val="Page Numbers (Bottom of Page)"/>
        <w:docPartUnique/>
      </w:docPartObj>
    </w:sdtPr>
    <w:sdtEndPr>
      <w:rPr>
        <w:noProof/>
      </w:rPr>
    </w:sdtEndPr>
    <w:sdtContent>
      <w:p w14:paraId="6071406E" w14:textId="6852B7A5" w:rsidR="00254346" w:rsidRDefault="002543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37AE6" w14:textId="03D36909" w:rsidR="0046450A" w:rsidRPr="00473F5B" w:rsidRDefault="0046450A" w:rsidP="00473F5B">
    <w:pPr>
      <w:pStyle w:val="Footer"/>
      <w:tabs>
        <w:tab w:val="clear" w:pos="4513"/>
        <w:tab w:val="clear" w:pos="9026"/>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2873" w14:textId="1B9B16D4" w:rsidR="009F0367" w:rsidRPr="002C07A5" w:rsidRDefault="00527D4B" w:rsidP="002C07A5">
    <w:pPr>
      <w:pStyle w:val="Footer"/>
      <w:tabs>
        <w:tab w:val="clear" w:pos="4513"/>
        <w:tab w:val="clear" w:pos="9026"/>
        <w:tab w:val="right" w:pos="9638"/>
      </w:tabs>
      <w:rPr>
        <w:color w:val="FFFFFF"/>
      </w:rPr>
    </w:pPr>
    <w:r>
      <w:rPr>
        <w:noProof/>
        <w:color w:val="FFFFFF"/>
      </w:rPr>
      <mc:AlternateContent>
        <mc:Choice Requires="wps">
          <w:drawing>
            <wp:anchor distT="0" distB="0" distL="0" distR="0" simplePos="0" relativeHeight="251658244" behindDoc="0" locked="0" layoutInCell="1" allowOverlap="1" wp14:anchorId="27C78AA6" wp14:editId="0EFA4EEF">
              <wp:simplePos x="723900" y="9934575"/>
              <wp:positionH relativeFrom="page">
                <wp:align>center</wp:align>
              </wp:positionH>
              <wp:positionV relativeFrom="page">
                <wp:align>bottom</wp:align>
              </wp:positionV>
              <wp:extent cx="551815" cy="376555"/>
              <wp:effectExtent l="0" t="0" r="635" b="0"/>
              <wp:wrapNone/>
              <wp:docPr id="66881489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AF429A" w14:textId="309B0BD3"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C78AA6" id="_x0000_t202" coordsize="21600,21600" o:spt="202" path="m,l,21600r21600,l21600,xe">
              <v:stroke joinstyle="miter"/>
              <v:path gradientshapeok="t" o:connecttype="rect"/>
            </v:shapetype>
            <v:shape id="Text Box 7" o:spid="_x0000_s1030"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7AAF429A" w14:textId="309B0BD3"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8B88" w14:textId="43F90178" w:rsidR="00F50FCC" w:rsidRPr="002C07A5" w:rsidRDefault="006C5CC8" w:rsidP="002C07A5">
    <w:pPr>
      <w:pStyle w:val="Footer"/>
      <w:tabs>
        <w:tab w:val="clear" w:pos="4513"/>
        <w:tab w:val="clear" w:pos="9026"/>
        <w:tab w:val="right" w:pos="9638"/>
      </w:tabs>
      <w:rPr>
        <w:color w:val="FFFFFF"/>
      </w:rPr>
    </w:pPr>
    <w:r>
      <w:rPr>
        <w:noProof/>
        <w:color w:val="FFFFFF"/>
      </w:rPr>
      <mc:AlternateContent>
        <mc:Choice Requires="wps">
          <w:drawing>
            <wp:anchor distT="0" distB="0" distL="0" distR="0" simplePos="0" relativeHeight="251658247" behindDoc="0" locked="0" layoutInCell="1" allowOverlap="1" wp14:anchorId="761FE15B" wp14:editId="4015510D">
              <wp:simplePos x="635" y="635"/>
              <wp:positionH relativeFrom="page">
                <wp:align>center</wp:align>
              </wp:positionH>
              <wp:positionV relativeFrom="page">
                <wp:align>bottom</wp:align>
              </wp:positionV>
              <wp:extent cx="551815" cy="376555"/>
              <wp:effectExtent l="0" t="0" r="635" b="0"/>
              <wp:wrapNone/>
              <wp:docPr id="32936754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40C781" w14:textId="77777777" w:rsidR="006C5CC8" w:rsidRPr="00527D4B" w:rsidRDefault="006C5CC8"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1FE15B"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840C781" w14:textId="77777777" w:rsidR="006C5CC8" w:rsidRPr="00527D4B" w:rsidRDefault="006C5CC8"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v:textbox>
              <w10:wrap anchorx="page" anchory="page"/>
            </v:shape>
          </w:pict>
        </mc:Fallback>
      </mc:AlternateContent>
    </w:r>
    <w:r w:rsidRPr="002C07A5">
      <w:rPr>
        <w:color w:val="FFFFFF"/>
      </w:rPr>
      <w:t>Inspector</w:t>
    </w:r>
    <w:r w:rsidR="00AE786B" w:rsidRPr="00AE786B">
      <w:rPr>
        <w:color w:val="FFFFFF"/>
      </w:rPr>
      <w:t>–</w:t>
    </w:r>
    <w:r w:rsidRPr="002C07A5">
      <w:rPr>
        <w:color w:val="FFFFFF"/>
      </w:rPr>
      <w:t>General of Water Compliance</w:t>
    </w:r>
    <w:r w:rsidRPr="002C07A5">
      <w:rPr>
        <w:color w:val="FFFFFF"/>
      </w:rPr>
      <w:tab/>
    </w:r>
    <w:r w:rsidRPr="002C07A5">
      <w:rPr>
        <w:color w:val="FFFFFF"/>
      </w:rPr>
      <w:fldChar w:fldCharType="begin"/>
    </w:r>
    <w:r w:rsidRPr="002C07A5">
      <w:rPr>
        <w:color w:val="FFFFFF"/>
      </w:rPr>
      <w:instrText xml:space="preserve"> PAGE   \* MERGEFORMAT </w:instrText>
    </w:r>
    <w:r w:rsidRPr="002C07A5">
      <w:rPr>
        <w:color w:val="FFFFFF"/>
      </w:rPr>
      <w:fldChar w:fldCharType="separate"/>
    </w:r>
    <w:r w:rsidRPr="002C07A5">
      <w:rPr>
        <w:color w:val="FFFFFF"/>
      </w:rPr>
      <w:t>3</w:t>
    </w:r>
    <w:r w:rsidRPr="002C07A5">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E336" w14:textId="77777777" w:rsidR="00907F80" w:rsidRDefault="00907F80">
      <w:r>
        <w:separator/>
      </w:r>
    </w:p>
  </w:footnote>
  <w:footnote w:type="continuationSeparator" w:id="0">
    <w:p w14:paraId="04B44241" w14:textId="77777777" w:rsidR="00907F80" w:rsidRDefault="00907F80">
      <w:r>
        <w:continuationSeparator/>
      </w:r>
    </w:p>
  </w:footnote>
  <w:footnote w:type="continuationNotice" w:id="1">
    <w:p w14:paraId="491CFB99" w14:textId="77777777" w:rsidR="00907F80" w:rsidRDefault="00907F80">
      <w:pPr>
        <w:spacing w:after="0"/>
      </w:pPr>
    </w:p>
  </w:footnote>
  <w:footnote w:id="2">
    <w:p w14:paraId="72EE764B" w14:textId="77777777" w:rsidR="00C80A44" w:rsidRDefault="00C80A44" w:rsidP="00C80A44">
      <w:pPr>
        <w:pStyle w:val="FootnoteText"/>
      </w:pPr>
      <w:r w:rsidRPr="005A4898">
        <w:rPr>
          <w:rStyle w:val="FootnoteReference"/>
          <w:sz w:val="18"/>
          <w:szCs w:val="18"/>
        </w:rPr>
        <w:footnoteRef/>
      </w:r>
      <w:r>
        <w:t xml:space="preserve"> </w:t>
      </w:r>
      <w:hyperlink r:id="rId1" w:history="1">
        <w:r w:rsidRPr="005A4898">
          <w:rPr>
            <w:rStyle w:val="Hyperlink"/>
            <w:sz w:val="16"/>
            <w:szCs w:val="16"/>
          </w:rPr>
          <w:t>‘Steady as it flows’ An assessment of River Murray operations and environmental water management</w:t>
        </w:r>
        <w:r>
          <w:rPr>
            <w:rStyle w:val="Hyperlink"/>
            <w:sz w:val="16"/>
            <w:szCs w:val="16"/>
          </w:rPr>
          <w:t xml:space="preserve"> </w:t>
        </w:r>
        <w:r w:rsidRPr="005A4898">
          <w:rPr>
            <w:rStyle w:val="Hyperlink"/>
            <w:sz w:val="16"/>
            <w:szCs w:val="16"/>
          </w:rPr>
          <w:t>(igwc.gov.au)</w:t>
        </w:r>
      </w:hyperlink>
    </w:p>
  </w:footnote>
  <w:footnote w:id="3">
    <w:p w14:paraId="3021C4C3" w14:textId="4BE22985" w:rsidR="00215F61" w:rsidRPr="00FC1B50" w:rsidRDefault="00284C9C">
      <w:pPr>
        <w:pStyle w:val="FootnoteText"/>
        <w:rPr>
          <w:sz w:val="16"/>
          <w:szCs w:val="16"/>
        </w:rPr>
      </w:pPr>
      <w:r w:rsidRPr="001D46ED">
        <w:rPr>
          <w:rStyle w:val="FootnoteReference"/>
          <w:sz w:val="16"/>
          <w:szCs w:val="16"/>
        </w:rPr>
        <w:footnoteRef/>
      </w:r>
      <w:r w:rsidRPr="00440306">
        <w:rPr>
          <w:rStyle w:val="FootnoteReference"/>
        </w:rPr>
        <w:t xml:space="preserve"> </w:t>
      </w:r>
      <w:hyperlink r:id="rId2" w:history="1">
        <w:r w:rsidR="00440306" w:rsidRPr="00440306">
          <w:rPr>
            <w:rStyle w:val="Hyperlink"/>
            <w:sz w:val="16"/>
            <w:szCs w:val="16"/>
          </w:rPr>
          <w:t>Strategic Water Purchasing — Bridging the Gap 2023 (anao.gov.au)</w:t>
        </w:r>
      </w:hyperlink>
    </w:p>
  </w:footnote>
  <w:footnote w:id="4">
    <w:p w14:paraId="5DE01CC6" w14:textId="77777777" w:rsidR="00132E00" w:rsidRDefault="00132E00" w:rsidP="00132E00">
      <w:pPr>
        <w:pStyle w:val="FootnoteText"/>
      </w:pPr>
      <w:r w:rsidRPr="001D46ED">
        <w:rPr>
          <w:rStyle w:val="FootnoteReference"/>
          <w:sz w:val="16"/>
          <w:szCs w:val="16"/>
        </w:rPr>
        <w:footnoteRef/>
      </w:r>
      <w:r w:rsidRPr="001D46ED">
        <w:rPr>
          <w:sz w:val="16"/>
          <w:szCs w:val="16"/>
        </w:rPr>
        <w:t xml:space="preserve"> </w:t>
      </w:r>
      <w:hyperlink r:id="rId3" w:history="1">
        <w:r w:rsidRPr="001D46ED">
          <w:rPr>
            <w:rStyle w:val="Hyperlink"/>
            <w:sz w:val="16"/>
            <w:szCs w:val="16"/>
          </w:rPr>
          <w:t>Framework for the 2025 Basin Plan Evaluation (mdba.gov.au)</w:t>
        </w:r>
      </w:hyperlink>
    </w:p>
  </w:footnote>
  <w:footnote w:id="5">
    <w:p w14:paraId="432F4AEC" w14:textId="5EAAB509" w:rsidR="00496EFF" w:rsidRPr="00FC1B50" w:rsidRDefault="00E04738">
      <w:pPr>
        <w:pStyle w:val="FootnoteText"/>
        <w:rPr>
          <w:color w:val="FFFFFF"/>
        </w:rPr>
      </w:pPr>
      <w:r w:rsidRPr="00FC1B50">
        <w:rPr>
          <w:rStyle w:val="FootnoteReference"/>
          <w:color w:val="FFFFFF"/>
          <w:sz w:val="18"/>
          <w:szCs w:val="18"/>
        </w:rPr>
        <w:footnoteRef/>
      </w:r>
      <w:r w:rsidRPr="00FC1B50">
        <w:rPr>
          <w:color w:val="FFFFFF"/>
        </w:rPr>
        <w:t xml:space="preserve"> </w:t>
      </w:r>
      <w:hyperlink r:id="rId4" w:history="1">
        <w:r w:rsidR="005A5BCB" w:rsidRPr="00FC1B50">
          <w:rPr>
            <w:rStyle w:val="Hyperlink"/>
            <w:color w:val="FFFFFF"/>
            <w:sz w:val="16"/>
            <w:szCs w:val="16"/>
          </w:rPr>
          <w:t>Murray–Darling Basin community perceptions research 2023 – Understanding the Audience (igwc.gov.au)</w:t>
        </w:r>
      </w:hyperlink>
    </w:p>
    <w:p w14:paraId="61B404E4" w14:textId="77777777" w:rsidR="00496EFF" w:rsidRPr="00FC1B50" w:rsidRDefault="00496EFF">
      <w:pPr>
        <w:pStyle w:val="FootnoteText"/>
        <w:rPr>
          <w:color w:val="FFFFFF"/>
        </w:rPr>
      </w:pPr>
    </w:p>
    <w:p w14:paraId="712FAAF2" w14:textId="71DDD63C" w:rsidR="00E04738" w:rsidRPr="00FC1B50" w:rsidRDefault="00F91243">
      <w:pPr>
        <w:pStyle w:val="FootnoteText"/>
        <w:rPr>
          <w:color w:val="FFFFFF"/>
          <w:sz w:val="16"/>
          <w:szCs w:val="16"/>
        </w:rPr>
      </w:pPr>
      <w:r w:rsidRPr="00D64C56">
        <w:rPr>
          <w:color w:val="FFFFFF"/>
          <w:sz w:val="16"/>
          <w:szCs w:val="16"/>
        </w:rPr>
        <w:t>Inspector–General of Water Compliance | Monitoring and evaluation reporting of environmental outcomes – Stocktake report</w:t>
      </w:r>
      <w:r w:rsidR="00496EFF" w:rsidRPr="00FC1B50">
        <w:rPr>
          <w:color w:val="FFFFFF"/>
          <w:sz w:val="16"/>
          <w:szCs w:val="16"/>
        </w:rPr>
        <w:tab/>
      </w:r>
      <w:r w:rsidR="00496EFF" w:rsidRPr="00FC1B50">
        <w:rPr>
          <w:color w:val="FFFFFF"/>
          <w:sz w:val="16"/>
          <w:szCs w:val="16"/>
        </w:rPr>
        <w:tab/>
      </w:r>
      <w:r w:rsidR="00496EFF" w:rsidRPr="00FC1B50">
        <w:rPr>
          <w:color w:val="FFFFFF"/>
          <w:sz w:val="16"/>
          <w:szCs w:val="16"/>
        </w:rPr>
        <w:tab/>
      </w:r>
      <w:r w:rsidR="00496EFF" w:rsidRPr="00FC1B50">
        <w:rPr>
          <w:color w:val="FFFFFF"/>
          <w:sz w:val="16"/>
          <w:szCs w:val="16"/>
        </w:rPr>
        <w:tab/>
      </w:r>
      <w:r w:rsidR="00496EFF" w:rsidRPr="00FC1B50">
        <w:rPr>
          <w:color w:val="FFFFFF"/>
          <w:sz w:val="16"/>
          <w:szCs w:val="16"/>
        </w:rPr>
        <w:tab/>
      </w:r>
      <w:r w:rsidR="00496EFF" w:rsidRPr="00FC1B50">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r>
      <w:r w:rsidR="00553759">
        <w:rPr>
          <w:color w:val="FFFFFF"/>
          <w:sz w:val="16"/>
          <w:szCs w:val="16"/>
        </w:rPr>
        <w:t>2</w:t>
      </w:r>
    </w:p>
  </w:footnote>
  <w:footnote w:id="6">
    <w:p w14:paraId="09C66B06" w14:textId="77777777" w:rsidR="00F772E2" w:rsidRDefault="00F772E2">
      <w:pPr>
        <w:pStyle w:val="FootnoteText"/>
      </w:pPr>
      <w:r w:rsidRPr="003E1C1B">
        <w:rPr>
          <w:rStyle w:val="FootnoteReference"/>
          <w:sz w:val="16"/>
          <w:szCs w:val="16"/>
        </w:rPr>
        <w:footnoteRef/>
      </w:r>
      <w:r w:rsidRPr="003E1C1B">
        <w:rPr>
          <w:sz w:val="16"/>
          <w:szCs w:val="16"/>
        </w:rPr>
        <w:t xml:space="preserve"> </w:t>
      </w:r>
      <w:hyperlink r:id="rId5" w:history="1">
        <w:r w:rsidR="002B20E3">
          <w:rPr>
            <w:rStyle w:val="Hyperlink"/>
            <w:sz w:val="16"/>
            <w:szCs w:val="16"/>
          </w:rPr>
          <w:t>Monitoring and evaluation reporting of environmental outcomes – stocktake spreadsheet (igwc.gov.au)</w:t>
        </w:r>
      </w:hyperlink>
    </w:p>
  </w:footnote>
  <w:footnote w:id="7">
    <w:p w14:paraId="1ACDB564" w14:textId="0EDDFBAC" w:rsidR="004E0553" w:rsidRDefault="004E0553">
      <w:pPr>
        <w:pStyle w:val="FootnoteText"/>
      </w:pPr>
      <w:r w:rsidRPr="000A01F6">
        <w:rPr>
          <w:rStyle w:val="FootnoteReference"/>
          <w:sz w:val="18"/>
          <w:szCs w:val="18"/>
        </w:rPr>
        <w:footnoteRef/>
      </w:r>
      <w:r w:rsidRPr="000A01F6">
        <w:rPr>
          <w:rStyle w:val="FootnoteReference"/>
          <w:sz w:val="18"/>
          <w:szCs w:val="18"/>
        </w:rPr>
        <w:t xml:space="preserve"> </w:t>
      </w:r>
      <w:hyperlink r:id="rId6" w:history="1">
        <w:r w:rsidR="006045B8">
          <w:rPr>
            <w:rStyle w:val="Hyperlink"/>
            <w:sz w:val="16"/>
            <w:szCs w:val="16"/>
          </w:rPr>
          <w:t>Monitoring and evaluation reporting of environmental outcomes – stocktake spreadsheet (igwc.gov.au)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54D9" w14:textId="0BB93B0E" w:rsidR="00527D4B" w:rsidRDefault="00527D4B">
    <w:pPr>
      <w:pStyle w:val="Header"/>
    </w:pPr>
    <w:r>
      <w:rPr>
        <w:noProof/>
      </w:rPr>
      <mc:AlternateContent>
        <mc:Choice Requires="wps">
          <w:drawing>
            <wp:anchor distT="0" distB="0" distL="0" distR="0" simplePos="0" relativeHeight="251658242" behindDoc="0" locked="0" layoutInCell="1" allowOverlap="1" wp14:anchorId="5C1B4347" wp14:editId="13F3B0D5">
              <wp:simplePos x="635" y="635"/>
              <wp:positionH relativeFrom="page">
                <wp:align>center</wp:align>
              </wp:positionH>
              <wp:positionV relativeFrom="page">
                <wp:align>top</wp:align>
              </wp:positionV>
              <wp:extent cx="551815" cy="376555"/>
              <wp:effectExtent l="0" t="0" r="635" b="4445"/>
              <wp:wrapNone/>
              <wp:docPr id="17824798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A22A4D" w14:textId="2C3D8645"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1B434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4A22A4D" w14:textId="2C3D8645"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F934" w14:textId="664A391F" w:rsidR="00CD346C" w:rsidRDefault="00527D4B">
    <w:pPr>
      <w:pStyle w:val="Header"/>
    </w:pPr>
    <w:r>
      <w:rPr>
        <w:noProof/>
      </w:rPr>
      <mc:AlternateContent>
        <mc:Choice Requires="wps">
          <w:drawing>
            <wp:anchor distT="0" distB="0" distL="0" distR="0" simplePos="0" relativeHeight="251658243" behindDoc="0" locked="0" layoutInCell="1" allowOverlap="1" wp14:anchorId="2906CD60" wp14:editId="662EF653">
              <wp:simplePos x="720725" y="274320"/>
              <wp:positionH relativeFrom="page">
                <wp:align>center</wp:align>
              </wp:positionH>
              <wp:positionV relativeFrom="page">
                <wp:align>top</wp:align>
              </wp:positionV>
              <wp:extent cx="551815" cy="376555"/>
              <wp:effectExtent l="0" t="0" r="635" b="4445"/>
              <wp:wrapNone/>
              <wp:docPr id="11304907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8B753A" w14:textId="541D34BF"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6CD6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6F8B753A" w14:textId="541D34BF"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v:textbox>
              <w10:wrap anchorx="page" anchory="page"/>
            </v:shape>
          </w:pict>
        </mc:Fallback>
      </mc:AlternateContent>
    </w:r>
    <w:r w:rsidR="003A39E1">
      <w:rPr>
        <w:noProof/>
      </w:rPr>
      <w:drawing>
        <wp:anchor distT="0" distB="0" distL="114300" distR="114300" simplePos="0" relativeHeight="251658240" behindDoc="1" locked="0" layoutInCell="1" allowOverlap="1" wp14:anchorId="63EDE2AD" wp14:editId="59B97309">
          <wp:simplePos x="0" y="0"/>
          <wp:positionH relativeFrom="column">
            <wp:posOffset>2410460</wp:posOffset>
          </wp:positionH>
          <wp:positionV relativeFrom="paragraph">
            <wp:posOffset>1670050</wp:posOffset>
          </wp:positionV>
          <wp:extent cx="7150048" cy="8866060"/>
          <wp:effectExtent l="0" t="0" r="635" b="0"/>
          <wp:wrapNone/>
          <wp:docPr id="929354722" name="Picture 929354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150048" cy="886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986A" w14:textId="6892B457" w:rsidR="00473F5B" w:rsidRDefault="00527D4B" w:rsidP="005C5D99">
    <w:r>
      <w:rPr>
        <w:noProof/>
      </w:rPr>
      <mc:AlternateContent>
        <mc:Choice Requires="wps">
          <w:drawing>
            <wp:anchor distT="0" distB="0" distL="0" distR="0" simplePos="0" relativeHeight="251658241" behindDoc="0" locked="0" layoutInCell="1" allowOverlap="1" wp14:anchorId="010A4F77" wp14:editId="098E606F">
              <wp:simplePos x="723900" y="276225"/>
              <wp:positionH relativeFrom="page">
                <wp:align>center</wp:align>
              </wp:positionH>
              <wp:positionV relativeFrom="page">
                <wp:align>top</wp:align>
              </wp:positionV>
              <wp:extent cx="551815" cy="376555"/>
              <wp:effectExtent l="0" t="0" r="635" b="4445"/>
              <wp:wrapNone/>
              <wp:docPr id="7711876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532049" w14:textId="3A0A5B86"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A4F77"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32532049" w14:textId="3A0A5B86" w:rsidR="00527D4B" w:rsidRPr="00527D4B" w:rsidRDefault="00527D4B" w:rsidP="00527D4B">
                    <w:pPr>
                      <w:spacing w:after="0"/>
                      <w:rPr>
                        <w:rFonts w:ascii="Calibri" w:hAnsi="Calibri" w:cs="Calibri"/>
                        <w:noProof/>
                        <w:color w:val="FF0000"/>
                        <w:sz w:val="24"/>
                        <w:szCs w:val="24"/>
                      </w:rPr>
                    </w:pPr>
                    <w:r w:rsidRPr="00527D4B">
                      <w:rPr>
                        <w:rFonts w:ascii="Calibri" w:hAnsi="Calibri" w:cs="Calibri"/>
                        <w:noProof/>
                        <w:color w:val="FF0000"/>
                        <w:sz w:val="24"/>
                        <w:szCs w:val="24"/>
                      </w:rPr>
                      <w:t>OFFICIAL</w:t>
                    </w:r>
                  </w:p>
                </w:txbxContent>
              </v:textbox>
              <w10:wrap anchorx="page" anchory="page"/>
            </v:shape>
          </w:pict>
        </mc:Fallback>
      </mc:AlternateContent>
    </w:r>
  </w:p>
  <w:p w14:paraId="252C6567" w14:textId="7641654D" w:rsidR="00473F5B" w:rsidRDefault="00473F5B" w:rsidP="005C5D99"/>
  <w:p w14:paraId="73BFFFC6" w14:textId="7FF26F01" w:rsidR="00473F5B" w:rsidRDefault="00473F5B" w:rsidP="005C5D99"/>
  <w:p w14:paraId="2EDDB6F7" w14:textId="635470C0" w:rsidR="00473F5B" w:rsidRDefault="00473F5B" w:rsidP="005C5D99"/>
  <w:p w14:paraId="2683189A" w14:textId="4C5888D5" w:rsidR="00473F5B" w:rsidRDefault="00473F5B" w:rsidP="005C5D99"/>
  <w:p w14:paraId="3A0EC190" w14:textId="1CADC713" w:rsidR="00473F5B" w:rsidRDefault="00473F5B" w:rsidP="005C5D99"/>
  <w:p w14:paraId="0B4BD0BB" w14:textId="77777777" w:rsidR="00473F5B" w:rsidRDefault="00473F5B" w:rsidP="005C5D99"/>
  <w:p w14:paraId="5DA02233" w14:textId="5CAEC33F" w:rsidR="001345C9" w:rsidRDefault="001345C9" w:rsidP="005C5D99"/>
  <w:p w14:paraId="79B3195C" w14:textId="7FAB62FC" w:rsidR="00617D03" w:rsidRPr="00DC6237" w:rsidRDefault="00617D03" w:rsidP="00071327">
    <w:pPr>
      <w:rPr>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CAA83148"/>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BB11D1"/>
    <w:multiLevelType w:val="hybridMultilevel"/>
    <w:tmpl w:val="4034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E365B"/>
    <w:multiLevelType w:val="hybridMultilevel"/>
    <w:tmpl w:val="E342F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063C9"/>
    <w:multiLevelType w:val="hybridMultilevel"/>
    <w:tmpl w:val="CCD6E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A7003"/>
    <w:multiLevelType w:val="hybridMultilevel"/>
    <w:tmpl w:val="F2BCD3DA"/>
    <w:lvl w:ilvl="0" w:tplc="FD4869BA">
      <w:start w:val="1"/>
      <w:numFmt w:val="bullet"/>
      <w:lvlText w:val=""/>
      <w:lvlJc w:val="left"/>
      <w:pPr>
        <w:ind w:left="1440" w:hanging="360"/>
      </w:pPr>
      <w:rPr>
        <w:rFonts w:ascii="Symbol" w:hAnsi="Symbol"/>
      </w:rPr>
    </w:lvl>
    <w:lvl w:ilvl="1" w:tplc="945899A0">
      <w:start w:val="1"/>
      <w:numFmt w:val="bullet"/>
      <w:lvlText w:val=""/>
      <w:lvlJc w:val="left"/>
      <w:pPr>
        <w:ind w:left="1440" w:hanging="360"/>
      </w:pPr>
      <w:rPr>
        <w:rFonts w:ascii="Symbol" w:hAnsi="Symbol"/>
      </w:rPr>
    </w:lvl>
    <w:lvl w:ilvl="2" w:tplc="1BD8A11C">
      <w:start w:val="1"/>
      <w:numFmt w:val="bullet"/>
      <w:lvlText w:val=""/>
      <w:lvlJc w:val="left"/>
      <w:pPr>
        <w:ind w:left="1440" w:hanging="360"/>
      </w:pPr>
      <w:rPr>
        <w:rFonts w:ascii="Symbol" w:hAnsi="Symbol"/>
      </w:rPr>
    </w:lvl>
    <w:lvl w:ilvl="3" w:tplc="27E4CB26">
      <w:start w:val="1"/>
      <w:numFmt w:val="bullet"/>
      <w:lvlText w:val=""/>
      <w:lvlJc w:val="left"/>
      <w:pPr>
        <w:ind w:left="1440" w:hanging="360"/>
      </w:pPr>
      <w:rPr>
        <w:rFonts w:ascii="Symbol" w:hAnsi="Symbol"/>
      </w:rPr>
    </w:lvl>
    <w:lvl w:ilvl="4" w:tplc="FD7C03A2">
      <w:start w:val="1"/>
      <w:numFmt w:val="bullet"/>
      <w:lvlText w:val=""/>
      <w:lvlJc w:val="left"/>
      <w:pPr>
        <w:ind w:left="1440" w:hanging="360"/>
      </w:pPr>
      <w:rPr>
        <w:rFonts w:ascii="Symbol" w:hAnsi="Symbol"/>
      </w:rPr>
    </w:lvl>
    <w:lvl w:ilvl="5" w:tplc="C1928F10">
      <w:start w:val="1"/>
      <w:numFmt w:val="bullet"/>
      <w:lvlText w:val=""/>
      <w:lvlJc w:val="left"/>
      <w:pPr>
        <w:ind w:left="1440" w:hanging="360"/>
      </w:pPr>
      <w:rPr>
        <w:rFonts w:ascii="Symbol" w:hAnsi="Symbol"/>
      </w:rPr>
    </w:lvl>
    <w:lvl w:ilvl="6" w:tplc="00842F0E">
      <w:start w:val="1"/>
      <w:numFmt w:val="bullet"/>
      <w:lvlText w:val=""/>
      <w:lvlJc w:val="left"/>
      <w:pPr>
        <w:ind w:left="1440" w:hanging="360"/>
      </w:pPr>
      <w:rPr>
        <w:rFonts w:ascii="Symbol" w:hAnsi="Symbol"/>
      </w:rPr>
    </w:lvl>
    <w:lvl w:ilvl="7" w:tplc="70947B28">
      <w:start w:val="1"/>
      <w:numFmt w:val="bullet"/>
      <w:lvlText w:val=""/>
      <w:lvlJc w:val="left"/>
      <w:pPr>
        <w:ind w:left="1440" w:hanging="360"/>
      </w:pPr>
      <w:rPr>
        <w:rFonts w:ascii="Symbol" w:hAnsi="Symbol"/>
      </w:rPr>
    </w:lvl>
    <w:lvl w:ilvl="8" w:tplc="3EB29F5A">
      <w:start w:val="1"/>
      <w:numFmt w:val="bullet"/>
      <w:lvlText w:val=""/>
      <w:lvlJc w:val="left"/>
      <w:pPr>
        <w:ind w:left="1440" w:hanging="360"/>
      </w:pPr>
      <w:rPr>
        <w:rFonts w:ascii="Symbol" w:hAnsi="Symbol"/>
      </w:rPr>
    </w:lvl>
  </w:abstractNum>
  <w:abstractNum w:abstractNumId="5" w15:restartNumberingAfterBreak="0">
    <w:nsid w:val="0B712C21"/>
    <w:multiLevelType w:val="multilevel"/>
    <w:tmpl w:val="5FA6BF3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BB001D7"/>
    <w:multiLevelType w:val="hybridMultilevel"/>
    <w:tmpl w:val="029C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0020D"/>
    <w:multiLevelType w:val="hybridMultilevel"/>
    <w:tmpl w:val="C4CEA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8149D"/>
    <w:multiLevelType w:val="hybridMultilevel"/>
    <w:tmpl w:val="FED037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6D2D87"/>
    <w:multiLevelType w:val="multilevel"/>
    <w:tmpl w:val="90F81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7A18EC"/>
    <w:multiLevelType w:val="hybridMultilevel"/>
    <w:tmpl w:val="89A04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E2DDE"/>
    <w:multiLevelType w:val="hybridMultilevel"/>
    <w:tmpl w:val="B36A5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4361F8"/>
    <w:multiLevelType w:val="hybridMultilevel"/>
    <w:tmpl w:val="79401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03BF7"/>
    <w:multiLevelType w:val="multilevel"/>
    <w:tmpl w:val="8168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745BC2"/>
    <w:multiLevelType w:val="multilevel"/>
    <w:tmpl w:val="E898CC72"/>
    <w:numStyleLink w:val="BulletList"/>
  </w:abstractNum>
  <w:abstractNum w:abstractNumId="15" w15:restartNumberingAfterBreak="0">
    <w:nsid w:val="21F62076"/>
    <w:multiLevelType w:val="hybridMultilevel"/>
    <w:tmpl w:val="0674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D67F47"/>
    <w:multiLevelType w:val="hybridMultilevel"/>
    <w:tmpl w:val="4668792C"/>
    <w:lvl w:ilvl="0" w:tplc="0C090001">
      <w:start w:val="1"/>
      <w:numFmt w:val="bullet"/>
      <w:lvlText w:val=""/>
      <w:lvlJc w:val="left"/>
      <w:pPr>
        <w:ind w:left="720" w:hanging="360"/>
      </w:pPr>
      <w:rPr>
        <w:rFonts w:ascii="Symbol" w:hAnsi="Symbol" w:hint="default"/>
      </w:rPr>
    </w:lvl>
    <w:lvl w:ilvl="1" w:tplc="6510A358">
      <w:numFmt w:val="bullet"/>
      <w:lvlText w:val="•"/>
      <w:lvlJc w:val="left"/>
      <w:pPr>
        <w:ind w:left="1440" w:hanging="360"/>
      </w:pPr>
      <w:rPr>
        <w:rFonts w:ascii="Verdana" w:eastAsia="Calibri" w:hAnsi="Verdan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5618A0"/>
    <w:multiLevelType w:val="hybridMultilevel"/>
    <w:tmpl w:val="C588A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9A453F"/>
    <w:multiLevelType w:val="hybridMultilevel"/>
    <w:tmpl w:val="820A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1E2377"/>
    <w:multiLevelType w:val="hybridMultilevel"/>
    <w:tmpl w:val="1186B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A85176"/>
    <w:multiLevelType w:val="multilevel"/>
    <w:tmpl w:val="C1A0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CE3A3D"/>
    <w:multiLevelType w:val="hybridMultilevel"/>
    <w:tmpl w:val="EBB62B16"/>
    <w:lvl w:ilvl="0" w:tplc="6E1E16CA">
      <w:start w:val="1"/>
      <w:numFmt w:val="bullet"/>
      <w:lvlText w:val=""/>
      <w:lvlJc w:val="left"/>
      <w:pPr>
        <w:ind w:left="1080" w:hanging="360"/>
      </w:pPr>
      <w:rPr>
        <w:rFonts w:ascii="Symbol" w:hAnsi="Symbol"/>
      </w:rPr>
    </w:lvl>
    <w:lvl w:ilvl="1" w:tplc="812CF85E">
      <w:start w:val="1"/>
      <w:numFmt w:val="bullet"/>
      <w:lvlText w:val=""/>
      <w:lvlJc w:val="left"/>
      <w:pPr>
        <w:ind w:left="1080" w:hanging="360"/>
      </w:pPr>
      <w:rPr>
        <w:rFonts w:ascii="Symbol" w:hAnsi="Symbol"/>
      </w:rPr>
    </w:lvl>
    <w:lvl w:ilvl="2" w:tplc="EA1CB1B0">
      <w:start w:val="1"/>
      <w:numFmt w:val="bullet"/>
      <w:lvlText w:val=""/>
      <w:lvlJc w:val="left"/>
      <w:pPr>
        <w:ind w:left="1080" w:hanging="360"/>
      </w:pPr>
      <w:rPr>
        <w:rFonts w:ascii="Symbol" w:hAnsi="Symbol"/>
      </w:rPr>
    </w:lvl>
    <w:lvl w:ilvl="3" w:tplc="20A23BF8">
      <w:start w:val="1"/>
      <w:numFmt w:val="bullet"/>
      <w:lvlText w:val=""/>
      <w:lvlJc w:val="left"/>
      <w:pPr>
        <w:ind w:left="1080" w:hanging="360"/>
      </w:pPr>
      <w:rPr>
        <w:rFonts w:ascii="Symbol" w:hAnsi="Symbol"/>
      </w:rPr>
    </w:lvl>
    <w:lvl w:ilvl="4" w:tplc="28CC9E84">
      <w:start w:val="1"/>
      <w:numFmt w:val="bullet"/>
      <w:lvlText w:val=""/>
      <w:lvlJc w:val="left"/>
      <w:pPr>
        <w:ind w:left="1080" w:hanging="360"/>
      </w:pPr>
      <w:rPr>
        <w:rFonts w:ascii="Symbol" w:hAnsi="Symbol"/>
      </w:rPr>
    </w:lvl>
    <w:lvl w:ilvl="5" w:tplc="BD1EC446">
      <w:start w:val="1"/>
      <w:numFmt w:val="bullet"/>
      <w:lvlText w:val=""/>
      <w:lvlJc w:val="left"/>
      <w:pPr>
        <w:ind w:left="1080" w:hanging="360"/>
      </w:pPr>
      <w:rPr>
        <w:rFonts w:ascii="Symbol" w:hAnsi="Symbol"/>
      </w:rPr>
    </w:lvl>
    <w:lvl w:ilvl="6" w:tplc="57F4BE1C">
      <w:start w:val="1"/>
      <w:numFmt w:val="bullet"/>
      <w:lvlText w:val=""/>
      <w:lvlJc w:val="left"/>
      <w:pPr>
        <w:ind w:left="1080" w:hanging="360"/>
      </w:pPr>
      <w:rPr>
        <w:rFonts w:ascii="Symbol" w:hAnsi="Symbol"/>
      </w:rPr>
    </w:lvl>
    <w:lvl w:ilvl="7" w:tplc="F1A25D96">
      <w:start w:val="1"/>
      <w:numFmt w:val="bullet"/>
      <w:lvlText w:val=""/>
      <w:lvlJc w:val="left"/>
      <w:pPr>
        <w:ind w:left="1080" w:hanging="360"/>
      </w:pPr>
      <w:rPr>
        <w:rFonts w:ascii="Symbol" w:hAnsi="Symbol"/>
      </w:rPr>
    </w:lvl>
    <w:lvl w:ilvl="8" w:tplc="BA828FE8">
      <w:start w:val="1"/>
      <w:numFmt w:val="bullet"/>
      <w:lvlText w:val=""/>
      <w:lvlJc w:val="left"/>
      <w:pPr>
        <w:ind w:left="1080" w:hanging="360"/>
      </w:pPr>
      <w:rPr>
        <w:rFonts w:ascii="Symbol" w:hAnsi="Symbol"/>
      </w:rPr>
    </w:lvl>
  </w:abstractNum>
  <w:abstractNum w:abstractNumId="22" w15:restartNumberingAfterBreak="0">
    <w:nsid w:val="2F3F4220"/>
    <w:multiLevelType w:val="multilevel"/>
    <w:tmpl w:val="2E98E4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304808EE"/>
    <w:multiLevelType w:val="multilevel"/>
    <w:tmpl w:val="82B0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211DB"/>
    <w:multiLevelType w:val="hybridMultilevel"/>
    <w:tmpl w:val="79646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A63C2B"/>
    <w:multiLevelType w:val="hybridMultilevel"/>
    <w:tmpl w:val="335832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B146F6"/>
    <w:multiLevelType w:val="hybridMultilevel"/>
    <w:tmpl w:val="009E2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320F13"/>
    <w:multiLevelType w:val="multilevel"/>
    <w:tmpl w:val="ECF29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0D3849"/>
    <w:multiLevelType w:val="multilevel"/>
    <w:tmpl w:val="EE92EAE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44077073"/>
    <w:multiLevelType w:val="hybridMultilevel"/>
    <w:tmpl w:val="8F1A4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E3F784"/>
    <w:multiLevelType w:val="hybridMultilevel"/>
    <w:tmpl w:val="4BD47362"/>
    <w:styleLink w:val="KeyPoints"/>
    <w:lvl w:ilvl="0" w:tplc="E550AAA4">
      <w:start w:val="1"/>
      <w:numFmt w:val="bullet"/>
      <w:lvlText w:val=""/>
      <w:lvlJc w:val="left"/>
      <w:pPr>
        <w:ind w:left="720" w:hanging="360"/>
      </w:pPr>
      <w:rPr>
        <w:rFonts w:ascii="Symbol" w:hAnsi="Symbol" w:hint="default"/>
      </w:rPr>
    </w:lvl>
    <w:lvl w:ilvl="1" w:tplc="C28E4836">
      <w:start w:val="1"/>
      <w:numFmt w:val="bullet"/>
      <w:lvlText w:val="o"/>
      <w:lvlJc w:val="left"/>
      <w:pPr>
        <w:ind w:left="1440" w:hanging="360"/>
      </w:pPr>
      <w:rPr>
        <w:rFonts w:ascii="Courier New" w:hAnsi="Courier New" w:hint="default"/>
      </w:rPr>
    </w:lvl>
    <w:lvl w:ilvl="2" w:tplc="95320AAA">
      <w:start w:val="1"/>
      <w:numFmt w:val="bullet"/>
      <w:lvlText w:val=""/>
      <w:lvlJc w:val="left"/>
      <w:pPr>
        <w:ind w:left="2160" w:hanging="360"/>
      </w:pPr>
      <w:rPr>
        <w:rFonts w:ascii="Wingdings" w:hAnsi="Wingdings" w:hint="default"/>
      </w:rPr>
    </w:lvl>
    <w:lvl w:ilvl="3" w:tplc="5B9006CC">
      <w:start w:val="1"/>
      <w:numFmt w:val="bullet"/>
      <w:lvlText w:val=""/>
      <w:lvlJc w:val="left"/>
      <w:pPr>
        <w:ind w:left="2880" w:hanging="360"/>
      </w:pPr>
      <w:rPr>
        <w:rFonts w:ascii="Symbol" w:hAnsi="Symbol" w:hint="default"/>
      </w:rPr>
    </w:lvl>
    <w:lvl w:ilvl="4" w:tplc="1556F268">
      <w:start w:val="1"/>
      <w:numFmt w:val="bullet"/>
      <w:lvlText w:val="o"/>
      <w:lvlJc w:val="left"/>
      <w:pPr>
        <w:ind w:left="3600" w:hanging="360"/>
      </w:pPr>
      <w:rPr>
        <w:rFonts w:ascii="Courier New" w:hAnsi="Courier New" w:hint="default"/>
      </w:rPr>
    </w:lvl>
    <w:lvl w:ilvl="5" w:tplc="14BA889C">
      <w:start w:val="1"/>
      <w:numFmt w:val="bullet"/>
      <w:lvlText w:val=""/>
      <w:lvlJc w:val="left"/>
      <w:pPr>
        <w:ind w:left="4320" w:hanging="360"/>
      </w:pPr>
      <w:rPr>
        <w:rFonts w:ascii="Wingdings" w:hAnsi="Wingdings" w:hint="default"/>
      </w:rPr>
    </w:lvl>
    <w:lvl w:ilvl="6" w:tplc="49801B9E">
      <w:start w:val="1"/>
      <w:numFmt w:val="bullet"/>
      <w:lvlText w:val=""/>
      <w:lvlJc w:val="left"/>
      <w:pPr>
        <w:ind w:left="5040" w:hanging="360"/>
      </w:pPr>
      <w:rPr>
        <w:rFonts w:ascii="Symbol" w:hAnsi="Symbol" w:hint="default"/>
      </w:rPr>
    </w:lvl>
    <w:lvl w:ilvl="7" w:tplc="D65C1C32">
      <w:start w:val="1"/>
      <w:numFmt w:val="bullet"/>
      <w:lvlText w:val="o"/>
      <w:lvlJc w:val="left"/>
      <w:pPr>
        <w:ind w:left="5760" w:hanging="360"/>
      </w:pPr>
      <w:rPr>
        <w:rFonts w:ascii="Courier New" w:hAnsi="Courier New" w:hint="default"/>
      </w:rPr>
    </w:lvl>
    <w:lvl w:ilvl="8" w:tplc="30069C36">
      <w:start w:val="1"/>
      <w:numFmt w:val="bullet"/>
      <w:lvlText w:val=""/>
      <w:lvlJc w:val="left"/>
      <w:pPr>
        <w:ind w:left="6480" w:hanging="360"/>
      </w:pPr>
      <w:rPr>
        <w:rFonts w:ascii="Wingdings" w:hAnsi="Wingdings" w:hint="default"/>
      </w:rPr>
    </w:lvl>
  </w:abstractNum>
  <w:abstractNum w:abstractNumId="32" w15:restartNumberingAfterBreak="0">
    <w:nsid w:val="472D515C"/>
    <w:multiLevelType w:val="hybridMultilevel"/>
    <w:tmpl w:val="E144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385109"/>
    <w:multiLevelType w:val="hybridMultilevel"/>
    <w:tmpl w:val="FE8CC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B0059E"/>
    <w:multiLevelType w:val="hybridMultilevel"/>
    <w:tmpl w:val="219E1FFA"/>
    <w:lvl w:ilvl="0" w:tplc="0C090001">
      <w:start w:val="1"/>
      <w:numFmt w:val="bullet"/>
      <w:lvlText w:val=""/>
      <w:lvlJc w:val="left"/>
      <w:pPr>
        <w:ind w:left="430" w:hanging="360"/>
      </w:pPr>
      <w:rPr>
        <w:rFonts w:ascii="Symbol" w:hAnsi="Symbol" w:hint="default"/>
        <w:b w:val="0"/>
        <w:color w:val="auto"/>
        <w:sz w:val="20"/>
      </w:rPr>
    </w:lvl>
    <w:lvl w:ilvl="1" w:tplc="0C090003" w:tentative="1">
      <w:start w:val="1"/>
      <w:numFmt w:val="bullet"/>
      <w:lvlText w:val="o"/>
      <w:lvlJc w:val="left"/>
      <w:pPr>
        <w:ind w:left="1150" w:hanging="360"/>
      </w:pPr>
      <w:rPr>
        <w:rFonts w:ascii="Courier New" w:hAnsi="Courier New" w:cs="Courier New" w:hint="default"/>
      </w:rPr>
    </w:lvl>
    <w:lvl w:ilvl="2" w:tplc="0C090005" w:tentative="1">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abstractNum w:abstractNumId="35" w15:restartNumberingAfterBreak="0">
    <w:nsid w:val="4B971A54"/>
    <w:multiLevelType w:val="multilevel"/>
    <w:tmpl w:val="8604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2E4FC3"/>
    <w:multiLevelType w:val="hybridMultilevel"/>
    <w:tmpl w:val="5E7C1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713A3D"/>
    <w:multiLevelType w:val="multilevel"/>
    <w:tmpl w:val="EE780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8C047C"/>
    <w:multiLevelType w:val="multilevel"/>
    <w:tmpl w:val="8766D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A95467"/>
    <w:multiLevelType w:val="hybridMultilevel"/>
    <w:tmpl w:val="8EB4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785B4C"/>
    <w:multiLevelType w:val="hybridMultilevel"/>
    <w:tmpl w:val="88886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DD3495"/>
    <w:multiLevelType w:val="multilevel"/>
    <w:tmpl w:val="D1CC3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85910CE"/>
    <w:multiLevelType w:val="hybridMultilevel"/>
    <w:tmpl w:val="D1A2B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964ABD"/>
    <w:multiLevelType w:val="hybridMultilevel"/>
    <w:tmpl w:val="CE82F28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4" w15:restartNumberingAfterBreak="0">
    <w:nsid w:val="5CEA4901"/>
    <w:multiLevelType w:val="hybridMultilevel"/>
    <w:tmpl w:val="CAACB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7D57DB"/>
    <w:multiLevelType w:val="hybridMultilevel"/>
    <w:tmpl w:val="7D42E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0C4945"/>
    <w:multiLevelType w:val="hybridMultilevel"/>
    <w:tmpl w:val="2402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280BF0"/>
    <w:multiLevelType w:val="hybridMultilevel"/>
    <w:tmpl w:val="64709AC0"/>
    <w:lvl w:ilvl="0" w:tplc="0C09000F">
      <w:start w:val="1"/>
      <w:numFmt w:val="decimal"/>
      <w:lvlText w:val="%1."/>
      <w:lvlJc w:val="left"/>
      <w:pPr>
        <w:ind w:left="790" w:hanging="360"/>
      </w:pPr>
    </w:lvl>
    <w:lvl w:ilvl="1" w:tplc="0C090019" w:tentative="1">
      <w:start w:val="1"/>
      <w:numFmt w:val="lowerLetter"/>
      <w:lvlText w:val="%2."/>
      <w:lvlJc w:val="left"/>
      <w:pPr>
        <w:ind w:left="1510" w:hanging="360"/>
      </w:pPr>
    </w:lvl>
    <w:lvl w:ilvl="2" w:tplc="0C09001B" w:tentative="1">
      <w:start w:val="1"/>
      <w:numFmt w:val="lowerRoman"/>
      <w:lvlText w:val="%3."/>
      <w:lvlJc w:val="right"/>
      <w:pPr>
        <w:ind w:left="2230" w:hanging="180"/>
      </w:pPr>
    </w:lvl>
    <w:lvl w:ilvl="3" w:tplc="0C09000F" w:tentative="1">
      <w:start w:val="1"/>
      <w:numFmt w:val="decimal"/>
      <w:lvlText w:val="%4."/>
      <w:lvlJc w:val="left"/>
      <w:pPr>
        <w:ind w:left="2950" w:hanging="360"/>
      </w:pPr>
    </w:lvl>
    <w:lvl w:ilvl="4" w:tplc="0C090019" w:tentative="1">
      <w:start w:val="1"/>
      <w:numFmt w:val="lowerLetter"/>
      <w:lvlText w:val="%5."/>
      <w:lvlJc w:val="left"/>
      <w:pPr>
        <w:ind w:left="3670" w:hanging="360"/>
      </w:pPr>
    </w:lvl>
    <w:lvl w:ilvl="5" w:tplc="0C09001B" w:tentative="1">
      <w:start w:val="1"/>
      <w:numFmt w:val="lowerRoman"/>
      <w:lvlText w:val="%6."/>
      <w:lvlJc w:val="right"/>
      <w:pPr>
        <w:ind w:left="4390" w:hanging="180"/>
      </w:pPr>
    </w:lvl>
    <w:lvl w:ilvl="6" w:tplc="0C09000F" w:tentative="1">
      <w:start w:val="1"/>
      <w:numFmt w:val="decimal"/>
      <w:lvlText w:val="%7."/>
      <w:lvlJc w:val="left"/>
      <w:pPr>
        <w:ind w:left="5110" w:hanging="360"/>
      </w:pPr>
    </w:lvl>
    <w:lvl w:ilvl="7" w:tplc="0C090019" w:tentative="1">
      <w:start w:val="1"/>
      <w:numFmt w:val="lowerLetter"/>
      <w:lvlText w:val="%8."/>
      <w:lvlJc w:val="left"/>
      <w:pPr>
        <w:ind w:left="5830" w:hanging="360"/>
      </w:pPr>
    </w:lvl>
    <w:lvl w:ilvl="8" w:tplc="0C09001B" w:tentative="1">
      <w:start w:val="1"/>
      <w:numFmt w:val="lowerRoman"/>
      <w:lvlText w:val="%9."/>
      <w:lvlJc w:val="right"/>
      <w:pPr>
        <w:ind w:left="6550" w:hanging="180"/>
      </w:pPr>
    </w:lvl>
  </w:abstractNum>
  <w:abstractNum w:abstractNumId="48" w15:restartNumberingAfterBreak="0">
    <w:nsid w:val="63800073"/>
    <w:multiLevelType w:val="hybridMultilevel"/>
    <w:tmpl w:val="B086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5320BE6"/>
    <w:multiLevelType w:val="multilevel"/>
    <w:tmpl w:val="5FCA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1" w15:restartNumberingAfterBreak="0">
    <w:nsid w:val="658450B2"/>
    <w:multiLevelType w:val="hybridMultilevel"/>
    <w:tmpl w:val="26D4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5311FD"/>
    <w:multiLevelType w:val="hybridMultilevel"/>
    <w:tmpl w:val="8C866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7E2F2E"/>
    <w:multiLevelType w:val="hybridMultilevel"/>
    <w:tmpl w:val="79E8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AB27672"/>
    <w:multiLevelType w:val="hybridMultilevel"/>
    <w:tmpl w:val="6ED8F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E64F9C"/>
    <w:multiLevelType w:val="hybridMultilevel"/>
    <w:tmpl w:val="91025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E12BB7"/>
    <w:multiLevelType w:val="hybridMultilevel"/>
    <w:tmpl w:val="982C3988"/>
    <w:lvl w:ilvl="0" w:tplc="5EA8BB06">
      <w:start w:val="1"/>
      <w:numFmt w:val="bullet"/>
      <w:lvlText w:val=""/>
      <w:lvlJc w:val="left"/>
      <w:pPr>
        <w:ind w:left="1440" w:hanging="360"/>
      </w:pPr>
      <w:rPr>
        <w:rFonts w:ascii="Symbol" w:hAnsi="Symbol"/>
      </w:rPr>
    </w:lvl>
    <w:lvl w:ilvl="1" w:tplc="6B6EE6E2">
      <w:start w:val="1"/>
      <w:numFmt w:val="bullet"/>
      <w:lvlText w:val=""/>
      <w:lvlJc w:val="left"/>
      <w:pPr>
        <w:ind w:left="1440" w:hanging="360"/>
      </w:pPr>
      <w:rPr>
        <w:rFonts w:ascii="Symbol" w:hAnsi="Symbol"/>
      </w:rPr>
    </w:lvl>
    <w:lvl w:ilvl="2" w:tplc="30BAD052">
      <w:start w:val="1"/>
      <w:numFmt w:val="bullet"/>
      <w:lvlText w:val=""/>
      <w:lvlJc w:val="left"/>
      <w:pPr>
        <w:ind w:left="1440" w:hanging="360"/>
      </w:pPr>
      <w:rPr>
        <w:rFonts w:ascii="Symbol" w:hAnsi="Symbol"/>
      </w:rPr>
    </w:lvl>
    <w:lvl w:ilvl="3" w:tplc="778EEA36">
      <w:start w:val="1"/>
      <w:numFmt w:val="bullet"/>
      <w:lvlText w:val=""/>
      <w:lvlJc w:val="left"/>
      <w:pPr>
        <w:ind w:left="1440" w:hanging="360"/>
      </w:pPr>
      <w:rPr>
        <w:rFonts w:ascii="Symbol" w:hAnsi="Symbol"/>
      </w:rPr>
    </w:lvl>
    <w:lvl w:ilvl="4" w:tplc="A75055B0">
      <w:start w:val="1"/>
      <w:numFmt w:val="bullet"/>
      <w:lvlText w:val=""/>
      <w:lvlJc w:val="left"/>
      <w:pPr>
        <w:ind w:left="1440" w:hanging="360"/>
      </w:pPr>
      <w:rPr>
        <w:rFonts w:ascii="Symbol" w:hAnsi="Symbol"/>
      </w:rPr>
    </w:lvl>
    <w:lvl w:ilvl="5" w:tplc="ABFC5F2E">
      <w:start w:val="1"/>
      <w:numFmt w:val="bullet"/>
      <w:lvlText w:val=""/>
      <w:lvlJc w:val="left"/>
      <w:pPr>
        <w:ind w:left="1440" w:hanging="360"/>
      </w:pPr>
      <w:rPr>
        <w:rFonts w:ascii="Symbol" w:hAnsi="Symbol"/>
      </w:rPr>
    </w:lvl>
    <w:lvl w:ilvl="6" w:tplc="F0BAC8FE">
      <w:start w:val="1"/>
      <w:numFmt w:val="bullet"/>
      <w:lvlText w:val=""/>
      <w:lvlJc w:val="left"/>
      <w:pPr>
        <w:ind w:left="1440" w:hanging="360"/>
      </w:pPr>
      <w:rPr>
        <w:rFonts w:ascii="Symbol" w:hAnsi="Symbol"/>
      </w:rPr>
    </w:lvl>
    <w:lvl w:ilvl="7" w:tplc="64EE6990">
      <w:start w:val="1"/>
      <w:numFmt w:val="bullet"/>
      <w:lvlText w:val=""/>
      <w:lvlJc w:val="left"/>
      <w:pPr>
        <w:ind w:left="1440" w:hanging="360"/>
      </w:pPr>
      <w:rPr>
        <w:rFonts w:ascii="Symbol" w:hAnsi="Symbol"/>
      </w:rPr>
    </w:lvl>
    <w:lvl w:ilvl="8" w:tplc="37A65B1A">
      <w:start w:val="1"/>
      <w:numFmt w:val="bullet"/>
      <w:lvlText w:val=""/>
      <w:lvlJc w:val="left"/>
      <w:pPr>
        <w:ind w:left="1440" w:hanging="360"/>
      </w:pPr>
      <w:rPr>
        <w:rFonts w:ascii="Symbol" w:hAnsi="Symbol"/>
      </w:rPr>
    </w:lvl>
  </w:abstractNum>
  <w:abstractNum w:abstractNumId="57" w15:restartNumberingAfterBreak="0">
    <w:nsid w:val="72336E17"/>
    <w:multiLevelType w:val="hybridMultilevel"/>
    <w:tmpl w:val="7AC693D4"/>
    <w:lvl w:ilvl="0" w:tplc="BDA0316E">
      <w:start w:val="1"/>
      <w:numFmt w:val="bullet"/>
      <w:lvlText w:val=""/>
      <w:lvlJc w:val="left"/>
      <w:pPr>
        <w:ind w:left="720" w:hanging="360"/>
      </w:pPr>
      <w:rPr>
        <w:rFonts w:ascii="Symbol" w:hAnsi="Symbol" w:hint="default"/>
        <w:color w:val="44545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257D9E1"/>
    <w:multiLevelType w:val="hybridMultilevel"/>
    <w:tmpl w:val="FBB881B8"/>
    <w:lvl w:ilvl="0" w:tplc="D88AE620">
      <w:start w:val="1"/>
      <w:numFmt w:val="bullet"/>
      <w:lvlText w:val=""/>
      <w:lvlJc w:val="left"/>
      <w:pPr>
        <w:ind w:left="720" w:hanging="360"/>
      </w:pPr>
      <w:rPr>
        <w:rFonts w:ascii="Symbol" w:hAnsi="Symbol" w:hint="default"/>
      </w:rPr>
    </w:lvl>
    <w:lvl w:ilvl="1" w:tplc="13502A4E">
      <w:start w:val="1"/>
      <w:numFmt w:val="bullet"/>
      <w:lvlText w:val="o"/>
      <w:lvlJc w:val="left"/>
      <w:pPr>
        <w:ind w:left="1440" w:hanging="360"/>
      </w:pPr>
      <w:rPr>
        <w:rFonts w:ascii="Courier New" w:hAnsi="Courier New" w:hint="default"/>
      </w:rPr>
    </w:lvl>
    <w:lvl w:ilvl="2" w:tplc="66A43BF6">
      <w:start w:val="1"/>
      <w:numFmt w:val="bullet"/>
      <w:lvlText w:val=""/>
      <w:lvlJc w:val="left"/>
      <w:pPr>
        <w:ind w:left="2160" w:hanging="360"/>
      </w:pPr>
      <w:rPr>
        <w:rFonts w:ascii="Wingdings" w:hAnsi="Wingdings" w:hint="default"/>
      </w:rPr>
    </w:lvl>
    <w:lvl w:ilvl="3" w:tplc="B10CBDDC">
      <w:start w:val="1"/>
      <w:numFmt w:val="bullet"/>
      <w:lvlText w:val=""/>
      <w:lvlJc w:val="left"/>
      <w:pPr>
        <w:ind w:left="2880" w:hanging="360"/>
      </w:pPr>
      <w:rPr>
        <w:rFonts w:ascii="Symbol" w:hAnsi="Symbol" w:hint="default"/>
      </w:rPr>
    </w:lvl>
    <w:lvl w:ilvl="4" w:tplc="2CF666E8">
      <w:start w:val="1"/>
      <w:numFmt w:val="bullet"/>
      <w:lvlText w:val="o"/>
      <w:lvlJc w:val="left"/>
      <w:pPr>
        <w:ind w:left="3600" w:hanging="360"/>
      </w:pPr>
      <w:rPr>
        <w:rFonts w:ascii="Courier New" w:hAnsi="Courier New" w:hint="default"/>
      </w:rPr>
    </w:lvl>
    <w:lvl w:ilvl="5" w:tplc="47785164">
      <w:start w:val="1"/>
      <w:numFmt w:val="bullet"/>
      <w:lvlText w:val=""/>
      <w:lvlJc w:val="left"/>
      <w:pPr>
        <w:ind w:left="4320" w:hanging="360"/>
      </w:pPr>
      <w:rPr>
        <w:rFonts w:ascii="Wingdings" w:hAnsi="Wingdings" w:hint="default"/>
      </w:rPr>
    </w:lvl>
    <w:lvl w:ilvl="6" w:tplc="F936156A">
      <w:start w:val="1"/>
      <w:numFmt w:val="bullet"/>
      <w:lvlText w:val=""/>
      <w:lvlJc w:val="left"/>
      <w:pPr>
        <w:ind w:left="5040" w:hanging="360"/>
      </w:pPr>
      <w:rPr>
        <w:rFonts w:ascii="Symbol" w:hAnsi="Symbol" w:hint="default"/>
      </w:rPr>
    </w:lvl>
    <w:lvl w:ilvl="7" w:tplc="CBF88222">
      <w:start w:val="1"/>
      <w:numFmt w:val="bullet"/>
      <w:lvlText w:val="o"/>
      <w:lvlJc w:val="left"/>
      <w:pPr>
        <w:ind w:left="5760" w:hanging="360"/>
      </w:pPr>
      <w:rPr>
        <w:rFonts w:ascii="Courier New" w:hAnsi="Courier New" w:hint="default"/>
      </w:rPr>
    </w:lvl>
    <w:lvl w:ilvl="8" w:tplc="B2808488">
      <w:start w:val="1"/>
      <w:numFmt w:val="bullet"/>
      <w:lvlText w:val=""/>
      <w:lvlJc w:val="left"/>
      <w:pPr>
        <w:ind w:left="6480" w:hanging="360"/>
      </w:pPr>
      <w:rPr>
        <w:rFonts w:ascii="Wingdings" w:hAnsi="Wingdings" w:hint="default"/>
      </w:rPr>
    </w:lvl>
  </w:abstractNum>
  <w:abstractNum w:abstractNumId="59" w15:restartNumberingAfterBreak="0">
    <w:nsid w:val="762964D5"/>
    <w:multiLevelType w:val="multilevel"/>
    <w:tmpl w:val="E898CC72"/>
    <w:styleLink w:val="BulletList"/>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0" w15:restartNumberingAfterBreak="0">
    <w:nsid w:val="76944FC5"/>
    <w:multiLevelType w:val="multilevel"/>
    <w:tmpl w:val="0DE09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BD4D1D"/>
    <w:multiLevelType w:val="hybridMultilevel"/>
    <w:tmpl w:val="1A84B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80405A1"/>
    <w:multiLevelType w:val="hybridMultilevel"/>
    <w:tmpl w:val="256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3E3E58"/>
    <w:multiLevelType w:val="hybridMultilevel"/>
    <w:tmpl w:val="EEEEAF2C"/>
    <w:lvl w:ilvl="0" w:tplc="A41AFBA4">
      <w:start w:val="1"/>
      <w:numFmt w:val="bullet"/>
      <w:lvlText w:val=""/>
      <w:lvlJc w:val="left"/>
      <w:pPr>
        <w:ind w:left="1080" w:hanging="360"/>
      </w:pPr>
      <w:rPr>
        <w:rFonts w:ascii="Symbol" w:hAnsi="Symbol"/>
      </w:rPr>
    </w:lvl>
    <w:lvl w:ilvl="1" w:tplc="5D6C69F4">
      <w:start w:val="1"/>
      <w:numFmt w:val="bullet"/>
      <w:lvlText w:val=""/>
      <w:lvlJc w:val="left"/>
      <w:pPr>
        <w:ind w:left="1080" w:hanging="360"/>
      </w:pPr>
      <w:rPr>
        <w:rFonts w:ascii="Symbol" w:hAnsi="Symbol"/>
      </w:rPr>
    </w:lvl>
    <w:lvl w:ilvl="2" w:tplc="506C9DD2">
      <w:start w:val="1"/>
      <w:numFmt w:val="bullet"/>
      <w:lvlText w:val=""/>
      <w:lvlJc w:val="left"/>
      <w:pPr>
        <w:ind w:left="1080" w:hanging="360"/>
      </w:pPr>
      <w:rPr>
        <w:rFonts w:ascii="Symbol" w:hAnsi="Symbol"/>
      </w:rPr>
    </w:lvl>
    <w:lvl w:ilvl="3" w:tplc="EB34C6C0">
      <w:start w:val="1"/>
      <w:numFmt w:val="bullet"/>
      <w:lvlText w:val=""/>
      <w:lvlJc w:val="left"/>
      <w:pPr>
        <w:ind w:left="1080" w:hanging="360"/>
      </w:pPr>
      <w:rPr>
        <w:rFonts w:ascii="Symbol" w:hAnsi="Symbol"/>
      </w:rPr>
    </w:lvl>
    <w:lvl w:ilvl="4" w:tplc="402E79DC">
      <w:start w:val="1"/>
      <w:numFmt w:val="bullet"/>
      <w:lvlText w:val=""/>
      <w:lvlJc w:val="left"/>
      <w:pPr>
        <w:ind w:left="1080" w:hanging="360"/>
      </w:pPr>
      <w:rPr>
        <w:rFonts w:ascii="Symbol" w:hAnsi="Symbol"/>
      </w:rPr>
    </w:lvl>
    <w:lvl w:ilvl="5" w:tplc="694E48EA">
      <w:start w:val="1"/>
      <w:numFmt w:val="bullet"/>
      <w:lvlText w:val=""/>
      <w:lvlJc w:val="left"/>
      <w:pPr>
        <w:ind w:left="1080" w:hanging="360"/>
      </w:pPr>
      <w:rPr>
        <w:rFonts w:ascii="Symbol" w:hAnsi="Symbol"/>
      </w:rPr>
    </w:lvl>
    <w:lvl w:ilvl="6" w:tplc="C952EC8E">
      <w:start w:val="1"/>
      <w:numFmt w:val="bullet"/>
      <w:lvlText w:val=""/>
      <w:lvlJc w:val="left"/>
      <w:pPr>
        <w:ind w:left="1080" w:hanging="360"/>
      </w:pPr>
      <w:rPr>
        <w:rFonts w:ascii="Symbol" w:hAnsi="Symbol"/>
      </w:rPr>
    </w:lvl>
    <w:lvl w:ilvl="7" w:tplc="838E68A2">
      <w:start w:val="1"/>
      <w:numFmt w:val="bullet"/>
      <w:lvlText w:val=""/>
      <w:lvlJc w:val="left"/>
      <w:pPr>
        <w:ind w:left="1080" w:hanging="360"/>
      </w:pPr>
      <w:rPr>
        <w:rFonts w:ascii="Symbol" w:hAnsi="Symbol"/>
      </w:rPr>
    </w:lvl>
    <w:lvl w:ilvl="8" w:tplc="8CFC2F9E">
      <w:start w:val="1"/>
      <w:numFmt w:val="bullet"/>
      <w:lvlText w:val=""/>
      <w:lvlJc w:val="left"/>
      <w:pPr>
        <w:ind w:left="1080" w:hanging="360"/>
      </w:pPr>
      <w:rPr>
        <w:rFonts w:ascii="Symbol" w:hAnsi="Symbol"/>
      </w:rPr>
    </w:lvl>
  </w:abstractNum>
  <w:abstractNum w:abstractNumId="64" w15:restartNumberingAfterBreak="0">
    <w:nsid w:val="7A42147E"/>
    <w:multiLevelType w:val="hybridMultilevel"/>
    <w:tmpl w:val="C0864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C36AB9"/>
    <w:multiLevelType w:val="hybridMultilevel"/>
    <w:tmpl w:val="00E0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752476">
    <w:abstractNumId w:val="31"/>
  </w:num>
  <w:num w:numId="2" w16cid:durableId="1873422421">
    <w:abstractNumId w:val="59"/>
  </w:num>
  <w:num w:numId="3" w16cid:durableId="1369183811">
    <w:abstractNumId w:val="0"/>
  </w:num>
  <w:num w:numId="4" w16cid:durableId="521748715">
    <w:abstractNumId w:val="14"/>
  </w:num>
  <w:num w:numId="5" w16cid:durableId="732780042">
    <w:abstractNumId w:val="50"/>
  </w:num>
  <w:num w:numId="6" w16cid:durableId="1231771423">
    <w:abstractNumId w:val="11"/>
  </w:num>
  <w:num w:numId="7" w16cid:durableId="603656313">
    <w:abstractNumId w:val="16"/>
  </w:num>
  <w:num w:numId="8" w16cid:durableId="1920677873">
    <w:abstractNumId w:val="52"/>
  </w:num>
  <w:num w:numId="9" w16cid:durableId="1131939366">
    <w:abstractNumId w:val="3"/>
  </w:num>
  <w:num w:numId="10" w16cid:durableId="1269922657">
    <w:abstractNumId w:val="35"/>
  </w:num>
  <w:num w:numId="11" w16cid:durableId="298272019">
    <w:abstractNumId w:val="49"/>
  </w:num>
  <w:num w:numId="12" w16cid:durableId="1435512391">
    <w:abstractNumId w:val="26"/>
  </w:num>
  <w:num w:numId="13" w16cid:durableId="736828282">
    <w:abstractNumId w:val="20"/>
  </w:num>
  <w:num w:numId="14" w16cid:durableId="1535272034">
    <w:abstractNumId w:val="39"/>
  </w:num>
  <w:num w:numId="15" w16cid:durableId="175199589">
    <w:abstractNumId w:val="32"/>
  </w:num>
  <w:num w:numId="16" w16cid:durableId="931280721">
    <w:abstractNumId w:val="44"/>
  </w:num>
  <w:num w:numId="17" w16cid:durableId="1777477964">
    <w:abstractNumId w:val="64"/>
  </w:num>
  <w:num w:numId="18" w16cid:durableId="637299910">
    <w:abstractNumId w:val="18"/>
  </w:num>
  <w:num w:numId="19" w16cid:durableId="1846632047">
    <w:abstractNumId w:val="2"/>
  </w:num>
  <w:num w:numId="20" w16cid:durableId="664284681">
    <w:abstractNumId w:val="40"/>
  </w:num>
  <w:num w:numId="21" w16cid:durableId="1223910352">
    <w:abstractNumId w:val="46"/>
  </w:num>
  <w:num w:numId="22" w16cid:durableId="1830171866">
    <w:abstractNumId w:val="36"/>
  </w:num>
  <w:num w:numId="23" w16cid:durableId="468284836">
    <w:abstractNumId w:val="61"/>
  </w:num>
  <w:num w:numId="24" w16cid:durableId="548536407">
    <w:abstractNumId w:val="21"/>
  </w:num>
  <w:num w:numId="25" w16cid:durableId="1588878068">
    <w:abstractNumId w:val="4"/>
  </w:num>
  <w:num w:numId="26" w16cid:durableId="265968323">
    <w:abstractNumId w:val="63"/>
  </w:num>
  <w:num w:numId="27" w16cid:durableId="776681090">
    <w:abstractNumId w:val="56"/>
  </w:num>
  <w:num w:numId="28" w16cid:durableId="1476221838">
    <w:abstractNumId w:val="7"/>
  </w:num>
  <w:num w:numId="29" w16cid:durableId="460273091">
    <w:abstractNumId w:val="17"/>
  </w:num>
  <w:num w:numId="30" w16cid:durableId="119420636">
    <w:abstractNumId w:val="42"/>
  </w:num>
  <w:num w:numId="31" w16cid:durableId="1778021368">
    <w:abstractNumId w:val="27"/>
  </w:num>
  <w:num w:numId="32" w16cid:durableId="577136981">
    <w:abstractNumId w:val="58"/>
  </w:num>
  <w:num w:numId="33" w16cid:durableId="6888768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9694971">
    <w:abstractNumId w:val="43"/>
  </w:num>
  <w:num w:numId="35" w16cid:durableId="1597784656">
    <w:abstractNumId w:val="19"/>
  </w:num>
  <w:num w:numId="36" w16cid:durableId="560334324">
    <w:abstractNumId w:val="15"/>
  </w:num>
  <w:num w:numId="37" w16cid:durableId="712581544">
    <w:abstractNumId w:val="48"/>
  </w:num>
  <w:num w:numId="38" w16cid:durableId="891578055">
    <w:abstractNumId w:val="24"/>
  </w:num>
  <w:num w:numId="39" w16cid:durableId="1022633257">
    <w:abstractNumId w:val="30"/>
  </w:num>
  <w:num w:numId="40" w16cid:durableId="1083919562">
    <w:abstractNumId w:val="12"/>
  </w:num>
  <w:num w:numId="41" w16cid:durableId="1127625487">
    <w:abstractNumId w:val="65"/>
  </w:num>
  <w:num w:numId="42" w16cid:durableId="2047676175">
    <w:abstractNumId w:val="53"/>
  </w:num>
  <w:num w:numId="43" w16cid:durableId="909458612">
    <w:abstractNumId w:val="62"/>
  </w:num>
  <w:num w:numId="44" w16cid:durableId="1926263622">
    <w:abstractNumId w:val="34"/>
  </w:num>
  <w:num w:numId="45" w16cid:durableId="1488013278">
    <w:abstractNumId w:val="45"/>
  </w:num>
  <w:num w:numId="46" w16cid:durableId="466317118">
    <w:abstractNumId w:val="51"/>
  </w:num>
  <w:num w:numId="47" w16cid:durableId="2134126794">
    <w:abstractNumId w:val="1"/>
  </w:num>
  <w:num w:numId="48" w16cid:durableId="1172916564">
    <w:abstractNumId w:val="54"/>
  </w:num>
  <w:num w:numId="49" w16cid:durableId="1688867289">
    <w:abstractNumId w:val="23"/>
  </w:num>
  <w:num w:numId="50" w16cid:durableId="592202946">
    <w:abstractNumId w:val="28"/>
  </w:num>
  <w:num w:numId="51" w16cid:durableId="1837767121">
    <w:abstractNumId w:val="37"/>
  </w:num>
  <w:num w:numId="52" w16cid:durableId="1515924919">
    <w:abstractNumId w:val="60"/>
  </w:num>
  <w:num w:numId="53" w16cid:durableId="1534077672">
    <w:abstractNumId w:val="5"/>
  </w:num>
  <w:num w:numId="54" w16cid:durableId="578246318">
    <w:abstractNumId w:val="22"/>
  </w:num>
  <w:num w:numId="55" w16cid:durableId="2117404413">
    <w:abstractNumId w:val="29"/>
  </w:num>
  <w:num w:numId="56" w16cid:durableId="838349287">
    <w:abstractNumId w:val="41"/>
  </w:num>
  <w:num w:numId="57" w16cid:durableId="933132771">
    <w:abstractNumId w:val="9"/>
  </w:num>
  <w:num w:numId="58" w16cid:durableId="2140296580">
    <w:abstractNumId w:val="13"/>
  </w:num>
  <w:num w:numId="59" w16cid:durableId="630749785">
    <w:abstractNumId w:val="38"/>
  </w:num>
  <w:num w:numId="60" w16cid:durableId="1105538800">
    <w:abstractNumId w:val="55"/>
  </w:num>
  <w:num w:numId="61" w16cid:durableId="1296981726">
    <w:abstractNumId w:val="25"/>
  </w:num>
  <w:num w:numId="62" w16cid:durableId="504519926">
    <w:abstractNumId w:val="6"/>
  </w:num>
  <w:num w:numId="63" w16cid:durableId="1896818772">
    <w:abstractNumId w:val="33"/>
  </w:num>
  <w:num w:numId="64" w16cid:durableId="1800948958">
    <w:abstractNumId w:val="8"/>
  </w:num>
  <w:num w:numId="65" w16cid:durableId="379482330">
    <w:abstractNumId w:val="10"/>
  </w:num>
  <w:num w:numId="66" w16cid:durableId="2105606149">
    <w:abstractNumId w:val="47"/>
  </w:num>
  <w:num w:numId="67" w16cid:durableId="727874587">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56"/>
    <w:rsid w:val="000001A1"/>
    <w:rsid w:val="000002C8"/>
    <w:rsid w:val="000002FC"/>
    <w:rsid w:val="00001F2E"/>
    <w:rsid w:val="00001FFB"/>
    <w:rsid w:val="00002504"/>
    <w:rsid w:val="00002C36"/>
    <w:rsid w:val="00002FC4"/>
    <w:rsid w:val="000032A0"/>
    <w:rsid w:val="00003662"/>
    <w:rsid w:val="000037BF"/>
    <w:rsid w:val="00003CF4"/>
    <w:rsid w:val="00003E63"/>
    <w:rsid w:val="00003EB4"/>
    <w:rsid w:val="000041C7"/>
    <w:rsid w:val="00004546"/>
    <w:rsid w:val="00004611"/>
    <w:rsid w:val="00004889"/>
    <w:rsid w:val="00004909"/>
    <w:rsid w:val="00004B3B"/>
    <w:rsid w:val="0000528E"/>
    <w:rsid w:val="00005593"/>
    <w:rsid w:val="00006017"/>
    <w:rsid w:val="00006145"/>
    <w:rsid w:val="000062E7"/>
    <w:rsid w:val="000069EC"/>
    <w:rsid w:val="00006B4E"/>
    <w:rsid w:val="00006DC5"/>
    <w:rsid w:val="00006F73"/>
    <w:rsid w:val="0000707C"/>
    <w:rsid w:val="000079F4"/>
    <w:rsid w:val="00007DE1"/>
    <w:rsid w:val="00007E50"/>
    <w:rsid w:val="00007FEB"/>
    <w:rsid w:val="00010455"/>
    <w:rsid w:val="00010B9F"/>
    <w:rsid w:val="00010C44"/>
    <w:rsid w:val="00010FF3"/>
    <w:rsid w:val="000118EE"/>
    <w:rsid w:val="000131EE"/>
    <w:rsid w:val="00013339"/>
    <w:rsid w:val="000135FC"/>
    <w:rsid w:val="0001365C"/>
    <w:rsid w:val="000139B7"/>
    <w:rsid w:val="00013C0D"/>
    <w:rsid w:val="00013DDF"/>
    <w:rsid w:val="0001464B"/>
    <w:rsid w:val="00014D1F"/>
    <w:rsid w:val="000155CD"/>
    <w:rsid w:val="00015838"/>
    <w:rsid w:val="00015A22"/>
    <w:rsid w:val="00015CA5"/>
    <w:rsid w:val="00015D8A"/>
    <w:rsid w:val="00016693"/>
    <w:rsid w:val="00016B80"/>
    <w:rsid w:val="00016B91"/>
    <w:rsid w:val="00016C67"/>
    <w:rsid w:val="00016E21"/>
    <w:rsid w:val="000170E7"/>
    <w:rsid w:val="00017565"/>
    <w:rsid w:val="000176F7"/>
    <w:rsid w:val="00017D95"/>
    <w:rsid w:val="00017D9A"/>
    <w:rsid w:val="0002053E"/>
    <w:rsid w:val="0002075B"/>
    <w:rsid w:val="00020847"/>
    <w:rsid w:val="00020D88"/>
    <w:rsid w:val="00021054"/>
    <w:rsid w:val="000218E1"/>
    <w:rsid w:val="00021CA4"/>
    <w:rsid w:val="00021CFF"/>
    <w:rsid w:val="00022350"/>
    <w:rsid w:val="00022665"/>
    <w:rsid w:val="00022AF7"/>
    <w:rsid w:val="000232A7"/>
    <w:rsid w:val="00023942"/>
    <w:rsid w:val="0002436B"/>
    <w:rsid w:val="00024BAB"/>
    <w:rsid w:val="00025598"/>
    <w:rsid w:val="00026635"/>
    <w:rsid w:val="000276B3"/>
    <w:rsid w:val="00027775"/>
    <w:rsid w:val="00027BB8"/>
    <w:rsid w:val="0003002B"/>
    <w:rsid w:val="00030182"/>
    <w:rsid w:val="0003025D"/>
    <w:rsid w:val="000305B3"/>
    <w:rsid w:val="00031231"/>
    <w:rsid w:val="00031299"/>
    <w:rsid w:val="0003190B"/>
    <w:rsid w:val="00031A04"/>
    <w:rsid w:val="00031DDC"/>
    <w:rsid w:val="00031E2A"/>
    <w:rsid w:val="00032317"/>
    <w:rsid w:val="0003259B"/>
    <w:rsid w:val="0003319E"/>
    <w:rsid w:val="00033283"/>
    <w:rsid w:val="000333E7"/>
    <w:rsid w:val="00033C6A"/>
    <w:rsid w:val="00034737"/>
    <w:rsid w:val="00034BAE"/>
    <w:rsid w:val="000352D4"/>
    <w:rsid w:val="00035D0D"/>
    <w:rsid w:val="00036557"/>
    <w:rsid w:val="0003677E"/>
    <w:rsid w:val="000367CD"/>
    <w:rsid w:val="00037ED0"/>
    <w:rsid w:val="0004001A"/>
    <w:rsid w:val="00040061"/>
    <w:rsid w:val="000407A0"/>
    <w:rsid w:val="00040A8D"/>
    <w:rsid w:val="000418A5"/>
    <w:rsid w:val="000418AD"/>
    <w:rsid w:val="00041D08"/>
    <w:rsid w:val="00041FF0"/>
    <w:rsid w:val="00042ABD"/>
    <w:rsid w:val="00043008"/>
    <w:rsid w:val="000436F9"/>
    <w:rsid w:val="00043F76"/>
    <w:rsid w:val="00044171"/>
    <w:rsid w:val="00044242"/>
    <w:rsid w:val="00044252"/>
    <w:rsid w:val="0004425A"/>
    <w:rsid w:val="00044AD1"/>
    <w:rsid w:val="00045273"/>
    <w:rsid w:val="00045C4E"/>
    <w:rsid w:val="00045D39"/>
    <w:rsid w:val="00045F42"/>
    <w:rsid w:val="000464E7"/>
    <w:rsid w:val="000465E1"/>
    <w:rsid w:val="0004718E"/>
    <w:rsid w:val="00047DF5"/>
    <w:rsid w:val="0005015D"/>
    <w:rsid w:val="000504FF"/>
    <w:rsid w:val="00050EF2"/>
    <w:rsid w:val="0005149B"/>
    <w:rsid w:val="000514BD"/>
    <w:rsid w:val="000514FD"/>
    <w:rsid w:val="00051697"/>
    <w:rsid w:val="000517ED"/>
    <w:rsid w:val="000519B3"/>
    <w:rsid w:val="000519B4"/>
    <w:rsid w:val="00052067"/>
    <w:rsid w:val="000521FF"/>
    <w:rsid w:val="000524A1"/>
    <w:rsid w:val="000527B9"/>
    <w:rsid w:val="000528FE"/>
    <w:rsid w:val="00052D21"/>
    <w:rsid w:val="00052E4C"/>
    <w:rsid w:val="0005314F"/>
    <w:rsid w:val="000531EF"/>
    <w:rsid w:val="000538A8"/>
    <w:rsid w:val="000538B1"/>
    <w:rsid w:val="00053B21"/>
    <w:rsid w:val="00053CD0"/>
    <w:rsid w:val="00053FD2"/>
    <w:rsid w:val="0005402E"/>
    <w:rsid w:val="00054071"/>
    <w:rsid w:val="000540CA"/>
    <w:rsid w:val="0005431B"/>
    <w:rsid w:val="000545E7"/>
    <w:rsid w:val="00055589"/>
    <w:rsid w:val="00055687"/>
    <w:rsid w:val="00055DB9"/>
    <w:rsid w:val="000567CE"/>
    <w:rsid w:val="00056CD3"/>
    <w:rsid w:val="000570E9"/>
    <w:rsid w:val="00057D9B"/>
    <w:rsid w:val="00057E65"/>
    <w:rsid w:val="000601F2"/>
    <w:rsid w:val="000604F9"/>
    <w:rsid w:val="0006065B"/>
    <w:rsid w:val="00060998"/>
    <w:rsid w:val="00060D3A"/>
    <w:rsid w:val="00060D42"/>
    <w:rsid w:val="000613B1"/>
    <w:rsid w:val="00061929"/>
    <w:rsid w:val="00061BE3"/>
    <w:rsid w:val="000625CF"/>
    <w:rsid w:val="00062E2E"/>
    <w:rsid w:val="00063431"/>
    <w:rsid w:val="00063E94"/>
    <w:rsid w:val="000640B8"/>
    <w:rsid w:val="00064220"/>
    <w:rsid w:val="000643B2"/>
    <w:rsid w:val="00064916"/>
    <w:rsid w:val="00064BA4"/>
    <w:rsid w:val="00064E9C"/>
    <w:rsid w:val="000651F9"/>
    <w:rsid w:val="00065654"/>
    <w:rsid w:val="000656A1"/>
    <w:rsid w:val="000656E2"/>
    <w:rsid w:val="000658DA"/>
    <w:rsid w:val="00065CE3"/>
    <w:rsid w:val="00065E26"/>
    <w:rsid w:val="0006614A"/>
    <w:rsid w:val="000667D3"/>
    <w:rsid w:val="00066AC5"/>
    <w:rsid w:val="00066D56"/>
    <w:rsid w:val="00066D96"/>
    <w:rsid w:val="00066FBF"/>
    <w:rsid w:val="000673AA"/>
    <w:rsid w:val="00067528"/>
    <w:rsid w:val="000675BA"/>
    <w:rsid w:val="000700DE"/>
    <w:rsid w:val="00070141"/>
    <w:rsid w:val="00070620"/>
    <w:rsid w:val="00071327"/>
    <w:rsid w:val="00071E57"/>
    <w:rsid w:val="00071F95"/>
    <w:rsid w:val="000721E7"/>
    <w:rsid w:val="000735EA"/>
    <w:rsid w:val="000739C2"/>
    <w:rsid w:val="00073C9B"/>
    <w:rsid w:val="000740E4"/>
    <w:rsid w:val="000746E1"/>
    <w:rsid w:val="00074824"/>
    <w:rsid w:val="000752D1"/>
    <w:rsid w:val="0007537C"/>
    <w:rsid w:val="00075511"/>
    <w:rsid w:val="0007604A"/>
    <w:rsid w:val="0007668B"/>
    <w:rsid w:val="000769C7"/>
    <w:rsid w:val="00076A20"/>
    <w:rsid w:val="00076CB9"/>
    <w:rsid w:val="00076CE4"/>
    <w:rsid w:val="00076E05"/>
    <w:rsid w:val="00076E95"/>
    <w:rsid w:val="00077083"/>
    <w:rsid w:val="00077194"/>
    <w:rsid w:val="0007776A"/>
    <w:rsid w:val="00077914"/>
    <w:rsid w:val="00080552"/>
    <w:rsid w:val="000808FB"/>
    <w:rsid w:val="000811C9"/>
    <w:rsid w:val="0008128F"/>
    <w:rsid w:val="00081526"/>
    <w:rsid w:val="00081F0B"/>
    <w:rsid w:val="00082270"/>
    <w:rsid w:val="00082285"/>
    <w:rsid w:val="00082E59"/>
    <w:rsid w:val="00083138"/>
    <w:rsid w:val="00083433"/>
    <w:rsid w:val="0008350F"/>
    <w:rsid w:val="0008441E"/>
    <w:rsid w:val="00085021"/>
    <w:rsid w:val="0008506D"/>
    <w:rsid w:val="0008511C"/>
    <w:rsid w:val="000856DF"/>
    <w:rsid w:val="00085980"/>
    <w:rsid w:val="00085D21"/>
    <w:rsid w:val="00085EF7"/>
    <w:rsid w:val="0008625D"/>
    <w:rsid w:val="00086669"/>
    <w:rsid w:val="000869A3"/>
    <w:rsid w:val="0008719A"/>
    <w:rsid w:val="000874AD"/>
    <w:rsid w:val="0008750B"/>
    <w:rsid w:val="000877F7"/>
    <w:rsid w:val="000904AC"/>
    <w:rsid w:val="00090B23"/>
    <w:rsid w:val="0009190B"/>
    <w:rsid w:val="00091B06"/>
    <w:rsid w:val="00091D49"/>
    <w:rsid w:val="00091F57"/>
    <w:rsid w:val="00091FA4"/>
    <w:rsid w:val="000920B3"/>
    <w:rsid w:val="0009236B"/>
    <w:rsid w:val="0009241E"/>
    <w:rsid w:val="0009280D"/>
    <w:rsid w:val="00092817"/>
    <w:rsid w:val="00092CEB"/>
    <w:rsid w:val="0009365B"/>
    <w:rsid w:val="00094163"/>
    <w:rsid w:val="000945E7"/>
    <w:rsid w:val="000946E1"/>
    <w:rsid w:val="00094BD7"/>
    <w:rsid w:val="00094CEC"/>
    <w:rsid w:val="0009520F"/>
    <w:rsid w:val="0009542B"/>
    <w:rsid w:val="00095473"/>
    <w:rsid w:val="0009649A"/>
    <w:rsid w:val="000964FD"/>
    <w:rsid w:val="00096BE4"/>
    <w:rsid w:val="00097156"/>
    <w:rsid w:val="00097260"/>
    <w:rsid w:val="0009773F"/>
    <w:rsid w:val="00097742"/>
    <w:rsid w:val="0009797D"/>
    <w:rsid w:val="00097A5E"/>
    <w:rsid w:val="00097C04"/>
    <w:rsid w:val="00097FF6"/>
    <w:rsid w:val="000A01F6"/>
    <w:rsid w:val="000A02DF"/>
    <w:rsid w:val="000A091B"/>
    <w:rsid w:val="000A0FBC"/>
    <w:rsid w:val="000A18C0"/>
    <w:rsid w:val="000A1950"/>
    <w:rsid w:val="000A2942"/>
    <w:rsid w:val="000A3255"/>
    <w:rsid w:val="000A3616"/>
    <w:rsid w:val="000A3627"/>
    <w:rsid w:val="000A37B4"/>
    <w:rsid w:val="000A3ECF"/>
    <w:rsid w:val="000A4992"/>
    <w:rsid w:val="000A4C28"/>
    <w:rsid w:val="000A5112"/>
    <w:rsid w:val="000A55BE"/>
    <w:rsid w:val="000A583C"/>
    <w:rsid w:val="000A6257"/>
    <w:rsid w:val="000A6375"/>
    <w:rsid w:val="000A652B"/>
    <w:rsid w:val="000A6A78"/>
    <w:rsid w:val="000A6DEE"/>
    <w:rsid w:val="000A71CF"/>
    <w:rsid w:val="000A7279"/>
    <w:rsid w:val="000A78F4"/>
    <w:rsid w:val="000A7B7E"/>
    <w:rsid w:val="000A7E26"/>
    <w:rsid w:val="000B02EE"/>
    <w:rsid w:val="000B045C"/>
    <w:rsid w:val="000B04FA"/>
    <w:rsid w:val="000B0AFA"/>
    <w:rsid w:val="000B0F91"/>
    <w:rsid w:val="000B11A4"/>
    <w:rsid w:val="000B156C"/>
    <w:rsid w:val="000B1772"/>
    <w:rsid w:val="000B192F"/>
    <w:rsid w:val="000B2662"/>
    <w:rsid w:val="000B28BE"/>
    <w:rsid w:val="000B2DB1"/>
    <w:rsid w:val="000B2DE5"/>
    <w:rsid w:val="000B33C2"/>
    <w:rsid w:val="000B3534"/>
    <w:rsid w:val="000B3BCE"/>
    <w:rsid w:val="000B4108"/>
    <w:rsid w:val="000B4429"/>
    <w:rsid w:val="000B45F0"/>
    <w:rsid w:val="000B47C5"/>
    <w:rsid w:val="000B4B61"/>
    <w:rsid w:val="000B4DE3"/>
    <w:rsid w:val="000B58DF"/>
    <w:rsid w:val="000B5F04"/>
    <w:rsid w:val="000B622F"/>
    <w:rsid w:val="000B6AA2"/>
    <w:rsid w:val="000B74A1"/>
    <w:rsid w:val="000B7EC8"/>
    <w:rsid w:val="000B7FD4"/>
    <w:rsid w:val="000C0509"/>
    <w:rsid w:val="000C06EF"/>
    <w:rsid w:val="000C082B"/>
    <w:rsid w:val="000C10C1"/>
    <w:rsid w:val="000C1343"/>
    <w:rsid w:val="000C159A"/>
    <w:rsid w:val="000C1BAA"/>
    <w:rsid w:val="000C2046"/>
    <w:rsid w:val="000C257E"/>
    <w:rsid w:val="000C29A4"/>
    <w:rsid w:val="000C2AEA"/>
    <w:rsid w:val="000C2F67"/>
    <w:rsid w:val="000C3E46"/>
    <w:rsid w:val="000C402B"/>
    <w:rsid w:val="000C40A7"/>
    <w:rsid w:val="000C46A7"/>
    <w:rsid w:val="000C4817"/>
    <w:rsid w:val="000C4A37"/>
    <w:rsid w:val="000C4DB8"/>
    <w:rsid w:val="000C5739"/>
    <w:rsid w:val="000C587E"/>
    <w:rsid w:val="000C5938"/>
    <w:rsid w:val="000C5A7E"/>
    <w:rsid w:val="000C5B01"/>
    <w:rsid w:val="000C6327"/>
    <w:rsid w:val="000C652C"/>
    <w:rsid w:val="000C6948"/>
    <w:rsid w:val="000C6A8C"/>
    <w:rsid w:val="000C6B80"/>
    <w:rsid w:val="000C6C81"/>
    <w:rsid w:val="000C70D0"/>
    <w:rsid w:val="000C7DEE"/>
    <w:rsid w:val="000D069C"/>
    <w:rsid w:val="000D06D9"/>
    <w:rsid w:val="000D090A"/>
    <w:rsid w:val="000D0FAF"/>
    <w:rsid w:val="000D122F"/>
    <w:rsid w:val="000D1535"/>
    <w:rsid w:val="000D16E5"/>
    <w:rsid w:val="000D1751"/>
    <w:rsid w:val="000D18CC"/>
    <w:rsid w:val="000D1AA8"/>
    <w:rsid w:val="000D1C5D"/>
    <w:rsid w:val="000D1D69"/>
    <w:rsid w:val="000D216E"/>
    <w:rsid w:val="000D22B6"/>
    <w:rsid w:val="000D2337"/>
    <w:rsid w:val="000D29F2"/>
    <w:rsid w:val="000D31AF"/>
    <w:rsid w:val="000D31B5"/>
    <w:rsid w:val="000D31E8"/>
    <w:rsid w:val="000D408B"/>
    <w:rsid w:val="000D4422"/>
    <w:rsid w:val="000D4640"/>
    <w:rsid w:val="000D47D8"/>
    <w:rsid w:val="000D5004"/>
    <w:rsid w:val="000D5233"/>
    <w:rsid w:val="000D5BA1"/>
    <w:rsid w:val="000D5F9D"/>
    <w:rsid w:val="000D6475"/>
    <w:rsid w:val="000D6986"/>
    <w:rsid w:val="000D6A8D"/>
    <w:rsid w:val="000D6E96"/>
    <w:rsid w:val="000D6F90"/>
    <w:rsid w:val="000D7466"/>
    <w:rsid w:val="000D7A85"/>
    <w:rsid w:val="000D7DB9"/>
    <w:rsid w:val="000E11B9"/>
    <w:rsid w:val="000E120D"/>
    <w:rsid w:val="000E188A"/>
    <w:rsid w:val="000E19A8"/>
    <w:rsid w:val="000E1BB6"/>
    <w:rsid w:val="000E218C"/>
    <w:rsid w:val="000E228D"/>
    <w:rsid w:val="000E2574"/>
    <w:rsid w:val="000E2687"/>
    <w:rsid w:val="000E2B11"/>
    <w:rsid w:val="000E2C24"/>
    <w:rsid w:val="000E35ED"/>
    <w:rsid w:val="000E3720"/>
    <w:rsid w:val="000E3DB2"/>
    <w:rsid w:val="000E3E08"/>
    <w:rsid w:val="000E3E5A"/>
    <w:rsid w:val="000E4816"/>
    <w:rsid w:val="000E48C4"/>
    <w:rsid w:val="000E4D4D"/>
    <w:rsid w:val="000E547F"/>
    <w:rsid w:val="000E5C12"/>
    <w:rsid w:val="000E61EE"/>
    <w:rsid w:val="000E65A0"/>
    <w:rsid w:val="000E6A37"/>
    <w:rsid w:val="000E6D05"/>
    <w:rsid w:val="000E6F06"/>
    <w:rsid w:val="000E72D2"/>
    <w:rsid w:val="000E79FD"/>
    <w:rsid w:val="000E7FA8"/>
    <w:rsid w:val="000F01BB"/>
    <w:rsid w:val="000F0351"/>
    <w:rsid w:val="000F04BE"/>
    <w:rsid w:val="000F08D3"/>
    <w:rsid w:val="000F095F"/>
    <w:rsid w:val="000F0AEF"/>
    <w:rsid w:val="000F0D2D"/>
    <w:rsid w:val="000F0E04"/>
    <w:rsid w:val="000F1033"/>
    <w:rsid w:val="000F12BB"/>
    <w:rsid w:val="000F1627"/>
    <w:rsid w:val="000F16DD"/>
    <w:rsid w:val="000F22AC"/>
    <w:rsid w:val="000F22ED"/>
    <w:rsid w:val="000F251B"/>
    <w:rsid w:val="000F25C5"/>
    <w:rsid w:val="000F26FA"/>
    <w:rsid w:val="000F2A94"/>
    <w:rsid w:val="000F2CF4"/>
    <w:rsid w:val="000F2F72"/>
    <w:rsid w:val="000F308B"/>
    <w:rsid w:val="000F356B"/>
    <w:rsid w:val="000F35BB"/>
    <w:rsid w:val="000F362A"/>
    <w:rsid w:val="000F38A4"/>
    <w:rsid w:val="000F4588"/>
    <w:rsid w:val="000F4E65"/>
    <w:rsid w:val="000F526D"/>
    <w:rsid w:val="000F555B"/>
    <w:rsid w:val="000F5578"/>
    <w:rsid w:val="000F55E7"/>
    <w:rsid w:val="000F5A67"/>
    <w:rsid w:val="000F60CE"/>
    <w:rsid w:val="000F6A91"/>
    <w:rsid w:val="000F6AB6"/>
    <w:rsid w:val="000F6AC5"/>
    <w:rsid w:val="000F6AF5"/>
    <w:rsid w:val="000F72B2"/>
    <w:rsid w:val="000F75BD"/>
    <w:rsid w:val="000F7EC8"/>
    <w:rsid w:val="000F7FA6"/>
    <w:rsid w:val="001000C1"/>
    <w:rsid w:val="00100B0C"/>
    <w:rsid w:val="001012B5"/>
    <w:rsid w:val="00101B60"/>
    <w:rsid w:val="00101BE1"/>
    <w:rsid w:val="00102322"/>
    <w:rsid w:val="001029AD"/>
    <w:rsid w:val="00102AF6"/>
    <w:rsid w:val="00102CBF"/>
    <w:rsid w:val="00102E2C"/>
    <w:rsid w:val="0010375E"/>
    <w:rsid w:val="00103F44"/>
    <w:rsid w:val="00103FEF"/>
    <w:rsid w:val="001040E6"/>
    <w:rsid w:val="001043C7"/>
    <w:rsid w:val="00104428"/>
    <w:rsid w:val="00104726"/>
    <w:rsid w:val="00104DFC"/>
    <w:rsid w:val="00105007"/>
    <w:rsid w:val="00105290"/>
    <w:rsid w:val="0010532E"/>
    <w:rsid w:val="0010551B"/>
    <w:rsid w:val="00106442"/>
    <w:rsid w:val="00106E52"/>
    <w:rsid w:val="00107141"/>
    <w:rsid w:val="001073C7"/>
    <w:rsid w:val="0010751E"/>
    <w:rsid w:val="001075D7"/>
    <w:rsid w:val="00107CD1"/>
    <w:rsid w:val="00107F6D"/>
    <w:rsid w:val="001101D8"/>
    <w:rsid w:val="0011038F"/>
    <w:rsid w:val="00110640"/>
    <w:rsid w:val="001107F1"/>
    <w:rsid w:val="0011089D"/>
    <w:rsid w:val="00110C39"/>
    <w:rsid w:val="00110C4C"/>
    <w:rsid w:val="0011133C"/>
    <w:rsid w:val="001113C3"/>
    <w:rsid w:val="00111490"/>
    <w:rsid w:val="00111B93"/>
    <w:rsid w:val="001124BF"/>
    <w:rsid w:val="00112522"/>
    <w:rsid w:val="00112728"/>
    <w:rsid w:val="0011275D"/>
    <w:rsid w:val="00112932"/>
    <w:rsid w:val="001129DB"/>
    <w:rsid w:val="00112AA4"/>
    <w:rsid w:val="00112C21"/>
    <w:rsid w:val="00112F8C"/>
    <w:rsid w:val="0011301A"/>
    <w:rsid w:val="0011374E"/>
    <w:rsid w:val="00113976"/>
    <w:rsid w:val="00113A3F"/>
    <w:rsid w:val="00113D89"/>
    <w:rsid w:val="00113FED"/>
    <w:rsid w:val="0011431A"/>
    <w:rsid w:val="00114BA0"/>
    <w:rsid w:val="00114CD9"/>
    <w:rsid w:val="00114D48"/>
    <w:rsid w:val="001152AE"/>
    <w:rsid w:val="00115374"/>
    <w:rsid w:val="00115D12"/>
    <w:rsid w:val="00115D29"/>
    <w:rsid w:val="00115D6F"/>
    <w:rsid w:val="00116383"/>
    <w:rsid w:val="001163D1"/>
    <w:rsid w:val="0011655B"/>
    <w:rsid w:val="001167E6"/>
    <w:rsid w:val="00116B54"/>
    <w:rsid w:val="001173D8"/>
    <w:rsid w:val="00117766"/>
    <w:rsid w:val="00117ABE"/>
    <w:rsid w:val="00117D55"/>
    <w:rsid w:val="00117D6E"/>
    <w:rsid w:val="00120298"/>
    <w:rsid w:val="0012114F"/>
    <w:rsid w:val="001213FB"/>
    <w:rsid w:val="00121479"/>
    <w:rsid w:val="00121DED"/>
    <w:rsid w:val="00121F4B"/>
    <w:rsid w:val="001223CF"/>
    <w:rsid w:val="00122CCE"/>
    <w:rsid w:val="00122EBB"/>
    <w:rsid w:val="001232AF"/>
    <w:rsid w:val="001238A5"/>
    <w:rsid w:val="00123C98"/>
    <w:rsid w:val="00123CCD"/>
    <w:rsid w:val="00123FEE"/>
    <w:rsid w:val="00124354"/>
    <w:rsid w:val="0012473D"/>
    <w:rsid w:val="001247EA"/>
    <w:rsid w:val="00124920"/>
    <w:rsid w:val="00124CDA"/>
    <w:rsid w:val="00124FC4"/>
    <w:rsid w:val="001257B8"/>
    <w:rsid w:val="00125D5E"/>
    <w:rsid w:val="00125EAB"/>
    <w:rsid w:val="001263B9"/>
    <w:rsid w:val="00126659"/>
    <w:rsid w:val="001273DD"/>
    <w:rsid w:val="0012785F"/>
    <w:rsid w:val="00130151"/>
    <w:rsid w:val="00130276"/>
    <w:rsid w:val="00130410"/>
    <w:rsid w:val="001304BA"/>
    <w:rsid w:val="0013066D"/>
    <w:rsid w:val="001309BF"/>
    <w:rsid w:val="00130CB8"/>
    <w:rsid w:val="00130E09"/>
    <w:rsid w:val="00130F11"/>
    <w:rsid w:val="00130F69"/>
    <w:rsid w:val="00131593"/>
    <w:rsid w:val="00131C37"/>
    <w:rsid w:val="00132206"/>
    <w:rsid w:val="00132576"/>
    <w:rsid w:val="00132CB7"/>
    <w:rsid w:val="00132CD7"/>
    <w:rsid w:val="00132E00"/>
    <w:rsid w:val="00133176"/>
    <w:rsid w:val="00133872"/>
    <w:rsid w:val="00133B29"/>
    <w:rsid w:val="00133C5E"/>
    <w:rsid w:val="001345C9"/>
    <w:rsid w:val="00134B19"/>
    <w:rsid w:val="0013542F"/>
    <w:rsid w:val="00135A85"/>
    <w:rsid w:val="00135B00"/>
    <w:rsid w:val="00135B9D"/>
    <w:rsid w:val="001362A9"/>
    <w:rsid w:val="00136AE5"/>
    <w:rsid w:val="00137A35"/>
    <w:rsid w:val="00137A5B"/>
    <w:rsid w:val="00137A7F"/>
    <w:rsid w:val="00137F0D"/>
    <w:rsid w:val="00137F5A"/>
    <w:rsid w:val="001404FB"/>
    <w:rsid w:val="00140510"/>
    <w:rsid w:val="0014064D"/>
    <w:rsid w:val="00140F62"/>
    <w:rsid w:val="00140F6D"/>
    <w:rsid w:val="00141174"/>
    <w:rsid w:val="00141302"/>
    <w:rsid w:val="001413AF"/>
    <w:rsid w:val="001413CE"/>
    <w:rsid w:val="00141558"/>
    <w:rsid w:val="0014170E"/>
    <w:rsid w:val="0014182C"/>
    <w:rsid w:val="00141DC2"/>
    <w:rsid w:val="00141F50"/>
    <w:rsid w:val="00142895"/>
    <w:rsid w:val="0014292F"/>
    <w:rsid w:val="00142B4D"/>
    <w:rsid w:val="00142BB3"/>
    <w:rsid w:val="00142E0B"/>
    <w:rsid w:val="00143230"/>
    <w:rsid w:val="00143825"/>
    <w:rsid w:val="00143996"/>
    <w:rsid w:val="00143A0D"/>
    <w:rsid w:val="00143D46"/>
    <w:rsid w:val="00143FBC"/>
    <w:rsid w:val="00144674"/>
    <w:rsid w:val="00144A68"/>
    <w:rsid w:val="00144BDC"/>
    <w:rsid w:val="00145071"/>
    <w:rsid w:val="001452E3"/>
    <w:rsid w:val="0014532F"/>
    <w:rsid w:val="001455FC"/>
    <w:rsid w:val="00145CD4"/>
    <w:rsid w:val="001465B6"/>
    <w:rsid w:val="00147FF9"/>
    <w:rsid w:val="0015021D"/>
    <w:rsid w:val="00150BD3"/>
    <w:rsid w:val="001517DA"/>
    <w:rsid w:val="00151FA5"/>
    <w:rsid w:val="00152599"/>
    <w:rsid w:val="00153020"/>
    <w:rsid w:val="001532B8"/>
    <w:rsid w:val="00153B3F"/>
    <w:rsid w:val="00153C74"/>
    <w:rsid w:val="0015411F"/>
    <w:rsid w:val="00154A0D"/>
    <w:rsid w:val="001552E5"/>
    <w:rsid w:val="00155462"/>
    <w:rsid w:val="00155A85"/>
    <w:rsid w:val="00155B5E"/>
    <w:rsid w:val="00156132"/>
    <w:rsid w:val="00156560"/>
    <w:rsid w:val="001565CC"/>
    <w:rsid w:val="00156893"/>
    <w:rsid w:val="0015695F"/>
    <w:rsid w:val="001570BE"/>
    <w:rsid w:val="00157A0D"/>
    <w:rsid w:val="00157A6D"/>
    <w:rsid w:val="00157ACF"/>
    <w:rsid w:val="00160482"/>
    <w:rsid w:val="00160894"/>
    <w:rsid w:val="001618AE"/>
    <w:rsid w:val="00161C23"/>
    <w:rsid w:val="00161E57"/>
    <w:rsid w:val="00161EDE"/>
    <w:rsid w:val="00162328"/>
    <w:rsid w:val="00162677"/>
    <w:rsid w:val="001627F3"/>
    <w:rsid w:val="00162E1D"/>
    <w:rsid w:val="0016335A"/>
    <w:rsid w:val="001638B8"/>
    <w:rsid w:val="00163EB5"/>
    <w:rsid w:val="00163F42"/>
    <w:rsid w:val="0016452E"/>
    <w:rsid w:val="0016472F"/>
    <w:rsid w:val="0016530C"/>
    <w:rsid w:val="00165435"/>
    <w:rsid w:val="00165CC6"/>
    <w:rsid w:val="00166162"/>
    <w:rsid w:val="00166237"/>
    <w:rsid w:val="0016630D"/>
    <w:rsid w:val="00166DBB"/>
    <w:rsid w:val="0016714F"/>
    <w:rsid w:val="0016763A"/>
    <w:rsid w:val="00167A74"/>
    <w:rsid w:val="00167D1C"/>
    <w:rsid w:val="00167DEF"/>
    <w:rsid w:val="00170182"/>
    <w:rsid w:val="0017077A"/>
    <w:rsid w:val="00170807"/>
    <w:rsid w:val="00170D66"/>
    <w:rsid w:val="00170D70"/>
    <w:rsid w:val="00170DC6"/>
    <w:rsid w:val="0017100F"/>
    <w:rsid w:val="00171195"/>
    <w:rsid w:val="00171658"/>
    <w:rsid w:val="001719BE"/>
    <w:rsid w:val="0017236C"/>
    <w:rsid w:val="00172475"/>
    <w:rsid w:val="001724CA"/>
    <w:rsid w:val="001725D1"/>
    <w:rsid w:val="00172C3A"/>
    <w:rsid w:val="00172C57"/>
    <w:rsid w:val="00172FB7"/>
    <w:rsid w:val="001733F7"/>
    <w:rsid w:val="0017351A"/>
    <w:rsid w:val="0017352C"/>
    <w:rsid w:val="00173A89"/>
    <w:rsid w:val="0017404F"/>
    <w:rsid w:val="0017456A"/>
    <w:rsid w:val="00174734"/>
    <w:rsid w:val="00174E05"/>
    <w:rsid w:val="00174ED0"/>
    <w:rsid w:val="0017510D"/>
    <w:rsid w:val="001757CF"/>
    <w:rsid w:val="00175870"/>
    <w:rsid w:val="001759A5"/>
    <w:rsid w:val="00175B8F"/>
    <w:rsid w:val="00175DB9"/>
    <w:rsid w:val="00176A42"/>
    <w:rsid w:val="00176AB5"/>
    <w:rsid w:val="00176AED"/>
    <w:rsid w:val="001770CB"/>
    <w:rsid w:val="00177164"/>
    <w:rsid w:val="00177534"/>
    <w:rsid w:val="00177B63"/>
    <w:rsid w:val="00177D78"/>
    <w:rsid w:val="001804D1"/>
    <w:rsid w:val="0018081E"/>
    <w:rsid w:val="00180E82"/>
    <w:rsid w:val="00181976"/>
    <w:rsid w:val="00181E1C"/>
    <w:rsid w:val="00182735"/>
    <w:rsid w:val="001827C2"/>
    <w:rsid w:val="001829B6"/>
    <w:rsid w:val="00182CA8"/>
    <w:rsid w:val="001848C2"/>
    <w:rsid w:val="00184DCC"/>
    <w:rsid w:val="00184FA5"/>
    <w:rsid w:val="00185155"/>
    <w:rsid w:val="0018533E"/>
    <w:rsid w:val="00185874"/>
    <w:rsid w:val="00185DDD"/>
    <w:rsid w:val="00186164"/>
    <w:rsid w:val="00186300"/>
    <w:rsid w:val="0018674D"/>
    <w:rsid w:val="00186942"/>
    <w:rsid w:val="00186ACE"/>
    <w:rsid w:val="00186E6F"/>
    <w:rsid w:val="00187202"/>
    <w:rsid w:val="00187577"/>
    <w:rsid w:val="00187EF6"/>
    <w:rsid w:val="00190321"/>
    <w:rsid w:val="00190905"/>
    <w:rsid w:val="00190A9D"/>
    <w:rsid w:val="00190AE2"/>
    <w:rsid w:val="00190B8A"/>
    <w:rsid w:val="00190C17"/>
    <w:rsid w:val="00190FCB"/>
    <w:rsid w:val="001912E3"/>
    <w:rsid w:val="0019130D"/>
    <w:rsid w:val="001917EF"/>
    <w:rsid w:val="00191902"/>
    <w:rsid w:val="00192079"/>
    <w:rsid w:val="001920A0"/>
    <w:rsid w:val="00192220"/>
    <w:rsid w:val="00192AB2"/>
    <w:rsid w:val="001930F0"/>
    <w:rsid w:val="001932F7"/>
    <w:rsid w:val="00193BBF"/>
    <w:rsid w:val="00193EE0"/>
    <w:rsid w:val="00193F92"/>
    <w:rsid w:val="0019402A"/>
    <w:rsid w:val="00194203"/>
    <w:rsid w:val="001943D2"/>
    <w:rsid w:val="00194A22"/>
    <w:rsid w:val="00194AE9"/>
    <w:rsid w:val="00194D83"/>
    <w:rsid w:val="00194ED3"/>
    <w:rsid w:val="00194F92"/>
    <w:rsid w:val="001950D5"/>
    <w:rsid w:val="001950D9"/>
    <w:rsid w:val="001953EA"/>
    <w:rsid w:val="001956C6"/>
    <w:rsid w:val="00195B06"/>
    <w:rsid w:val="001969D3"/>
    <w:rsid w:val="001969DD"/>
    <w:rsid w:val="0019717A"/>
    <w:rsid w:val="001972DB"/>
    <w:rsid w:val="00197573"/>
    <w:rsid w:val="00197BA9"/>
    <w:rsid w:val="001A0249"/>
    <w:rsid w:val="001A102F"/>
    <w:rsid w:val="001A1345"/>
    <w:rsid w:val="001A13EB"/>
    <w:rsid w:val="001A13EE"/>
    <w:rsid w:val="001A13F3"/>
    <w:rsid w:val="001A1459"/>
    <w:rsid w:val="001A1DCA"/>
    <w:rsid w:val="001A20DF"/>
    <w:rsid w:val="001A2509"/>
    <w:rsid w:val="001A2A0D"/>
    <w:rsid w:val="001A2A25"/>
    <w:rsid w:val="001A3379"/>
    <w:rsid w:val="001A33A6"/>
    <w:rsid w:val="001A34EF"/>
    <w:rsid w:val="001A3C4B"/>
    <w:rsid w:val="001A456B"/>
    <w:rsid w:val="001A5312"/>
    <w:rsid w:val="001A59CC"/>
    <w:rsid w:val="001A5C5A"/>
    <w:rsid w:val="001A5C86"/>
    <w:rsid w:val="001A63FF"/>
    <w:rsid w:val="001A6B60"/>
    <w:rsid w:val="001A6DA3"/>
    <w:rsid w:val="001A6ED0"/>
    <w:rsid w:val="001A70F1"/>
    <w:rsid w:val="001A773C"/>
    <w:rsid w:val="001A7DE5"/>
    <w:rsid w:val="001B018E"/>
    <w:rsid w:val="001B0F47"/>
    <w:rsid w:val="001B0F7B"/>
    <w:rsid w:val="001B0FD2"/>
    <w:rsid w:val="001B118F"/>
    <w:rsid w:val="001B13E4"/>
    <w:rsid w:val="001B17FD"/>
    <w:rsid w:val="001B1EAF"/>
    <w:rsid w:val="001B1F3F"/>
    <w:rsid w:val="001B2F17"/>
    <w:rsid w:val="001B34FF"/>
    <w:rsid w:val="001B36E5"/>
    <w:rsid w:val="001B388F"/>
    <w:rsid w:val="001B3916"/>
    <w:rsid w:val="001B446D"/>
    <w:rsid w:val="001B45AA"/>
    <w:rsid w:val="001B463E"/>
    <w:rsid w:val="001B4F87"/>
    <w:rsid w:val="001B4FA7"/>
    <w:rsid w:val="001B5B4C"/>
    <w:rsid w:val="001B5B61"/>
    <w:rsid w:val="001B5D3C"/>
    <w:rsid w:val="001B654F"/>
    <w:rsid w:val="001B66A7"/>
    <w:rsid w:val="001B6769"/>
    <w:rsid w:val="001B6E13"/>
    <w:rsid w:val="001B7A2D"/>
    <w:rsid w:val="001B7C27"/>
    <w:rsid w:val="001B7C7E"/>
    <w:rsid w:val="001C0255"/>
    <w:rsid w:val="001C0B32"/>
    <w:rsid w:val="001C0F11"/>
    <w:rsid w:val="001C1973"/>
    <w:rsid w:val="001C1ABF"/>
    <w:rsid w:val="001C1C07"/>
    <w:rsid w:val="001C1DBA"/>
    <w:rsid w:val="001C209E"/>
    <w:rsid w:val="001C2428"/>
    <w:rsid w:val="001C2C92"/>
    <w:rsid w:val="001C3110"/>
    <w:rsid w:val="001C3480"/>
    <w:rsid w:val="001C3649"/>
    <w:rsid w:val="001C3B55"/>
    <w:rsid w:val="001C3E74"/>
    <w:rsid w:val="001C4003"/>
    <w:rsid w:val="001C4717"/>
    <w:rsid w:val="001C479B"/>
    <w:rsid w:val="001C49C7"/>
    <w:rsid w:val="001C4A01"/>
    <w:rsid w:val="001C51E2"/>
    <w:rsid w:val="001C5644"/>
    <w:rsid w:val="001C571D"/>
    <w:rsid w:val="001C66EC"/>
    <w:rsid w:val="001C7145"/>
    <w:rsid w:val="001C71D9"/>
    <w:rsid w:val="001C77A6"/>
    <w:rsid w:val="001C7A48"/>
    <w:rsid w:val="001D02B0"/>
    <w:rsid w:val="001D0951"/>
    <w:rsid w:val="001D09A2"/>
    <w:rsid w:val="001D261C"/>
    <w:rsid w:val="001D267D"/>
    <w:rsid w:val="001D287C"/>
    <w:rsid w:val="001D2C96"/>
    <w:rsid w:val="001D3BE2"/>
    <w:rsid w:val="001D427C"/>
    <w:rsid w:val="001D432A"/>
    <w:rsid w:val="001D4597"/>
    <w:rsid w:val="001D46ED"/>
    <w:rsid w:val="001D5319"/>
    <w:rsid w:val="001D565B"/>
    <w:rsid w:val="001D576D"/>
    <w:rsid w:val="001D5C5A"/>
    <w:rsid w:val="001D61AF"/>
    <w:rsid w:val="001D66DC"/>
    <w:rsid w:val="001D69F9"/>
    <w:rsid w:val="001D6EC8"/>
    <w:rsid w:val="001D6ED5"/>
    <w:rsid w:val="001D6EE2"/>
    <w:rsid w:val="001D7630"/>
    <w:rsid w:val="001D769B"/>
    <w:rsid w:val="001D7C40"/>
    <w:rsid w:val="001D7E0F"/>
    <w:rsid w:val="001E017E"/>
    <w:rsid w:val="001E034E"/>
    <w:rsid w:val="001E09BC"/>
    <w:rsid w:val="001E0A22"/>
    <w:rsid w:val="001E0D9A"/>
    <w:rsid w:val="001E0E07"/>
    <w:rsid w:val="001E143C"/>
    <w:rsid w:val="001E172C"/>
    <w:rsid w:val="001E1944"/>
    <w:rsid w:val="001E203E"/>
    <w:rsid w:val="001E2D39"/>
    <w:rsid w:val="001E2E6A"/>
    <w:rsid w:val="001E2F01"/>
    <w:rsid w:val="001E328F"/>
    <w:rsid w:val="001E3757"/>
    <w:rsid w:val="001E3B37"/>
    <w:rsid w:val="001E3C97"/>
    <w:rsid w:val="001E5C46"/>
    <w:rsid w:val="001E5CD4"/>
    <w:rsid w:val="001E5F27"/>
    <w:rsid w:val="001E6057"/>
    <w:rsid w:val="001E647A"/>
    <w:rsid w:val="001E66F0"/>
    <w:rsid w:val="001E68B3"/>
    <w:rsid w:val="001E69C3"/>
    <w:rsid w:val="001E6DCB"/>
    <w:rsid w:val="001E7681"/>
    <w:rsid w:val="001E7EC4"/>
    <w:rsid w:val="001E7EF6"/>
    <w:rsid w:val="001E7F50"/>
    <w:rsid w:val="001E7F57"/>
    <w:rsid w:val="001E7F83"/>
    <w:rsid w:val="001F0528"/>
    <w:rsid w:val="001F05F5"/>
    <w:rsid w:val="001F060D"/>
    <w:rsid w:val="001F0960"/>
    <w:rsid w:val="001F0A1A"/>
    <w:rsid w:val="001F0D1A"/>
    <w:rsid w:val="001F10FC"/>
    <w:rsid w:val="001F1451"/>
    <w:rsid w:val="001F1B9D"/>
    <w:rsid w:val="001F1FB4"/>
    <w:rsid w:val="001F289C"/>
    <w:rsid w:val="001F2A15"/>
    <w:rsid w:val="001F32C7"/>
    <w:rsid w:val="001F3367"/>
    <w:rsid w:val="001F3697"/>
    <w:rsid w:val="001F425D"/>
    <w:rsid w:val="001F43DD"/>
    <w:rsid w:val="001F4584"/>
    <w:rsid w:val="001F4A74"/>
    <w:rsid w:val="001F4FD1"/>
    <w:rsid w:val="001F5A2A"/>
    <w:rsid w:val="001F653C"/>
    <w:rsid w:val="001F6733"/>
    <w:rsid w:val="001F7A19"/>
    <w:rsid w:val="001F7C70"/>
    <w:rsid w:val="001F7D9F"/>
    <w:rsid w:val="001F7F70"/>
    <w:rsid w:val="002000A8"/>
    <w:rsid w:val="0020019C"/>
    <w:rsid w:val="00200EB1"/>
    <w:rsid w:val="002016E9"/>
    <w:rsid w:val="00201E63"/>
    <w:rsid w:val="002023DA"/>
    <w:rsid w:val="002024C2"/>
    <w:rsid w:val="00202797"/>
    <w:rsid w:val="002033E8"/>
    <w:rsid w:val="00203444"/>
    <w:rsid w:val="00203A16"/>
    <w:rsid w:val="00203A31"/>
    <w:rsid w:val="00203ABF"/>
    <w:rsid w:val="0020422B"/>
    <w:rsid w:val="00204AB0"/>
    <w:rsid w:val="00204DB5"/>
    <w:rsid w:val="00204E35"/>
    <w:rsid w:val="00205298"/>
    <w:rsid w:val="00205432"/>
    <w:rsid w:val="0020568C"/>
    <w:rsid w:val="00205867"/>
    <w:rsid w:val="00205A46"/>
    <w:rsid w:val="00205C9A"/>
    <w:rsid w:val="00205FF5"/>
    <w:rsid w:val="002067A3"/>
    <w:rsid w:val="00206BD7"/>
    <w:rsid w:val="00207489"/>
    <w:rsid w:val="00207561"/>
    <w:rsid w:val="00210614"/>
    <w:rsid w:val="002106A3"/>
    <w:rsid w:val="0021156B"/>
    <w:rsid w:val="0021185B"/>
    <w:rsid w:val="00211DEF"/>
    <w:rsid w:val="0021217B"/>
    <w:rsid w:val="00212BFB"/>
    <w:rsid w:val="00213260"/>
    <w:rsid w:val="002132F2"/>
    <w:rsid w:val="00213484"/>
    <w:rsid w:val="002136A4"/>
    <w:rsid w:val="002137B4"/>
    <w:rsid w:val="00213982"/>
    <w:rsid w:val="00213A8C"/>
    <w:rsid w:val="00213B7F"/>
    <w:rsid w:val="002141DB"/>
    <w:rsid w:val="00214C33"/>
    <w:rsid w:val="00214E9B"/>
    <w:rsid w:val="00214EDC"/>
    <w:rsid w:val="00215509"/>
    <w:rsid w:val="002155B0"/>
    <w:rsid w:val="00215CB8"/>
    <w:rsid w:val="00215F61"/>
    <w:rsid w:val="00216326"/>
    <w:rsid w:val="00216E9F"/>
    <w:rsid w:val="002170CD"/>
    <w:rsid w:val="00217134"/>
    <w:rsid w:val="0021746C"/>
    <w:rsid w:val="00217760"/>
    <w:rsid w:val="00217FCF"/>
    <w:rsid w:val="00220271"/>
    <w:rsid w:val="002207D7"/>
    <w:rsid w:val="002213BF"/>
    <w:rsid w:val="00221995"/>
    <w:rsid w:val="00222248"/>
    <w:rsid w:val="00222356"/>
    <w:rsid w:val="002228E0"/>
    <w:rsid w:val="00222B52"/>
    <w:rsid w:val="00222C17"/>
    <w:rsid w:val="00222EEA"/>
    <w:rsid w:val="002232EA"/>
    <w:rsid w:val="00223352"/>
    <w:rsid w:val="002234BB"/>
    <w:rsid w:val="0022399D"/>
    <w:rsid w:val="00223BF6"/>
    <w:rsid w:val="00223C62"/>
    <w:rsid w:val="0022419B"/>
    <w:rsid w:val="002246E4"/>
    <w:rsid w:val="00224B77"/>
    <w:rsid w:val="0022502C"/>
    <w:rsid w:val="00225480"/>
    <w:rsid w:val="002256FB"/>
    <w:rsid w:val="00225B5B"/>
    <w:rsid w:val="00226356"/>
    <w:rsid w:val="00226848"/>
    <w:rsid w:val="00227B95"/>
    <w:rsid w:val="00227E09"/>
    <w:rsid w:val="00227F23"/>
    <w:rsid w:val="002305CA"/>
    <w:rsid w:val="00230B3A"/>
    <w:rsid w:val="00231A97"/>
    <w:rsid w:val="00231D3D"/>
    <w:rsid w:val="002322CC"/>
    <w:rsid w:val="00232817"/>
    <w:rsid w:val="00232F6A"/>
    <w:rsid w:val="00233201"/>
    <w:rsid w:val="00233964"/>
    <w:rsid w:val="00233B3D"/>
    <w:rsid w:val="00233C56"/>
    <w:rsid w:val="00233DBA"/>
    <w:rsid w:val="00233DCA"/>
    <w:rsid w:val="00233FB3"/>
    <w:rsid w:val="0023419B"/>
    <w:rsid w:val="00234718"/>
    <w:rsid w:val="0023481C"/>
    <w:rsid w:val="00234917"/>
    <w:rsid w:val="00234AB7"/>
    <w:rsid w:val="00234ACA"/>
    <w:rsid w:val="00235323"/>
    <w:rsid w:val="0023543F"/>
    <w:rsid w:val="002359B7"/>
    <w:rsid w:val="00235BBE"/>
    <w:rsid w:val="00236268"/>
    <w:rsid w:val="00236F7E"/>
    <w:rsid w:val="0023700A"/>
    <w:rsid w:val="0023710C"/>
    <w:rsid w:val="00237421"/>
    <w:rsid w:val="00237910"/>
    <w:rsid w:val="00237B8F"/>
    <w:rsid w:val="00237E5D"/>
    <w:rsid w:val="002401C4"/>
    <w:rsid w:val="00240ACF"/>
    <w:rsid w:val="002415A4"/>
    <w:rsid w:val="0024194D"/>
    <w:rsid w:val="002421D2"/>
    <w:rsid w:val="00242852"/>
    <w:rsid w:val="002428FA"/>
    <w:rsid w:val="0024294C"/>
    <w:rsid w:val="0024301A"/>
    <w:rsid w:val="00243974"/>
    <w:rsid w:val="00244269"/>
    <w:rsid w:val="0024448F"/>
    <w:rsid w:val="00244640"/>
    <w:rsid w:val="002447D1"/>
    <w:rsid w:val="00244B8C"/>
    <w:rsid w:val="00245078"/>
    <w:rsid w:val="00245405"/>
    <w:rsid w:val="00245CD4"/>
    <w:rsid w:val="00245E00"/>
    <w:rsid w:val="0024610C"/>
    <w:rsid w:val="00246160"/>
    <w:rsid w:val="002466BD"/>
    <w:rsid w:val="002469D9"/>
    <w:rsid w:val="00246CFC"/>
    <w:rsid w:val="002473D9"/>
    <w:rsid w:val="00250659"/>
    <w:rsid w:val="00250974"/>
    <w:rsid w:val="00250B32"/>
    <w:rsid w:val="00250CAD"/>
    <w:rsid w:val="002512E6"/>
    <w:rsid w:val="00251549"/>
    <w:rsid w:val="0025268F"/>
    <w:rsid w:val="00252D16"/>
    <w:rsid w:val="00252D23"/>
    <w:rsid w:val="002530DE"/>
    <w:rsid w:val="00253819"/>
    <w:rsid w:val="00253EAA"/>
    <w:rsid w:val="00254318"/>
    <w:rsid w:val="00254346"/>
    <w:rsid w:val="002545D0"/>
    <w:rsid w:val="00254675"/>
    <w:rsid w:val="0025478A"/>
    <w:rsid w:val="00254B81"/>
    <w:rsid w:val="00254B94"/>
    <w:rsid w:val="00254F79"/>
    <w:rsid w:val="0025562F"/>
    <w:rsid w:val="002556B0"/>
    <w:rsid w:val="002559C4"/>
    <w:rsid w:val="00256107"/>
    <w:rsid w:val="00256112"/>
    <w:rsid w:val="002561B9"/>
    <w:rsid w:val="00256910"/>
    <w:rsid w:val="00256A20"/>
    <w:rsid w:val="00256BD5"/>
    <w:rsid w:val="0025710B"/>
    <w:rsid w:val="002572A0"/>
    <w:rsid w:val="002578E4"/>
    <w:rsid w:val="00257D26"/>
    <w:rsid w:val="0026038F"/>
    <w:rsid w:val="00260505"/>
    <w:rsid w:val="00260A58"/>
    <w:rsid w:val="00260F2F"/>
    <w:rsid w:val="00260FFB"/>
    <w:rsid w:val="00261136"/>
    <w:rsid w:val="0026114F"/>
    <w:rsid w:val="00261773"/>
    <w:rsid w:val="00261945"/>
    <w:rsid w:val="002619B0"/>
    <w:rsid w:val="00261D71"/>
    <w:rsid w:val="002629E3"/>
    <w:rsid w:val="00263292"/>
    <w:rsid w:val="00263639"/>
    <w:rsid w:val="00263B27"/>
    <w:rsid w:val="00263B5F"/>
    <w:rsid w:val="00263D78"/>
    <w:rsid w:val="00266154"/>
    <w:rsid w:val="002664E4"/>
    <w:rsid w:val="0026672F"/>
    <w:rsid w:val="00266861"/>
    <w:rsid w:val="002668C3"/>
    <w:rsid w:val="00267593"/>
    <w:rsid w:val="00267AFE"/>
    <w:rsid w:val="00270074"/>
    <w:rsid w:val="002700DF"/>
    <w:rsid w:val="002703D3"/>
    <w:rsid w:val="002714DB"/>
    <w:rsid w:val="00271512"/>
    <w:rsid w:val="002716E7"/>
    <w:rsid w:val="00271DE0"/>
    <w:rsid w:val="00272278"/>
    <w:rsid w:val="002728E0"/>
    <w:rsid w:val="00272B0B"/>
    <w:rsid w:val="0027314E"/>
    <w:rsid w:val="00274028"/>
    <w:rsid w:val="002752D3"/>
    <w:rsid w:val="00275417"/>
    <w:rsid w:val="00275F4F"/>
    <w:rsid w:val="002768FA"/>
    <w:rsid w:val="00276A6E"/>
    <w:rsid w:val="00277CF7"/>
    <w:rsid w:val="00277D01"/>
    <w:rsid w:val="00277DC1"/>
    <w:rsid w:val="002802F6"/>
    <w:rsid w:val="00280460"/>
    <w:rsid w:val="00280C9A"/>
    <w:rsid w:val="00280DBF"/>
    <w:rsid w:val="00280FF6"/>
    <w:rsid w:val="002810F7"/>
    <w:rsid w:val="00281290"/>
    <w:rsid w:val="002819E3"/>
    <w:rsid w:val="00281C51"/>
    <w:rsid w:val="002822C0"/>
    <w:rsid w:val="002825E6"/>
    <w:rsid w:val="00282612"/>
    <w:rsid w:val="00282744"/>
    <w:rsid w:val="00282B32"/>
    <w:rsid w:val="00282B67"/>
    <w:rsid w:val="00282C87"/>
    <w:rsid w:val="00283196"/>
    <w:rsid w:val="00283306"/>
    <w:rsid w:val="00283CF4"/>
    <w:rsid w:val="00283FAE"/>
    <w:rsid w:val="002841FC"/>
    <w:rsid w:val="00284396"/>
    <w:rsid w:val="002845E4"/>
    <w:rsid w:val="00284831"/>
    <w:rsid w:val="00284BC7"/>
    <w:rsid w:val="00284C9C"/>
    <w:rsid w:val="00284E56"/>
    <w:rsid w:val="00284E5D"/>
    <w:rsid w:val="00285040"/>
    <w:rsid w:val="002856A9"/>
    <w:rsid w:val="00285861"/>
    <w:rsid w:val="00286645"/>
    <w:rsid w:val="002867BB"/>
    <w:rsid w:val="00286990"/>
    <w:rsid w:val="002872F8"/>
    <w:rsid w:val="0028785A"/>
    <w:rsid w:val="00287B0A"/>
    <w:rsid w:val="00290EF8"/>
    <w:rsid w:val="002910A8"/>
    <w:rsid w:val="0029152D"/>
    <w:rsid w:val="00292008"/>
    <w:rsid w:val="0029211B"/>
    <w:rsid w:val="00292657"/>
    <w:rsid w:val="002926B9"/>
    <w:rsid w:val="0029300E"/>
    <w:rsid w:val="0029324C"/>
    <w:rsid w:val="002934B6"/>
    <w:rsid w:val="0029358F"/>
    <w:rsid w:val="00293E30"/>
    <w:rsid w:val="00293FCA"/>
    <w:rsid w:val="00294196"/>
    <w:rsid w:val="002941A3"/>
    <w:rsid w:val="002946A3"/>
    <w:rsid w:val="002948A5"/>
    <w:rsid w:val="002948D3"/>
    <w:rsid w:val="002949BA"/>
    <w:rsid w:val="00294B20"/>
    <w:rsid w:val="0029611E"/>
    <w:rsid w:val="002963B1"/>
    <w:rsid w:val="0029654B"/>
    <w:rsid w:val="00296B88"/>
    <w:rsid w:val="00297017"/>
    <w:rsid w:val="0029707B"/>
    <w:rsid w:val="00297509"/>
    <w:rsid w:val="00297AE6"/>
    <w:rsid w:val="002A00D1"/>
    <w:rsid w:val="002A025E"/>
    <w:rsid w:val="002A07F9"/>
    <w:rsid w:val="002A08D1"/>
    <w:rsid w:val="002A0E4C"/>
    <w:rsid w:val="002A0FE1"/>
    <w:rsid w:val="002A1722"/>
    <w:rsid w:val="002A1849"/>
    <w:rsid w:val="002A1A7B"/>
    <w:rsid w:val="002A1F8C"/>
    <w:rsid w:val="002A23C8"/>
    <w:rsid w:val="002A2771"/>
    <w:rsid w:val="002A2B24"/>
    <w:rsid w:val="002A2BD7"/>
    <w:rsid w:val="002A2D92"/>
    <w:rsid w:val="002A2EEA"/>
    <w:rsid w:val="002A3ADF"/>
    <w:rsid w:val="002A405E"/>
    <w:rsid w:val="002A42BA"/>
    <w:rsid w:val="002A431F"/>
    <w:rsid w:val="002A437F"/>
    <w:rsid w:val="002A43E1"/>
    <w:rsid w:val="002A488D"/>
    <w:rsid w:val="002A4934"/>
    <w:rsid w:val="002A4BD1"/>
    <w:rsid w:val="002A4BF8"/>
    <w:rsid w:val="002A4DA5"/>
    <w:rsid w:val="002A509A"/>
    <w:rsid w:val="002A52EC"/>
    <w:rsid w:val="002A56F3"/>
    <w:rsid w:val="002A58E5"/>
    <w:rsid w:val="002A5A1E"/>
    <w:rsid w:val="002A5B74"/>
    <w:rsid w:val="002A5E0F"/>
    <w:rsid w:val="002A5EE2"/>
    <w:rsid w:val="002A6026"/>
    <w:rsid w:val="002A610A"/>
    <w:rsid w:val="002A63CA"/>
    <w:rsid w:val="002A66DC"/>
    <w:rsid w:val="002A6AB8"/>
    <w:rsid w:val="002A71B9"/>
    <w:rsid w:val="002A71E5"/>
    <w:rsid w:val="002A7384"/>
    <w:rsid w:val="002B085C"/>
    <w:rsid w:val="002B0C69"/>
    <w:rsid w:val="002B0FA3"/>
    <w:rsid w:val="002B149E"/>
    <w:rsid w:val="002B1953"/>
    <w:rsid w:val="002B20E3"/>
    <w:rsid w:val="002B24EE"/>
    <w:rsid w:val="002B2FAF"/>
    <w:rsid w:val="002B366A"/>
    <w:rsid w:val="002B380B"/>
    <w:rsid w:val="002B38CA"/>
    <w:rsid w:val="002B3951"/>
    <w:rsid w:val="002B3E76"/>
    <w:rsid w:val="002B40E3"/>
    <w:rsid w:val="002B410A"/>
    <w:rsid w:val="002B4251"/>
    <w:rsid w:val="002B4276"/>
    <w:rsid w:val="002B4CF9"/>
    <w:rsid w:val="002B558B"/>
    <w:rsid w:val="002B6321"/>
    <w:rsid w:val="002B7689"/>
    <w:rsid w:val="002B77C7"/>
    <w:rsid w:val="002B78CA"/>
    <w:rsid w:val="002C0241"/>
    <w:rsid w:val="002C0401"/>
    <w:rsid w:val="002C07A5"/>
    <w:rsid w:val="002C07C4"/>
    <w:rsid w:val="002C086E"/>
    <w:rsid w:val="002C0A9D"/>
    <w:rsid w:val="002C0AD5"/>
    <w:rsid w:val="002C0B8E"/>
    <w:rsid w:val="002C0F12"/>
    <w:rsid w:val="002C1BA8"/>
    <w:rsid w:val="002C20B1"/>
    <w:rsid w:val="002C210E"/>
    <w:rsid w:val="002C2216"/>
    <w:rsid w:val="002C2A20"/>
    <w:rsid w:val="002C2EB7"/>
    <w:rsid w:val="002C2FB1"/>
    <w:rsid w:val="002C327B"/>
    <w:rsid w:val="002C3834"/>
    <w:rsid w:val="002C42E4"/>
    <w:rsid w:val="002C4300"/>
    <w:rsid w:val="002C472C"/>
    <w:rsid w:val="002C48D8"/>
    <w:rsid w:val="002C54B0"/>
    <w:rsid w:val="002C570B"/>
    <w:rsid w:val="002C5B44"/>
    <w:rsid w:val="002C5D62"/>
    <w:rsid w:val="002C64AF"/>
    <w:rsid w:val="002C67A9"/>
    <w:rsid w:val="002C686E"/>
    <w:rsid w:val="002C6C13"/>
    <w:rsid w:val="002C6E95"/>
    <w:rsid w:val="002C6F2B"/>
    <w:rsid w:val="002C7278"/>
    <w:rsid w:val="002C747F"/>
    <w:rsid w:val="002C7724"/>
    <w:rsid w:val="002C7EB9"/>
    <w:rsid w:val="002C7FE2"/>
    <w:rsid w:val="002D09B1"/>
    <w:rsid w:val="002D1C17"/>
    <w:rsid w:val="002D1C46"/>
    <w:rsid w:val="002D1E02"/>
    <w:rsid w:val="002D1E13"/>
    <w:rsid w:val="002D1E48"/>
    <w:rsid w:val="002D1E93"/>
    <w:rsid w:val="002D2055"/>
    <w:rsid w:val="002D20C5"/>
    <w:rsid w:val="002D29D9"/>
    <w:rsid w:val="002D2C7C"/>
    <w:rsid w:val="002D2DC8"/>
    <w:rsid w:val="002D37FE"/>
    <w:rsid w:val="002D3BB5"/>
    <w:rsid w:val="002D3D27"/>
    <w:rsid w:val="002D3EC0"/>
    <w:rsid w:val="002D4B28"/>
    <w:rsid w:val="002D4F10"/>
    <w:rsid w:val="002D5496"/>
    <w:rsid w:val="002D54B6"/>
    <w:rsid w:val="002D5F26"/>
    <w:rsid w:val="002D6242"/>
    <w:rsid w:val="002D68B1"/>
    <w:rsid w:val="002D6997"/>
    <w:rsid w:val="002D71CE"/>
    <w:rsid w:val="002D7379"/>
    <w:rsid w:val="002D7466"/>
    <w:rsid w:val="002D75F3"/>
    <w:rsid w:val="002E0124"/>
    <w:rsid w:val="002E019E"/>
    <w:rsid w:val="002E042F"/>
    <w:rsid w:val="002E059C"/>
    <w:rsid w:val="002E0CAA"/>
    <w:rsid w:val="002E0D95"/>
    <w:rsid w:val="002E0EFE"/>
    <w:rsid w:val="002E1072"/>
    <w:rsid w:val="002E16A2"/>
    <w:rsid w:val="002E1761"/>
    <w:rsid w:val="002E1EA6"/>
    <w:rsid w:val="002E1FA9"/>
    <w:rsid w:val="002E2263"/>
    <w:rsid w:val="002E351B"/>
    <w:rsid w:val="002E36A2"/>
    <w:rsid w:val="002E393E"/>
    <w:rsid w:val="002E3F79"/>
    <w:rsid w:val="002E42A3"/>
    <w:rsid w:val="002E4B88"/>
    <w:rsid w:val="002E5007"/>
    <w:rsid w:val="002E50E7"/>
    <w:rsid w:val="002E52C0"/>
    <w:rsid w:val="002E5449"/>
    <w:rsid w:val="002E58A9"/>
    <w:rsid w:val="002E5FFE"/>
    <w:rsid w:val="002E617F"/>
    <w:rsid w:val="002E63DF"/>
    <w:rsid w:val="002E643D"/>
    <w:rsid w:val="002E6851"/>
    <w:rsid w:val="002E6FA3"/>
    <w:rsid w:val="002E71BC"/>
    <w:rsid w:val="002E7500"/>
    <w:rsid w:val="002E7966"/>
    <w:rsid w:val="002E796C"/>
    <w:rsid w:val="002E7E5A"/>
    <w:rsid w:val="002F0166"/>
    <w:rsid w:val="002F0BFF"/>
    <w:rsid w:val="002F0D25"/>
    <w:rsid w:val="002F1055"/>
    <w:rsid w:val="002F1582"/>
    <w:rsid w:val="002F1DC8"/>
    <w:rsid w:val="002F1E5C"/>
    <w:rsid w:val="002F20AB"/>
    <w:rsid w:val="002F27B8"/>
    <w:rsid w:val="002F3002"/>
    <w:rsid w:val="002F32C9"/>
    <w:rsid w:val="002F35FF"/>
    <w:rsid w:val="002F37C7"/>
    <w:rsid w:val="002F3F24"/>
    <w:rsid w:val="002F3FE0"/>
    <w:rsid w:val="002F4314"/>
    <w:rsid w:val="002F594E"/>
    <w:rsid w:val="002F6308"/>
    <w:rsid w:val="002F6371"/>
    <w:rsid w:val="002F653E"/>
    <w:rsid w:val="002F67C2"/>
    <w:rsid w:val="002F686B"/>
    <w:rsid w:val="002F7118"/>
    <w:rsid w:val="002F778B"/>
    <w:rsid w:val="002F79A4"/>
    <w:rsid w:val="002F7F08"/>
    <w:rsid w:val="00300475"/>
    <w:rsid w:val="003008C1"/>
    <w:rsid w:val="003011B9"/>
    <w:rsid w:val="00301CA4"/>
    <w:rsid w:val="00301E99"/>
    <w:rsid w:val="003020CC"/>
    <w:rsid w:val="00302568"/>
    <w:rsid w:val="00302639"/>
    <w:rsid w:val="00302965"/>
    <w:rsid w:val="00302BEF"/>
    <w:rsid w:val="00302DA8"/>
    <w:rsid w:val="00303433"/>
    <w:rsid w:val="00303E7F"/>
    <w:rsid w:val="003047E7"/>
    <w:rsid w:val="00304865"/>
    <w:rsid w:val="00304AD3"/>
    <w:rsid w:val="00304B36"/>
    <w:rsid w:val="003051C2"/>
    <w:rsid w:val="00305318"/>
    <w:rsid w:val="003056CE"/>
    <w:rsid w:val="00306812"/>
    <w:rsid w:val="00306A18"/>
    <w:rsid w:val="00307057"/>
    <w:rsid w:val="00307194"/>
    <w:rsid w:val="003073E1"/>
    <w:rsid w:val="00307938"/>
    <w:rsid w:val="00310018"/>
    <w:rsid w:val="003111B7"/>
    <w:rsid w:val="00311200"/>
    <w:rsid w:val="0031170C"/>
    <w:rsid w:val="003119BD"/>
    <w:rsid w:val="00311FCD"/>
    <w:rsid w:val="003122EF"/>
    <w:rsid w:val="003129B9"/>
    <w:rsid w:val="00312A21"/>
    <w:rsid w:val="00312B36"/>
    <w:rsid w:val="00312D13"/>
    <w:rsid w:val="0031309A"/>
    <w:rsid w:val="00313468"/>
    <w:rsid w:val="003136DA"/>
    <w:rsid w:val="00313A90"/>
    <w:rsid w:val="00313D0B"/>
    <w:rsid w:val="00313E88"/>
    <w:rsid w:val="00313FAB"/>
    <w:rsid w:val="003146AF"/>
    <w:rsid w:val="0031483E"/>
    <w:rsid w:val="00314A5E"/>
    <w:rsid w:val="00314E4B"/>
    <w:rsid w:val="003151B7"/>
    <w:rsid w:val="0031525C"/>
    <w:rsid w:val="00316096"/>
    <w:rsid w:val="00316253"/>
    <w:rsid w:val="0031654F"/>
    <w:rsid w:val="0031688C"/>
    <w:rsid w:val="00316A37"/>
    <w:rsid w:val="00316D27"/>
    <w:rsid w:val="0031721E"/>
    <w:rsid w:val="00317557"/>
    <w:rsid w:val="0031769C"/>
    <w:rsid w:val="003179B0"/>
    <w:rsid w:val="00320053"/>
    <w:rsid w:val="003206B7"/>
    <w:rsid w:val="003209A4"/>
    <w:rsid w:val="0032122D"/>
    <w:rsid w:val="003216B9"/>
    <w:rsid w:val="00321E5E"/>
    <w:rsid w:val="00321EC1"/>
    <w:rsid w:val="00322177"/>
    <w:rsid w:val="003222B3"/>
    <w:rsid w:val="00322785"/>
    <w:rsid w:val="00322B53"/>
    <w:rsid w:val="00322C71"/>
    <w:rsid w:val="00322C99"/>
    <w:rsid w:val="003230B0"/>
    <w:rsid w:val="0032335B"/>
    <w:rsid w:val="0032356E"/>
    <w:rsid w:val="00324078"/>
    <w:rsid w:val="00324148"/>
    <w:rsid w:val="003243F4"/>
    <w:rsid w:val="003244EA"/>
    <w:rsid w:val="0032450E"/>
    <w:rsid w:val="003247F0"/>
    <w:rsid w:val="0032551F"/>
    <w:rsid w:val="00325BC0"/>
    <w:rsid w:val="00325D82"/>
    <w:rsid w:val="00325DFC"/>
    <w:rsid w:val="0032642E"/>
    <w:rsid w:val="003268F7"/>
    <w:rsid w:val="00326D79"/>
    <w:rsid w:val="00326F8B"/>
    <w:rsid w:val="003270CA"/>
    <w:rsid w:val="00327A5C"/>
    <w:rsid w:val="00327E28"/>
    <w:rsid w:val="00327FB9"/>
    <w:rsid w:val="003305DB"/>
    <w:rsid w:val="00330D58"/>
    <w:rsid w:val="00331C6E"/>
    <w:rsid w:val="00331F54"/>
    <w:rsid w:val="003320E3"/>
    <w:rsid w:val="003324CE"/>
    <w:rsid w:val="00332F3A"/>
    <w:rsid w:val="00333785"/>
    <w:rsid w:val="00333C3D"/>
    <w:rsid w:val="00333C5F"/>
    <w:rsid w:val="00333D9D"/>
    <w:rsid w:val="00333E8F"/>
    <w:rsid w:val="00334057"/>
    <w:rsid w:val="00334B4B"/>
    <w:rsid w:val="00334ED2"/>
    <w:rsid w:val="00335191"/>
    <w:rsid w:val="00335401"/>
    <w:rsid w:val="0033571C"/>
    <w:rsid w:val="00335A96"/>
    <w:rsid w:val="003360A7"/>
    <w:rsid w:val="003364C8"/>
    <w:rsid w:val="00336BB6"/>
    <w:rsid w:val="00336C51"/>
    <w:rsid w:val="00336CD0"/>
    <w:rsid w:val="003370E5"/>
    <w:rsid w:val="003373EE"/>
    <w:rsid w:val="0033769B"/>
    <w:rsid w:val="00337EF0"/>
    <w:rsid w:val="00340322"/>
    <w:rsid w:val="003403F7"/>
    <w:rsid w:val="00341594"/>
    <w:rsid w:val="00341940"/>
    <w:rsid w:val="003421E5"/>
    <w:rsid w:val="003422F2"/>
    <w:rsid w:val="003428B0"/>
    <w:rsid w:val="00342BC2"/>
    <w:rsid w:val="00342BF5"/>
    <w:rsid w:val="00342C0A"/>
    <w:rsid w:val="00342C36"/>
    <w:rsid w:val="00342D18"/>
    <w:rsid w:val="00343A41"/>
    <w:rsid w:val="003448EE"/>
    <w:rsid w:val="00344EDD"/>
    <w:rsid w:val="00345400"/>
    <w:rsid w:val="00345481"/>
    <w:rsid w:val="00345AD9"/>
    <w:rsid w:val="00345D90"/>
    <w:rsid w:val="00346187"/>
    <w:rsid w:val="003465DE"/>
    <w:rsid w:val="003470B2"/>
    <w:rsid w:val="00347127"/>
    <w:rsid w:val="003472EC"/>
    <w:rsid w:val="00347DB9"/>
    <w:rsid w:val="00350BA7"/>
    <w:rsid w:val="00350FCE"/>
    <w:rsid w:val="003512E4"/>
    <w:rsid w:val="00351727"/>
    <w:rsid w:val="00351CEC"/>
    <w:rsid w:val="00351DC0"/>
    <w:rsid w:val="0035275F"/>
    <w:rsid w:val="00352921"/>
    <w:rsid w:val="00352AD0"/>
    <w:rsid w:val="00352BB1"/>
    <w:rsid w:val="00353B15"/>
    <w:rsid w:val="00353F2E"/>
    <w:rsid w:val="00354430"/>
    <w:rsid w:val="0035467B"/>
    <w:rsid w:val="003546C3"/>
    <w:rsid w:val="00354963"/>
    <w:rsid w:val="00354A24"/>
    <w:rsid w:val="00354AD7"/>
    <w:rsid w:val="003558F0"/>
    <w:rsid w:val="00355BF4"/>
    <w:rsid w:val="00355EB0"/>
    <w:rsid w:val="00356A62"/>
    <w:rsid w:val="00357656"/>
    <w:rsid w:val="00357ECB"/>
    <w:rsid w:val="0036043A"/>
    <w:rsid w:val="00360CE6"/>
    <w:rsid w:val="00361349"/>
    <w:rsid w:val="00362341"/>
    <w:rsid w:val="003623B1"/>
    <w:rsid w:val="0036248A"/>
    <w:rsid w:val="00362A17"/>
    <w:rsid w:val="00362EBE"/>
    <w:rsid w:val="00362FEC"/>
    <w:rsid w:val="0036332D"/>
    <w:rsid w:val="0036343F"/>
    <w:rsid w:val="00363705"/>
    <w:rsid w:val="003639AD"/>
    <w:rsid w:val="00363C26"/>
    <w:rsid w:val="00363CFC"/>
    <w:rsid w:val="00363FE2"/>
    <w:rsid w:val="003645A5"/>
    <w:rsid w:val="00364696"/>
    <w:rsid w:val="003646CD"/>
    <w:rsid w:val="00364D68"/>
    <w:rsid w:val="003652DB"/>
    <w:rsid w:val="00365572"/>
    <w:rsid w:val="00365610"/>
    <w:rsid w:val="00365E97"/>
    <w:rsid w:val="00366D62"/>
    <w:rsid w:val="00366ECB"/>
    <w:rsid w:val="00366F56"/>
    <w:rsid w:val="00367374"/>
    <w:rsid w:val="00367602"/>
    <w:rsid w:val="0036767D"/>
    <w:rsid w:val="0036794C"/>
    <w:rsid w:val="00367E44"/>
    <w:rsid w:val="00367E9B"/>
    <w:rsid w:val="00370380"/>
    <w:rsid w:val="00370409"/>
    <w:rsid w:val="00371666"/>
    <w:rsid w:val="00371BF7"/>
    <w:rsid w:val="00372259"/>
    <w:rsid w:val="00372E1A"/>
    <w:rsid w:val="003732D4"/>
    <w:rsid w:val="003738D2"/>
    <w:rsid w:val="00373D03"/>
    <w:rsid w:val="00373D94"/>
    <w:rsid w:val="00374159"/>
    <w:rsid w:val="00374225"/>
    <w:rsid w:val="0037452B"/>
    <w:rsid w:val="00374588"/>
    <w:rsid w:val="00374903"/>
    <w:rsid w:val="00374AC7"/>
    <w:rsid w:val="00374FD3"/>
    <w:rsid w:val="0037538E"/>
    <w:rsid w:val="00375861"/>
    <w:rsid w:val="00375AF6"/>
    <w:rsid w:val="00376285"/>
    <w:rsid w:val="00376A5A"/>
    <w:rsid w:val="00376FC2"/>
    <w:rsid w:val="0037723F"/>
    <w:rsid w:val="0037765B"/>
    <w:rsid w:val="00377B34"/>
    <w:rsid w:val="00377CA8"/>
    <w:rsid w:val="00377D7F"/>
    <w:rsid w:val="00377FB1"/>
    <w:rsid w:val="00380273"/>
    <w:rsid w:val="003803DB"/>
    <w:rsid w:val="00380E90"/>
    <w:rsid w:val="0038193C"/>
    <w:rsid w:val="00381BA0"/>
    <w:rsid w:val="00381E4A"/>
    <w:rsid w:val="0038228F"/>
    <w:rsid w:val="00382507"/>
    <w:rsid w:val="00382849"/>
    <w:rsid w:val="00382AA9"/>
    <w:rsid w:val="0038324F"/>
    <w:rsid w:val="003834E8"/>
    <w:rsid w:val="003837D4"/>
    <w:rsid w:val="00383851"/>
    <w:rsid w:val="00383A15"/>
    <w:rsid w:val="00383C71"/>
    <w:rsid w:val="00384045"/>
    <w:rsid w:val="0038418E"/>
    <w:rsid w:val="00384419"/>
    <w:rsid w:val="00384AE0"/>
    <w:rsid w:val="00384BEA"/>
    <w:rsid w:val="00384C41"/>
    <w:rsid w:val="00384D19"/>
    <w:rsid w:val="00384EC2"/>
    <w:rsid w:val="00385163"/>
    <w:rsid w:val="00385897"/>
    <w:rsid w:val="0038599D"/>
    <w:rsid w:val="00385F53"/>
    <w:rsid w:val="00386AC6"/>
    <w:rsid w:val="00386AF5"/>
    <w:rsid w:val="00386E35"/>
    <w:rsid w:val="00386ED7"/>
    <w:rsid w:val="003870B5"/>
    <w:rsid w:val="0038744B"/>
    <w:rsid w:val="00387D94"/>
    <w:rsid w:val="00390089"/>
    <w:rsid w:val="0039029A"/>
    <w:rsid w:val="00390C8F"/>
    <w:rsid w:val="00390D47"/>
    <w:rsid w:val="00390FA4"/>
    <w:rsid w:val="00391169"/>
    <w:rsid w:val="003911BE"/>
    <w:rsid w:val="00391328"/>
    <w:rsid w:val="00391950"/>
    <w:rsid w:val="00391B8D"/>
    <w:rsid w:val="00392174"/>
    <w:rsid w:val="00392E05"/>
    <w:rsid w:val="00393062"/>
    <w:rsid w:val="0039309F"/>
    <w:rsid w:val="003931AE"/>
    <w:rsid w:val="003932E5"/>
    <w:rsid w:val="0039416C"/>
    <w:rsid w:val="00394272"/>
    <w:rsid w:val="00394656"/>
    <w:rsid w:val="003947CC"/>
    <w:rsid w:val="00394811"/>
    <w:rsid w:val="00394F9B"/>
    <w:rsid w:val="00395B7D"/>
    <w:rsid w:val="00395FD6"/>
    <w:rsid w:val="003960EE"/>
    <w:rsid w:val="0039640C"/>
    <w:rsid w:val="00396A55"/>
    <w:rsid w:val="00396D1F"/>
    <w:rsid w:val="003973A5"/>
    <w:rsid w:val="0039784A"/>
    <w:rsid w:val="00397865"/>
    <w:rsid w:val="00397CA5"/>
    <w:rsid w:val="00397CEB"/>
    <w:rsid w:val="00397D68"/>
    <w:rsid w:val="00397F1C"/>
    <w:rsid w:val="003A0201"/>
    <w:rsid w:val="003A0711"/>
    <w:rsid w:val="003A079A"/>
    <w:rsid w:val="003A0825"/>
    <w:rsid w:val="003A0A0E"/>
    <w:rsid w:val="003A1076"/>
    <w:rsid w:val="003A13DE"/>
    <w:rsid w:val="003A1769"/>
    <w:rsid w:val="003A1878"/>
    <w:rsid w:val="003A19B4"/>
    <w:rsid w:val="003A1CB8"/>
    <w:rsid w:val="003A1CCF"/>
    <w:rsid w:val="003A21C6"/>
    <w:rsid w:val="003A27C0"/>
    <w:rsid w:val="003A2ACD"/>
    <w:rsid w:val="003A33DF"/>
    <w:rsid w:val="003A39E1"/>
    <w:rsid w:val="003A3B0D"/>
    <w:rsid w:val="003A46D5"/>
    <w:rsid w:val="003A498E"/>
    <w:rsid w:val="003A4F13"/>
    <w:rsid w:val="003A5617"/>
    <w:rsid w:val="003A5819"/>
    <w:rsid w:val="003A6335"/>
    <w:rsid w:val="003A63BA"/>
    <w:rsid w:val="003A63C2"/>
    <w:rsid w:val="003A64B5"/>
    <w:rsid w:val="003A64F4"/>
    <w:rsid w:val="003A65CC"/>
    <w:rsid w:val="003A6733"/>
    <w:rsid w:val="003A6738"/>
    <w:rsid w:val="003A6A8A"/>
    <w:rsid w:val="003A6E35"/>
    <w:rsid w:val="003A6FF9"/>
    <w:rsid w:val="003A70A4"/>
    <w:rsid w:val="003A716E"/>
    <w:rsid w:val="003A71D4"/>
    <w:rsid w:val="003A7305"/>
    <w:rsid w:val="003A7667"/>
    <w:rsid w:val="003A7927"/>
    <w:rsid w:val="003A7C5E"/>
    <w:rsid w:val="003A7EA6"/>
    <w:rsid w:val="003B07F0"/>
    <w:rsid w:val="003B0822"/>
    <w:rsid w:val="003B10AF"/>
    <w:rsid w:val="003B121C"/>
    <w:rsid w:val="003B16E2"/>
    <w:rsid w:val="003B1D7B"/>
    <w:rsid w:val="003B2440"/>
    <w:rsid w:val="003B2976"/>
    <w:rsid w:val="003B3811"/>
    <w:rsid w:val="003B3A4B"/>
    <w:rsid w:val="003B3B3C"/>
    <w:rsid w:val="003B3C92"/>
    <w:rsid w:val="003B40AE"/>
    <w:rsid w:val="003B41C0"/>
    <w:rsid w:val="003B4484"/>
    <w:rsid w:val="003B48E8"/>
    <w:rsid w:val="003B4B00"/>
    <w:rsid w:val="003B4F3A"/>
    <w:rsid w:val="003B531E"/>
    <w:rsid w:val="003B5556"/>
    <w:rsid w:val="003B5938"/>
    <w:rsid w:val="003B5AA2"/>
    <w:rsid w:val="003B5C3E"/>
    <w:rsid w:val="003B5D1B"/>
    <w:rsid w:val="003B5DC7"/>
    <w:rsid w:val="003B5E42"/>
    <w:rsid w:val="003B6469"/>
    <w:rsid w:val="003B64C4"/>
    <w:rsid w:val="003B741A"/>
    <w:rsid w:val="003B784F"/>
    <w:rsid w:val="003B7ABA"/>
    <w:rsid w:val="003B7B80"/>
    <w:rsid w:val="003B7EAD"/>
    <w:rsid w:val="003C0305"/>
    <w:rsid w:val="003C11EA"/>
    <w:rsid w:val="003C15D6"/>
    <w:rsid w:val="003C1EE0"/>
    <w:rsid w:val="003C2740"/>
    <w:rsid w:val="003C2E34"/>
    <w:rsid w:val="003C308B"/>
    <w:rsid w:val="003C3184"/>
    <w:rsid w:val="003C32B2"/>
    <w:rsid w:val="003C378F"/>
    <w:rsid w:val="003C37C5"/>
    <w:rsid w:val="003C3842"/>
    <w:rsid w:val="003C3E20"/>
    <w:rsid w:val="003C3E82"/>
    <w:rsid w:val="003C464C"/>
    <w:rsid w:val="003C488C"/>
    <w:rsid w:val="003C49B2"/>
    <w:rsid w:val="003C4A56"/>
    <w:rsid w:val="003C4EDF"/>
    <w:rsid w:val="003C5143"/>
    <w:rsid w:val="003C5474"/>
    <w:rsid w:val="003C5669"/>
    <w:rsid w:val="003C57F5"/>
    <w:rsid w:val="003C5877"/>
    <w:rsid w:val="003C592F"/>
    <w:rsid w:val="003C618E"/>
    <w:rsid w:val="003C69E1"/>
    <w:rsid w:val="003C6A63"/>
    <w:rsid w:val="003C7306"/>
    <w:rsid w:val="003C7668"/>
    <w:rsid w:val="003C7F8B"/>
    <w:rsid w:val="003D013F"/>
    <w:rsid w:val="003D03EA"/>
    <w:rsid w:val="003D0BA5"/>
    <w:rsid w:val="003D0FCA"/>
    <w:rsid w:val="003D1441"/>
    <w:rsid w:val="003D1B12"/>
    <w:rsid w:val="003D1C2C"/>
    <w:rsid w:val="003D2161"/>
    <w:rsid w:val="003D21A4"/>
    <w:rsid w:val="003D23FE"/>
    <w:rsid w:val="003D24D9"/>
    <w:rsid w:val="003D2F6A"/>
    <w:rsid w:val="003D31FB"/>
    <w:rsid w:val="003D3489"/>
    <w:rsid w:val="003D3C4E"/>
    <w:rsid w:val="003D429D"/>
    <w:rsid w:val="003D46E6"/>
    <w:rsid w:val="003D4B88"/>
    <w:rsid w:val="003D54D9"/>
    <w:rsid w:val="003D5C68"/>
    <w:rsid w:val="003D63BD"/>
    <w:rsid w:val="003D679D"/>
    <w:rsid w:val="003D68A2"/>
    <w:rsid w:val="003D6E0D"/>
    <w:rsid w:val="003D71A0"/>
    <w:rsid w:val="003D71B0"/>
    <w:rsid w:val="003D75E6"/>
    <w:rsid w:val="003D767D"/>
    <w:rsid w:val="003D767F"/>
    <w:rsid w:val="003D76C3"/>
    <w:rsid w:val="003E0289"/>
    <w:rsid w:val="003E06A3"/>
    <w:rsid w:val="003E0B68"/>
    <w:rsid w:val="003E0B79"/>
    <w:rsid w:val="003E15EF"/>
    <w:rsid w:val="003E197B"/>
    <w:rsid w:val="003E19ED"/>
    <w:rsid w:val="003E1B90"/>
    <w:rsid w:val="003E23CB"/>
    <w:rsid w:val="003E25D3"/>
    <w:rsid w:val="003E26AC"/>
    <w:rsid w:val="003E2C21"/>
    <w:rsid w:val="003E317A"/>
    <w:rsid w:val="003E3259"/>
    <w:rsid w:val="003E329B"/>
    <w:rsid w:val="003E3394"/>
    <w:rsid w:val="003E342A"/>
    <w:rsid w:val="003E369B"/>
    <w:rsid w:val="003E376C"/>
    <w:rsid w:val="003E389A"/>
    <w:rsid w:val="003E3B86"/>
    <w:rsid w:val="003E3CD3"/>
    <w:rsid w:val="003E4023"/>
    <w:rsid w:val="003E4CE1"/>
    <w:rsid w:val="003E4EA3"/>
    <w:rsid w:val="003E4F46"/>
    <w:rsid w:val="003E58A8"/>
    <w:rsid w:val="003E5CDA"/>
    <w:rsid w:val="003E5D85"/>
    <w:rsid w:val="003E639E"/>
    <w:rsid w:val="003E6EB4"/>
    <w:rsid w:val="003E7696"/>
    <w:rsid w:val="003E7DB3"/>
    <w:rsid w:val="003E7F33"/>
    <w:rsid w:val="003F0CFF"/>
    <w:rsid w:val="003F133F"/>
    <w:rsid w:val="003F1409"/>
    <w:rsid w:val="003F1604"/>
    <w:rsid w:val="003F2152"/>
    <w:rsid w:val="003F224D"/>
    <w:rsid w:val="003F22E6"/>
    <w:rsid w:val="003F261A"/>
    <w:rsid w:val="003F2889"/>
    <w:rsid w:val="003F28EB"/>
    <w:rsid w:val="003F2CFA"/>
    <w:rsid w:val="003F2FCF"/>
    <w:rsid w:val="003F32F9"/>
    <w:rsid w:val="003F3BCC"/>
    <w:rsid w:val="003F3E06"/>
    <w:rsid w:val="003F3FF7"/>
    <w:rsid w:val="003F439B"/>
    <w:rsid w:val="003F48C3"/>
    <w:rsid w:val="003F535E"/>
    <w:rsid w:val="003F56FE"/>
    <w:rsid w:val="003F5BEA"/>
    <w:rsid w:val="003F6523"/>
    <w:rsid w:val="003F713C"/>
    <w:rsid w:val="003F7305"/>
    <w:rsid w:val="003F76F9"/>
    <w:rsid w:val="003F7872"/>
    <w:rsid w:val="003F7DA8"/>
    <w:rsid w:val="003F7E12"/>
    <w:rsid w:val="00400226"/>
    <w:rsid w:val="004003DE"/>
    <w:rsid w:val="004006D3"/>
    <w:rsid w:val="00400951"/>
    <w:rsid w:val="00400AC0"/>
    <w:rsid w:val="004014F3"/>
    <w:rsid w:val="00401538"/>
    <w:rsid w:val="00401571"/>
    <w:rsid w:val="00401EBE"/>
    <w:rsid w:val="0040220B"/>
    <w:rsid w:val="0040230F"/>
    <w:rsid w:val="00402EF9"/>
    <w:rsid w:val="00403616"/>
    <w:rsid w:val="00403B9C"/>
    <w:rsid w:val="00403E67"/>
    <w:rsid w:val="00404505"/>
    <w:rsid w:val="00404943"/>
    <w:rsid w:val="00404C1A"/>
    <w:rsid w:val="004056B3"/>
    <w:rsid w:val="00406530"/>
    <w:rsid w:val="004069F2"/>
    <w:rsid w:val="00406D06"/>
    <w:rsid w:val="00406DCC"/>
    <w:rsid w:val="004075B4"/>
    <w:rsid w:val="00407D3B"/>
    <w:rsid w:val="0040DE55"/>
    <w:rsid w:val="00410515"/>
    <w:rsid w:val="00410765"/>
    <w:rsid w:val="00410794"/>
    <w:rsid w:val="00411C6D"/>
    <w:rsid w:val="00412531"/>
    <w:rsid w:val="0041264A"/>
    <w:rsid w:val="00413B1C"/>
    <w:rsid w:val="00413F6F"/>
    <w:rsid w:val="0041418C"/>
    <w:rsid w:val="0041462E"/>
    <w:rsid w:val="00414648"/>
    <w:rsid w:val="00414E5A"/>
    <w:rsid w:val="00415CCE"/>
    <w:rsid w:val="00415DF4"/>
    <w:rsid w:val="00415E86"/>
    <w:rsid w:val="0041656D"/>
    <w:rsid w:val="00417037"/>
    <w:rsid w:val="00417348"/>
    <w:rsid w:val="004177ED"/>
    <w:rsid w:val="00417817"/>
    <w:rsid w:val="00417D52"/>
    <w:rsid w:val="00417E03"/>
    <w:rsid w:val="00417FDD"/>
    <w:rsid w:val="004200FB"/>
    <w:rsid w:val="0042082A"/>
    <w:rsid w:val="00420A8B"/>
    <w:rsid w:val="004210E1"/>
    <w:rsid w:val="0042132B"/>
    <w:rsid w:val="004218B3"/>
    <w:rsid w:val="00421BB4"/>
    <w:rsid w:val="00422304"/>
    <w:rsid w:val="00422419"/>
    <w:rsid w:val="00422AF1"/>
    <w:rsid w:val="004239D4"/>
    <w:rsid w:val="004243F1"/>
    <w:rsid w:val="0042484D"/>
    <w:rsid w:val="004252AA"/>
    <w:rsid w:val="00425305"/>
    <w:rsid w:val="00425FD8"/>
    <w:rsid w:val="0042628B"/>
    <w:rsid w:val="004262F1"/>
    <w:rsid w:val="00426C59"/>
    <w:rsid w:val="00426FB2"/>
    <w:rsid w:val="0042763B"/>
    <w:rsid w:val="0042773D"/>
    <w:rsid w:val="004279B0"/>
    <w:rsid w:val="00427DEB"/>
    <w:rsid w:val="00430170"/>
    <w:rsid w:val="00430348"/>
    <w:rsid w:val="00430ACB"/>
    <w:rsid w:val="00430F95"/>
    <w:rsid w:val="00431010"/>
    <w:rsid w:val="00431051"/>
    <w:rsid w:val="00431351"/>
    <w:rsid w:val="00431831"/>
    <w:rsid w:val="00431EF0"/>
    <w:rsid w:val="004321E6"/>
    <w:rsid w:val="00432464"/>
    <w:rsid w:val="0043292D"/>
    <w:rsid w:val="00432B1B"/>
    <w:rsid w:val="00432DC5"/>
    <w:rsid w:val="00432F90"/>
    <w:rsid w:val="004337DB"/>
    <w:rsid w:val="00433F42"/>
    <w:rsid w:val="004342C9"/>
    <w:rsid w:val="00434D2D"/>
    <w:rsid w:val="00435004"/>
    <w:rsid w:val="004350CE"/>
    <w:rsid w:val="004350DE"/>
    <w:rsid w:val="0043556F"/>
    <w:rsid w:val="004356CB"/>
    <w:rsid w:val="00435878"/>
    <w:rsid w:val="00436AD7"/>
    <w:rsid w:val="00436C98"/>
    <w:rsid w:val="00437247"/>
    <w:rsid w:val="00437439"/>
    <w:rsid w:val="00437677"/>
    <w:rsid w:val="00440306"/>
    <w:rsid w:val="0044089B"/>
    <w:rsid w:val="00440A31"/>
    <w:rsid w:val="00440AAC"/>
    <w:rsid w:val="00440B52"/>
    <w:rsid w:val="00440F88"/>
    <w:rsid w:val="00441263"/>
    <w:rsid w:val="00441665"/>
    <w:rsid w:val="004416D1"/>
    <w:rsid w:val="00441BBB"/>
    <w:rsid w:val="00441F82"/>
    <w:rsid w:val="00442056"/>
    <w:rsid w:val="0044246B"/>
    <w:rsid w:val="00442647"/>
    <w:rsid w:val="00442783"/>
    <w:rsid w:val="00442D29"/>
    <w:rsid w:val="00443DE8"/>
    <w:rsid w:val="00443E99"/>
    <w:rsid w:val="004447E0"/>
    <w:rsid w:val="00444AA9"/>
    <w:rsid w:val="00444BEC"/>
    <w:rsid w:val="00444EB3"/>
    <w:rsid w:val="00444F54"/>
    <w:rsid w:val="0044620E"/>
    <w:rsid w:val="0044693E"/>
    <w:rsid w:val="00446AC1"/>
    <w:rsid w:val="00446FFF"/>
    <w:rsid w:val="0044746D"/>
    <w:rsid w:val="00447E71"/>
    <w:rsid w:val="00450622"/>
    <w:rsid w:val="004506EB"/>
    <w:rsid w:val="00450A7D"/>
    <w:rsid w:val="00450E10"/>
    <w:rsid w:val="0045121F"/>
    <w:rsid w:val="0045172D"/>
    <w:rsid w:val="0045188C"/>
    <w:rsid w:val="0045229E"/>
    <w:rsid w:val="004527DA"/>
    <w:rsid w:val="00452915"/>
    <w:rsid w:val="0045300B"/>
    <w:rsid w:val="00453278"/>
    <w:rsid w:val="0045327F"/>
    <w:rsid w:val="0045369B"/>
    <w:rsid w:val="00453830"/>
    <w:rsid w:val="00453BB4"/>
    <w:rsid w:val="00454284"/>
    <w:rsid w:val="0045435A"/>
    <w:rsid w:val="0045487F"/>
    <w:rsid w:val="00454A5F"/>
    <w:rsid w:val="00454C68"/>
    <w:rsid w:val="00455FA6"/>
    <w:rsid w:val="00456EEA"/>
    <w:rsid w:val="00457EAE"/>
    <w:rsid w:val="00457EF2"/>
    <w:rsid w:val="00457FCF"/>
    <w:rsid w:val="0046008D"/>
    <w:rsid w:val="004604E2"/>
    <w:rsid w:val="004612FE"/>
    <w:rsid w:val="0046190F"/>
    <w:rsid w:val="00461F1E"/>
    <w:rsid w:val="0046222B"/>
    <w:rsid w:val="004624D0"/>
    <w:rsid w:val="004624D8"/>
    <w:rsid w:val="00462761"/>
    <w:rsid w:val="004627EA"/>
    <w:rsid w:val="0046295D"/>
    <w:rsid w:val="00462F48"/>
    <w:rsid w:val="00463041"/>
    <w:rsid w:val="004630E6"/>
    <w:rsid w:val="00463868"/>
    <w:rsid w:val="00463BE8"/>
    <w:rsid w:val="00463C00"/>
    <w:rsid w:val="00463D5F"/>
    <w:rsid w:val="004640EA"/>
    <w:rsid w:val="00464240"/>
    <w:rsid w:val="0046450A"/>
    <w:rsid w:val="00464DAF"/>
    <w:rsid w:val="00464DC6"/>
    <w:rsid w:val="004651F1"/>
    <w:rsid w:val="0046570B"/>
    <w:rsid w:val="00465BAD"/>
    <w:rsid w:val="00465C4F"/>
    <w:rsid w:val="0046601E"/>
    <w:rsid w:val="00466033"/>
    <w:rsid w:val="0046605A"/>
    <w:rsid w:val="0046625B"/>
    <w:rsid w:val="004663CF"/>
    <w:rsid w:val="00466745"/>
    <w:rsid w:val="0046691A"/>
    <w:rsid w:val="0046694B"/>
    <w:rsid w:val="004669E7"/>
    <w:rsid w:val="00467336"/>
    <w:rsid w:val="0046766F"/>
    <w:rsid w:val="00467CA7"/>
    <w:rsid w:val="00467FDA"/>
    <w:rsid w:val="00467FDF"/>
    <w:rsid w:val="00470F2D"/>
    <w:rsid w:val="00471080"/>
    <w:rsid w:val="004716E2"/>
    <w:rsid w:val="00471BF8"/>
    <w:rsid w:val="004729BE"/>
    <w:rsid w:val="004730DF"/>
    <w:rsid w:val="00473662"/>
    <w:rsid w:val="00473D3B"/>
    <w:rsid w:val="00473F5B"/>
    <w:rsid w:val="00474329"/>
    <w:rsid w:val="0047443C"/>
    <w:rsid w:val="00474574"/>
    <w:rsid w:val="00474D02"/>
    <w:rsid w:val="00474D35"/>
    <w:rsid w:val="00474D5B"/>
    <w:rsid w:val="00474DFF"/>
    <w:rsid w:val="004759FA"/>
    <w:rsid w:val="00475ADB"/>
    <w:rsid w:val="00475EBB"/>
    <w:rsid w:val="00476271"/>
    <w:rsid w:val="00476675"/>
    <w:rsid w:val="00476ECC"/>
    <w:rsid w:val="00476F23"/>
    <w:rsid w:val="004770DF"/>
    <w:rsid w:val="0047768F"/>
    <w:rsid w:val="0047787B"/>
    <w:rsid w:val="004779FB"/>
    <w:rsid w:val="00477D72"/>
    <w:rsid w:val="00480123"/>
    <w:rsid w:val="00480144"/>
    <w:rsid w:val="00480A9E"/>
    <w:rsid w:val="0048116D"/>
    <w:rsid w:val="004816E4"/>
    <w:rsid w:val="00481DFA"/>
    <w:rsid w:val="00482160"/>
    <w:rsid w:val="004827F6"/>
    <w:rsid w:val="00482923"/>
    <w:rsid w:val="00482A15"/>
    <w:rsid w:val="00482DF1"/>
    <w:rsid w:val="00483BAF"/>
    <w:rsid w:val="00483D0C"/>
    <w:rsid w:val="004841D7"/>
    <w:rsid w:val="00484AF8"/>
    <w:rsid w:val="004854C3"/>
    <w:rsid w:val="0048572A"/>
    <w:rsid w:val="00485B9A"/>
    <w:rsid w:val="00485EFE"/>
    <w:rsid w:val="004867CD"/>
    <w:rsid w:val="004868A4"/>
    <w:rsid w:val="00486F09"/>
    <w:rsid w:val="00486F1A"/>
    <w:rsid w:val="00486F31"/>
    <w:rsid w:val="00487056"/>
    <w:rsid w:val="00487687"/>
    <w:rsid w:val="00490025"/>
    <w:rsid w:val="00490047"/>
    <w:rsid w:val="0049006D"/>
    <w:rsid w:val="00490B06"/>
    <w:rsid w:val="00490CF7"/>
    <w:rsid w:val="00490E36"/>
    <w:rsid w:val="00491896"/>
    <w:rsid w:val="0049192F"/>
    <w:rsid w:val="00491953"/>
    <w:rsid w:val="00491EBB"/>
    <w:rsid w:val="004923BA"/>
    <w:rsid w:val="00492C5E"/>
    <w:rsid w:val="00493993"/>
    <w:rsid w:val="00493C10"/>
    <w:rsid w:val="00493F2B"/>
    <w:rsid w:val="00494288"/>
    <w:rsid w:val="00494297"/>
    <w:rsid w:val="004943A3"/>
    <w:rsid w:val="00494477"/>
    <w:rsid w:val="004945E8"/>
    <w:rsid w:val="0049464F"/>
    <w:rsid w:val="00494AFB"/>
    <w:rsid w:val="00494BA6"/>
    <w:rsid w:val="00495368"/>
    <w:rsid w:val="004955BF"/>
    <w:rsid w:val="00495EBF"/>
    <w:rsid w:val="00496870"/>
    <w:rsid w:val="00496968"/>
    <w:rsid w:val="00496EFF"/>
    <w:rsid w:val="00497E76"/>
    <w:rsid w:val="004A01D5"/>
    <w:rsid w:val="004A08E4"/>
    <w:rsid w:val="004A098F"/>
    <w:rsid w:val="004A130A"/>
    <w:rsid w:val="004A1436"/>
    <w:rsid w:val="004A17E7"/>
    <w:rsid w:val="004A1D90"/>
    <w:rsid w:val="004A27E0"/>
    <w:rsid w:val="004A2D63"/>
    <w:rsid w:val="004A31D6"/>
    <w:rsid w:val="004A31E8"/>
    <w:rsid w:val="004A3264"/>
    <w:rsid w:val="004A33BF"/>
    <w:rsid w:val="004A34AF"/>
    <w:rsid w:val="004A396D"/>
    <w:rsid w:val="004A398B"/>
    <w:rsid w:val="004A3ECC"/>
    <w:rsid w:val="004A3F04"/>
    <w:rsid w:val="004A437B"/>
    <w:rsid w:val="004A482E"/>
    <w:rsid w:val="004A5134"/>
    <w:rsid w:val="004A5539"/>
    <w:rsid w:val="004A56E2"/>
    <w:rsid w:val="004A56EC"/>
    <w:rsid w:val="004A61CE"/>
    <w:rsid w:val="004A622D"/>
    <w:rsid w:val="004A6240"/>
    <w:rsid w:val="004A649F"/>
    <w:rsid w:val="004A6610"/>
    <w:rsid w:val="004A6A1E"/>
    <w:rsid w:val="004A6DB0"/>
    <w:rsid w:val="004A6E0D"/>
    <w:rsid w:val="004A73CB"/>
    <w:rsid w:val="004A77DD"/>
    <w:rsid w:val="004A7C42"/>
    <w:rsid w:val="004B02FC"/>
    <w:rsid w:val="004B05F4"/>
    <w:rsid w:val="004B0887"/>
    <w:rsid w:val="004B09B9"/>
    <w:rsid w:val="004B0E48"/>
    <w:rsid w:val="004B1681"/>
    <w:rsid w:val="004B1B26"/>
    <w:rsid w:val="004B1B75"/>
    <w:rsid w:val="004B1C57"/>
    <w:rsid w:val="004B1E04"/>
    <w:rsid w:val="004B2018"/>
    <w:rsid w:val="004B22F3"/>
    <w:rsid w:val="004B2FBD"/>
    <w:rsid w:val="004B3A9D"/>
    <w:rsid w:val="004B3EC7"/>
    <w:rsid w:val="004B44C3"/>
    <w:rsid w:val="004B472C"/>
    <w:rsid w:val="004B4918"/>
    <w:rsid w:val="004B5128"/>
    <w:rsid w:val="004B572D"/>
    <w:rsid w:val="004B608D"/>
    <w:rsid w:val="004B60E1"/>
    <w:rsid w:val="004B615A"/>
    <w:rsid w:val="004B6AB8"/>
    <w:rsid w:val="004B6C06"/>
    <w:rsid w:val="004B6C88"/>
    <w:rsid w:val="004B706A"/>
    <w:rsid w:val="004B7894"/>
    <w:rsid w:val="004B78C5"/>
    <w:rsid w:val="004B7981"/>
    <w:rsid w:val="004B7C87"/>
    <w:rsid w:val="004C02F0"/>
    <w:rsid w:val="004C045C"/>
    <w:rsid w:val="004C04C7"/>
    <w:rsid w:val="004C09D5"/>
    <w:rsid w:val="004C0F5A"/>
    <w:rsid w:val="004C0FAE"/>
    <w:rsid w:val="004C1097"/>
    <w:rsid w:val="004C13B9"/>
    <w:rsid w:val="004C14D6"/>
    <w:rsid w:val="004C204D"/>
    <w:rsid w:val="004C248C"/>
    <w:rsid w:val="004C28C4"/>
    <w:rsid w:val="004C29D7"/>
    <w:rsid w:val="004C2B10"/>
    <w:rsid w:val="004C2BB5"/>
    <w:rsid w:val="004C314B"/>
    <w:rsid w:val="004C3711"/>
    <w:rsid w:val="004C3920"/>
    <w:rsid w:val="004C3F5F"/>
    <w:rsid w:val="004C436B"/>
    <w:rsid w:val="004C4D4C"/>
    <w:rsid w:val="004C50A0"/>
    <w:rsid w:val="004C54F1"/>
    <w:rsid w:val="004C561D"/>
    <w:rsid w:val="004C571B"/>
    <w:rsid w:val="004C58A5"/>
    <w:rsid w:val="004C5B66"/>
    <w:rsid w:val="004C5D0B"/>
    <w:rsid w:val="004C5EE6"/>
    <w:rsid w:val="004C6035"/>
    <w:rsid w:val="004C6346"/>
    <w:rsid w:val="004C6D1F"/>
    <w:rsid w:val="004C6DF3"/>
    <w:rsid w:val="004C7213"/>
    <w:rsid w:val="004C79FE"/>
    <w:rsid w:val="004C7AE1"/>
    <w:rsid w:val="004C7B4D"/>
    <w:rsid w:val="004C7CDD"/>
    <w:rsid w:val="004C7DEF"/>
    <w:rsid w:val="004D0107"/>
    <w:rsid w:val="004D074D"/>
    <w:rsid w:val="004D129E"/>
    <w:rsid w:val="004D1708"/>
    <w:rsid w:val="004D1808"/>
    <w:rsid w:val="004D246E"/>
    <w:rsid w:val="004D258B"/>
    <w:rsid w:val="004D2592"/>
    <w:rsid w:val="004D27C2"/>
    <w:rsid w:val="004D2A2D"/>
    <w:rsid w:val="004D2BCC"/>
    <w:rsid w:val="004D3516"/>
    <w:rsid w:val="004D38BC"/>
    <w:rsid w:val="004D4277"/>
    <w:rsid w:val="004D482B"/>
    <w:rsid w:val="004D490A"/>
    <w:rsid w:val="004D528D"/>
    <w:rsid w:val="004D5C2B"/>
    <w:rsid w:val="004D610E"/>
    <w:rsid w:val="004D61E1"/>
    <w:rsid w:val="004D67C3"/>
    <w:rsid w:val="004D6897"/>
    <w:rsid w:val="004D6A97"/>
    <w:rsid w:val="004D6B20"/>
    <w:rsid w:val="004D6E23"/>
    <w:rsid w:val="004D7009"/>
    <w:rsid w:val="004D769B"/>
    <w:rsid w:val="004D7787"/>
    <w:rsid w:val="004D78BF"/>
    <w:rsid w:val="004D7EFA"/>
    <w:rsid w:val="004E0553"/>
    <w:rsid w:val="004E0991"/>
    <w:rsid w:val="004E09A7"/>
    <w:rsid w:val="004E0DB7"/>
    <w:rsid w:val="004E0F70"/>
    <w:rsid w:val="004E17E3"/>
    <w:rsid w:val="004E18F6"/>
    <w:rsid w:val="004E27CC"/>
    <w:rsid w:val="004E28CE"/>
    <w:rsid w:val="004E2C23"/>
    <w:rsid w:val="004E2F8D"/>
    <w:rsid w:val="004E30CC"/>
    <w:rsid w:val="004E36CB"/>
    <w:rsid w:val="004E3789"/>
    <w:rsid w:val="004E389B"/>
    <w:rsid w:val="004E3CC8"/>
    <w:rsid w:val="004E465D"/>
    <w:rsid w:val="004E4DC9"/>
    <w:rsid w:val="004E4F5F"/>
    <w:rsid w:val="004E50D3"/>
    <w:rsid w:val="004E551C"/>
    <w:rsid w:val="004E5825"/>
    <w:rsid w:val="004E5CF7"/>
    <w:rsid w:val="004E6A95"/>
    <w:rsid w:val="004E6C24"/>
    <w:rsid w:val="004E6C96"/>
    <w:rsid w:val="004E70AB"/>
    <w:rsid w:val="004E71CC"/>
    <w:rsid w:val="004E7683"/>
    <w:rsid w:val="004E7800"/>
    <w:rsid w:val="004E79EA"/>
    <w:rsid w:val="004E7BD6"/>
    <w:rsid w:val="004E7BFE"/>
    <w:rsid w:val="004E7DF1"/>
    <w:rsid w:val="004F02DF"/>
    <w:rsid w:val="004F0542"/>
    <w:rsid w:val="004F0B1E"/>
    <w:rsid w:val="004F0C28"/>
    <w:rsid w:val="004F0E33"/>
    <w:rsid w:val="004F0FC9"/>
    <w:rsid w:val="004F12B2"/>
    <w:rsid w:val="004F12F1"/>
    <w:rsid w:val="004F1633"/>
    <w:rsid w:val="004F18AC"/>
    <w:rsid w:val="004F1EF0"/>
    <w:rsid w:val="004F22B3"/>
    <w:rsid w:val="004F26DB"/>
    <w:rsid w:val="004F292F"/>
    <w:rsid w:val="004F2AC1"/>
    <w:rsid w:val="004F2B09"/>
    <w:rsid w:val="004F319E"/>
    <w:rsid w:val="004F324D"/>
    <w:rsid w:val="004F32B0"/>
    <w:rsid w:val="004F33A8"/>
    <w:rsid w:val="004F36E3"/>
    <w:rsid w:val="004F391A"/>
    <w:rsid w:val="004F3D15"/>
    <w:rsid w:val="004F407A"/>
    <w:rsid w:val="004F49AC"/>
    <w:rsid w:val="004F4CB5"/>
    <w:rsid w:val="004F4D5F"/>
    <w:rsid w:val="004F4DCE"/>
    <w:rsid w:val="004F4FE7"/>
    <w:rsid w:val="004F5ACA"/>
    <w:rsid w:val="004F5AE8"/>
    <w:rsid w:val="004F5BB5"/>
    <w:rsid w:val="004F5D93"/>
    <w:rsid w:val="004F6239"/>
    <w:rsid w:val="004F6566"/>
    <w:rsid w:val="004F658F"/>
    <w:rsid w:val="004F6761"/>
    <w:rsid w:val="004F6950"/>
    <w:rsid w:val="004F6EB8"/>
    <w:rsid w:val="004F70BF"/>
    <w:rsid w:val="004F7449"/>
    <w:rsid w:val="004F74FB"/>
    <w:rsid w:val="004F7521"/>
    <w:rsid w:val="004F7D2D"/>
    <w:rsid w:val="00500093"/>
    <w:rsid w:val="005004CC"/>
    <w:rsid w:val="00500600"/>
    <w:rsid w:val="00500E01"/>
    <w:rsid w:val="00500F86"/>
    <w:rsid w:val="00501E17"/>
    <w:rsid w:val="00501F9E"/>
    <w:rsid w:val="00502081"/>
    <w:rsid w:val="005023A9"/>
    <w:rsid w:val="00502458"/>
    <w:rsid w:val="0050284F"/>
    <w:rsid w:val="00502B1C"/>
    <w:rsid w:val="00502D52"/>
    <w:rsid w:val="00502EF1"/>
    <w:rsid w:val="00504505"/>
    <w:rsid w:val="0050464F"/>
    <w:rsid w:val="00504E8B"/>
    <w:rsid w:val="005050F7"/>
    <w:rsid w:val="005054E7"/>
    <w:rsid w:val="00505B00"/>
    <w:rsid w:val="00505E8E"/>
    <w:rsid w:val="005061AC"/>
    <w:rsid w:val="005062CB"/>
    <w:rsid w:val="0050637A"/>
    <w:rsid w:val="00506469"/>
    <w:rsid w:val="00506B3E"/>
    <w:rsid w:val="00506D87"/>
    <w:rsid w:val="00506FD1"/>
    <w:rsid w:val="00507668"/>
    <w:rsid w:val="0050795C"/>
    <w:rsid w:val="00507A62"/>
    <w:rsid w:val="00507B5F"/>
    <w:rsid w:val="00507DB4"/>
    <w:rsid w:val="00507DD2"/>
    <w:rsid w:val="005102AB"/>
    <w:rsid w:val="005105B1"/>
    <w:rsid w:val="00510BCE"/>
    <w:rsid w:val="0051101F"/>
    <w:rsid w:val="005113E6"/>
    <w:rsid w:val="0051142E"/>
    <w:rsid w:val="005114A5"/>
    <w:rsid w:val="00511AD9"/>
    <w:rsid w:val="00511B4C"/>
    <w:rsid w:val="00511E50"/>
    <w:rsid w:val="00511F45"/>
    <w:rsid w:val="005122A4"/>
    <w:rsid w:val="0051350F"/>
    <w:rsid w:val="00514CC2"/>
    <w:rsid w:val="00515013"/>
    <w:rsid w:val="00515E62"/>
    <w:rsid w:val="0051664F"/>
    <w:rsid w:val="005167E0"/>
    <w:rsid w:val="00517591"/>
    <w:rsid w:val="0051773A"/>
    <w:rsid w:val="005177F9"/>
    <w:rsid w:val="00520030"/>
    <w:rsid w:val="0052059C"/>
    <w:rsid w:val="005205EE"/>
    <w:rsid w:val="0052076A"/>
    <w:rsid w:val="00520CBE"/>
    <w:rsid w:val="00520CC2"/>
    <w:rsid w:val="00520FB4"/>
    <w:rsid w:val="00521BA4"/>
    <w:rsid w:val="00522D44"/>
    <w:rsid w:val="00522E99"/>
    <w:rsid w:val="005233D6"/>
    <w:rsid w:val="00523512"/>
    <w:rsid w:val="00523900"/>
    <w:rsid w:val="00523AB4"/>
    <w:rsid w:val="00523D29"/>
    <w:rsid w:val="00524061"/>
    <w:rsid w:val="0052450C"/>
    <w:rsid w:val="005249A3"/>
    <w:rsid w:val="005249C8"/>
    <w:rsid w:val="00525FD9"/>
    <w:rsid w:val="00526822"/>
    <w:rsid w:val="005268BF"/>
    <w:rsid w:val="00526A3C"/>
    <w:rsid w:val="00526CB0"/>
    <w:rsid w:val="00526CC6"/>
    <w:rsid w:val="00526E41"/>
    <w:rsid w:val="00527454"/>
    <w:rsid w:val="0052752B"/>
    <w:rsid w:val="00527D4B"/>
    <w:rsid w:val="00530477"/>
    <w:rsid w:val="0053073E"/>
    <w:rsid w:val="00530740"/>
    <w:rsid w:val="00530909"/>
    <w:rsid w:val="005313D1"/>
    <w:rsid w:val="00531C68"/>
    <w:rsid w:val="00531E26"/>
    <w:rsid w:val="0053214C"/>
    <w:rsid w:val="005324D6"/>
    <w:rsid w:val="0053267A"/>
    <w:rsid w:val="0053290A"/>
    <w:rsid w:val="005333E1"/>
    <w:rsid w:val="005335BD"/>
    <w:rsid w:val="00533786"/>
    <w:rsid w:val="0053475D"/>
    <w:rsid w:val="0053536C"/>
    <w:rsid w:val="00535493"/>
    <w:rsid w:val="00535948"/>
    <w:rsid w:val="005359F0"/>
    <w:rsid w:val="00535BD7"/>
    <w:rsid w:val="00535DF5"/>
    <w:rsid w:val="0053642D"/>
    <w:rsid w:val="005368F9"/>
    <w:rsid w:val="005369E2"/>
    <w:rsid w:val="00536B3D"/>
    <w:rsid w:val="005371B0"/>
    <w:rsid w:val="00537323"/>
    <w:rsid w:val="005373E8"/>
    <w:rsid w:val="00537690"/>
    <w:rsid w:val="0053781B"/>
    <w:rsid w:val="00537A12"/>
    <w:rsid w:val="00537CCC"/>
    <w:rsid w:val="00537F21"/>
    <w:rsid w:val="00540277"/>
    <w:rsid w:val="00540506"/>
    <w:rsid w:val="00540908"/>
    <w:rsid w:val="00540D7A"/>
    <w:rsid w:val="00541D19"/>
    <w:rsid w:val="00542059"/>
    <w:rsid w:val="0054226A"/>
    <w:rsid w:val="005425EE"/>
    <w:rsid w:val="00542A6D"/>
    <w:rsid w:val="00542B89"/>
    <w:rsid w:val="00542E1F"/>
    <w:rsid w:val="00542EA9"/>
    <w:rsid w:val="00543026"/>
    <w:rsid w:val="005430E0"/>
    <w:rsid w:val="0054338B"/>
    <w:rsid w:val="00543553"/>
    <w:rsid w:val="00543B5D"/>
    <w:rsid w:val="00543C74"/>
    <w:rsid w:val="00543F68"/>
    <w:rsid w:val="00544004"/>
    <w:rsid w:val="0054493C"/>
    <w:rsid w:val="00544943"/>
    <w:rsid w:val="00544C04"/>
    <w:rsid w:val="00544E35"/>
    <w:rsid w:val="00544E87"/>
    <w:rsid w:val="00545043"/>
    <w:rsid w:val="00545208"/>
    <w:rsid w:val="00545D6C"/>
    <w:rsid w:val="0054604D"/>
    <w:rsid w:val="0054609C"/>
    <w:rsid w:val="0054610F"/>
    <w:rsid w:val="00546658"/>
    <w:rsid w:val="0054698F"/>
    <w:rsid w:val="00546B84"/>
    <w:rsid w:val="00547CC2"/>
    <w:rsid w:val="0055059B"/>
    <w:rsid w:val="00551156"/>
    <w:rsid w:val="005519E4"/>
    <w:rsid w:val="005520E0"/>
    <w:rsid w:val="00552A77"/>
    <w:rsid w:val="005530E3"/>
    <w:rsid w:val="005533BF"/>
    <w:rsid w:val="005535CC"/>
    <w:rsid w:val="00553759"/>
    <w:rsid w:val="00553C38"/>
    <w:rsid w:val="005546C9"/>
    <w:rsid w:val="00554A3C"/>
    <w:rsid w:val="00554CF6"/>
    <w:rsid w:val="00555206"/>
    <w:rsid w:val="00555480"/>
    <w:rsid w:val="00555DA8"/>
    <w:rsid w:val="00556372"/>
    <w:rsid w:val="005572FE"/>
    <w:rsid w:val="005575FA"/>
    <w:rsid w:val="00557621"/>
    <w:rsid w:val="00557C74"/>
    <w:rsid w:val="005605FB"/>
    <w:rsid w:val="005606B2"/>
    <w:rsid w:val="00560A9B"/>
    <w:rsid w:val="00561512"/>
    <w:rsid w:val="00561971"/>
    <w:rsid w:val="00562172"/>
    <w:rsid w:val="00562877"/>
    <w:rsid w:val="00563EE6"/>
    <w:rsid w:val="00564010"/>
    <w:rsid w:val="005640BA"/>
    <w:rsid w:val="005642AA"/>
    <w:rsid w:val="0056439C"/>
    <w:rsid w:val="005644E1"/>
    <w:rsid w:val="00564FB9"/>
    <w:rsid w:val="00565031"/>
    <w:rsid w:val="005650A5"/>
    <w:rsid w:val="00565DA3"/>
    <w:rsid w:val="00566797"/>
    <w:rsid w:val="005667E7"/>
    <w:rsid w:val="0056694D"/>
    <w:rsid w:val="00566DE5"/>
    <w:rsid w:val="005676CF"/>
    <w:rsid w:val="005676F6"/>
    <w:rsid w:val="005677B0"/>
    <w:rsid w:val="00567EFF"/>
    <w:rsid w:val="0057022C"/>
    <w:rsid w:val="00570862"/>
    <w:rsid w:val="005709A7"/>
    <w:rsid w:val="00570A70"/>
    <w:rsid w:val="005711DB"/>
    <w:rsid w:val="00571567"/>
    <w:rsid w:val="00571E38"/>
    <w:rsid w:val="0057262C"/>
    <w:rsid w:val="00572743"/>
    <w:rsid w:val="00572835"/>
    <w:rsid w:val="005729DE"/>
    <w:rsid w:val="0057356C"/>
    <w:rsid w:val="00574F14"/>
    <w:rsid w:val="0057509F"/>
    <w:rsid w:val="005757C4"/>
    <w:rsid w:val="0057592F"/>
    <w:rsid w:val="00576073"/>
    <w:rsid w:val="00576242"/>
    <w:rsid w:val="00576892"/>
    <w:rsid w:val="00577058"/>
    <w:rsid w:val="00577372"/>
    <w:rsid w:val="00580764"/>
    <w:rsid w:val="00580DC1"/>
    <w:rsid w:val="00580FCB"/>
    <w:rsid w:val="0058178B"/>
    <w:rsid w:val="00581918"/>
    <w:rsid w:val="005823C8"/>
    <w:rsid w:val="00583451"/>
    <w:rsid w:val="00583785"/>
    <w:rsid w:val="00583F69"/>
    <w:rsid w:val="0058486A"/>
    <w:rsid w:val="005855E0"/>
    <w:rsid w:val="00585D23"/>
    <w:rsid w:val="00585D41"/>
    <w:rsid w:val="00585E5E"/>
    <w:rsid w:val="00585F36"/>
    <w:rsid w:val="00585FD1"/>
    <w:rsid w:val="005861AD"/>
    <w:rsid w:val="00586935"/>
    <w:rsid w:val="00586CED"/>
    <w:rsid w:val="00586DAE"/>
    <w:rsid w:val="00586E17"/>
    <w:rsid w:val="0058702E"/>
    <w:rsid w:val="00587420"/>
    <w:rsid w:val="005879E0"/>
    <w:rsid w:val="00587C30"/>
    <w:rsid w:val="00587E66"/>
    <w:rsid w:val="00587ED8"/>
    <w:rsid w:val="005900B9"/>
    <w:rsid w:val="00590504"/>
    <w:rsid w:val="005906FD"/>
    <w:rsid w:val="00590B0B"/>
    <w:rsid w:val="00591598"/>
    <w:rsid w:val="005918A1"/>
    <w:rsid w:val="00591E8F"/>
    <w:rsid w:val="00592242"/>
    <w:rsid w:val="005924BE"/>
    <w:rsid w:val="005924EE"/>
    <w:rsid w:val="00592647"/>
    <w:rsid w:val="005926E1"/>
    <w:rsid w:val="00592AE6"/>
    <w:rsid w:val="00592C7E"/>
    <w:rsid w:val="00592DB1"/>
    <w:rsid w:val="00592F94"/>
    <w:rsid w:val="005932D7"/>
    <w:rsid w:val="0059338D"/>
    <w:rsid w:val="00593613"/>
    <w:rsid w:val="0059382C"/>
    <w:rsid w:val="005939A2"/>
    <w:rsid w:val="00593D3F"/>
    <w:rsid w:val="005940F4"/>
    <w:rsid w:val="0059445E"/>
    <w:rsid w:val="00594EA7"/>
    <w:rsid w:val="005952A3"/>
    <w:rsid w:val="005952AF"/>
    <w:rsid w:val="00595B82"/>
    <w:rsid w:val="00595DC5"/>
    <w:rsid w:val="00596004"/>
    <w:rsid w:val="00596D10"/>
    <w:rsid w:val="00596E30"/>
    <w:rsid w:val="00597411"/>
    <w:rsid w:val="00597540"/>
    <w:rsid w:val="005975D3"/>
    <w:rsid w:val="0059795A"/>
    <w:rsid w:val="00597BE4"/>
    <w:rsid w:val="00597C16"/>
    <w:rsid w:val="005A01B7"/>
    <w:rsid w:val="005A030D"/>
    <w:rsid w:val="005A0B80"/>
    <w:rsid w:val="005A0C40"/>
    <w:rsid w:val="005A116A"/>
    <w:rsid w:val="005A1431"/>
    <w:rsid w:val="005A15B4"/>
    <w:rsid w:val="005A166E"/>
    <w:rsid w:val="005A18C9"/>
    <w:rsid w:val="005A1DF3"/>
    <w:rsid w:val="005A2938"/>
    <w:rsid w:val="005A2CB5"/>
    <w:rsid w:val="005A2E85"/>
    <w:rsid w:val="005A2F5A"/>
    <w:rsid w:val="005A3202"/>
    <w:rsid w:val="005A34AB"/>
    <w:rsid w:val="005A34D2"/>
    <w:rsid w:val="005A398E"/>
    <w:rsid w:val="005A3B66"/>
    <w:rsid w:val="005A3E85"/>
    <w:rsid w:val="005A429A"/>
    <w:rsid w:val="005A45C3"/>
    <w:rsid w:val="005A4898"/>
    <w:rsid w:val="005A49B9"/>
    <w:rsid w:val="005A4A55"/>
    <w:rsid w:val="005A4CC7"/>
    <w:rsid w:val="005A4D37"/>
    <w:rsid w:val="005A55DB"/>
    <w:rsid w:val="005A5BCB"/>
    <w:rsid w:val="005A5C4E"/>
    <w:rsid w:val="005A60BB"/>
    <w:rsid w:val="005A64B5"/>
    <w:rsid w:val="005A6C64"/>
    <w:rsid w:val="005A6C89"/>
    <w:rsid w:val="005A7945"/>
    <w:rsid w:val="005A7C25"/>
    <w:rsid w:val="005A7CF1"/>
    <w:rsid w:val="005B0091"/>
    <w:rsid w:val="005B0124"/>
    <w:rsid w:val="005B0FDF"/>
    <w:rsid w:val="005B1320"/>
    <w:rsid w:val="005B1436"/>
    <w:rsid w:val="005B22F4"/>
    <w:rsid w:val="005B24F3"/>
    <w:rsid w:val="005B2501"/>
    <w:rsid w:val="005B2F67"/>
    <w:rsid w:val="005B382F"/>
    <w:rsid w:val="005B3DD6"/>
    <w:rsid w:val="005B4168"/>
    <w:rsid w:val="005B469A"/>
    <w:rsid w:val="005B4763"/>
    <w:rsid w:val="005B4A5A"/>
    <w:rsid w:val="005B4B0E"/>
    <w:rsid w:val="005B5273"/>
    <w:rsid w:val="005B5AFD"/>
    <w:rsid w:val="005B5CFA"/>
    <w:rsid w:val="005B60D8"/>
    <w:rsid w:val="005B64DD"/>
    <w:rsid w:val="005B6A23"/>
    <w:rsid w:val="005B6B41"/>
    <w:rsid w:val="005B7668"/>
    <w:rsid w:val="005B7A9D"/>
    <w:rsid w:val="005C0075"/>
    <w:rsid w:val="005C0167"/>
    <w:rsid w:val="005C025B"/>
    <w:rsid w:val="005C0275"/>
    <w:rsid w:val="005C0814"/>
    <w:rsid w:val="005C09C8"/>
    <w:rsid w:val="005C0A06"/>
    <w:rsid w:val="005C127A"/>
    <w:rsid w:val="005C18A1"/>
    <w:rsid w:val="005C1B2D"/>
    <w:rsid w:val="005C1EA4"/>
    <w:rsid w:val="005C2698"/>
    <w:rsid w:val="005C2CCA"/>
    <w:rsid w:val="005C30BB"/>
    <w:rsid w:val="005C3AB2"/>
    <w:rsid w:val="005C3B7D"/>
    <w:rsid w:val="005C3BA1"/>
    <w:rsid w:val="005C3E96"/>
    <w:rsid w:val="005C40A3"/>
    <w:rsid w:val="005C491D"/>
    <w:rsid w:val="005C53D0"/>
    <w:rsid w:val="005C56CE"/>
    <w:rsid w:val="005C592D"/>
    <w:rsid w:val="005C5CE7"/>
    <w:rsid w:val="005C5D99"/>
    <w:rsid w:val="005C5FD8"/>
    <w:rsid w:val="005C6B33"/>
    <w:rsid w:val="005C70F2"/>
    <w:rsid w:val="005C7516"/>
    <w:rsid w:val="005C7A01"/>
    <w:rsid w:val="005D0960"/>
    <w:rsid w:val="005D0CB1"/>
    <w:rsid w:val="005D11F0"/>
    <w:rsid w:val="005D1206"/>
    <w:rsid w:val="005D1F36"/>
    <w:rsid w:val="005D2843"/>
    <w:rsid w:val="005D2A7D"/>
    <w:rsid w:val="005D4C40"/>
    <w:rsid w:val="005D4C8F"/>
    <w:rsid w:val="005D4CE3"/>
    <w:rsid w:val="005D4D5A"/>
    <w:rsid w:val="005D536B"/>
    <w:rsid w:val="005D5688"/>
    <w:rsid w:val="005D5DD5"/>
    <w:rsid w:val="005D5F8B"/>
    <w:rsid w:val="005D6767"/>
    <w:rsid w:val="005D697B"/>
    <w:rsid w:val="005D6BE6"/>
    <w:rsid w:val="005D6CC3"/>
    <w:rsid w:val="005D786E"/>
    <w:rsid w:val="005D7996"/>
    <w:rsid w:val="005D7C40"/>
    <w:rsid w:val="005E0183"/>
    <w:rsid w:val="005E05CF"/>
    <w:rsid w:val="005E0723"/>
    <w:rsid w:val="005E0B74"/>
    <w:rsid w:val="005E0BBB"/>
    <w:rsid w:val="005E123A"/>
    <w:rsid w:val="005E144F"/>
    <w:rsid w:val="005E171F"/>
    <w:rsid w:val="005E1DE5"/>
    <w:rsid w:val="005E22A3"/>
    <w:rsid w:val="005E24DC"/>
    <w:rsid w:val="005E2AA4"/>
    <w:rsid w:val="005E3A26"/>
    <w:rsid w:val="005E3B12"/>
    <w:rsid w:val="005E3CDF"/>
    <w:rsid w:val="005E3E57"/>
    <w:rsid w:val="005E3F3F"/>
    <w:rsid w:val="005E4147"/>
    <w:rsid w:val="005E4516"/>
    <w:rsid w:val="005E45EC"/>
    <w:rsid w:val="005E47CC"/>
    <w:rsid w:val="005E502E"/>
    <w:rsid w:val="005E539B"/>
    <w:rsid w:val="005E5502"/>
    <w:rsid w:val="005E5523"/>
    <w:rsid w:val="005E55DD"/>
    <w:rsid w:val="005E57C6"/>
    <w:rsid w:val="005E5B4F"/>
    <w:rsid w:val="005E5C96"/>
    <w:rsid w:val="005E5D68"/>
    <w:rsid w:val="005E5DB4"/>
    <w:rsid w:val="005E6110"/>
    <w:rsid w:val="005E65D3"/>
    <w:rsid w:val="005E6C73"/>
    <w:rsid w:val="005E6E8F"/>
    <w:rsid w:val="005E7044"/>
    <w:rsid w:val="005F01ED"/>
    <w:rsid w:val="005F1346"/>
    <w:rsid w:val="005F149B"/>
    <w:rsid w:val="005F14F4"/>
    <w:rsid w:val="005F1D77"/>
    <w:rsid w:val="005F1F63"/>
    <w:rsid w:val="005F3011"/>
    <w:rsid w:val="005F333F"/>
    <w:rsid w:val="005F3935"/>
    <w:rsid w:val="005F39CC"/>
    <w:rsid w:val="005F3BEB"/>
    <w:rsid w:val="005F3CF0"/>
    <w:rsid w:val="005F3DE5"/>
    <w:rsid w:val="005F3E10"/>
    <w:rsid w:val="005F4195"/>
    <w:rsid w:val="005F493F"/>
    <w:rsid w:val="005F4B31"/>
    <w:rsid w:val="005F5657"/>
    <w:rsid w:val="005F5DD5"/>
    <w:rsid w:val="005F5EAE"/>
    <w:rsid w:val="005F5F7B"/>
    <w:rsid w:val="005F65FC"/>
    <w:rsid w:val="005F6B4F"/>
    <w:rsid w:val="005F711B"/>
    <w:rsid w:val="005F7954"/>
    <w:rsid w:val="005F7C76"/>
    <w:rsid w:val="005F7EBD"/>
    <w:rsid w:val="0060010A"/>
    <w:rsid w:val="0060018E"/>
    <w:rsid w:val="00600785"/>
    <w:rsid w:val="00601015"/>
    <w:rsid w:val="00601B80"/>
    <w:rsid w:val="00601F53"/>
    <w:rsid w:val="006023CC"/>
    <w:rsid w:val="00602715"/>
    <w:rsid w:val="0060286B"/>
    <w:rsid w:val="00602BC2"/>
    <w:rsid w:val="00603080"/>
    <w:rsid w:val="006031F1"/>
    <w:rsid w:val="0060329A"/>
    <w:rsid w:val="00603628"/>
    <w:rsid w:val="006037D8"/>
    <w:rsid w:val="006045B8"/>
    <w:rsid w:val="006046A9"/>
    <w:rsid w:val="00604786"/>
    <w:rsid w:val="00604BCD"/>
    <w:rsid w:val="00604FB3"/>
    <w:rsid w:val="00605120"/>
    <w:rsid w:val="0060572E"/>
    <w:rsid w:val="0060616E"/>
    <w:rsid w:val="00606A53"/>
    <w:rsid w:val="00606C45"/>
    <w:rsid w:val="00606EE1"/>
    <w:rsid w:val="00607245"/>
    <w:rsid w:val="00607268"/>
    <w:rsid w:val="006079E4"/>
    <w:rsid w:val="006102A5"/>
    <w:rsid w:val="006102E8"/>
    <w:rsid w:val="006103BA"/>
    <w:rsid w:val="00610992"/>
    <w:rsid w:val="006109AB"/>
    <w:rsid w:val="00610A38"/>
    <w:rsid w:val="00610DF4"/>
    <w:rsid w:val="006110F2"/>
    <w:rsid w:val="00611510"/>
    <w:rsid w:val="006116F7"/>
    <w:rsid w:val="00611906"/>
    <w:rsid w:val="00611EE0"/>
    <w:rsid w:val="00612198"/>
    <w:rsid w:val="0061241B"/>
    <w:rsid w:val="0061246A"/>
    <w:rsid w:val="00612FA0"/>
    <w:rsid w:val="00613050"/>
    <w:rsid w:val="00613493"/>
    <w:rsid w:val="006137A8"/>
    <w:rsid w:val="0061414B"/>
    <w:rsid w:val="0061456E"/>
    <w:rsid w:val="0061475B"/>
    <w:rsid w:val="00614FD1"/>
    <w:rsid w:val="006158CB"/>
    <w:rsid w:val="00616109"/>
    <w:rsid w:val="006166D2"/>
    <w:rsid w:val="00616CD3"/>
    <w:rsid w:val="00616F89"/>
    <w:rsid w:val="00617682"/>
    <w:rsid w:val="00617D03"/>
    <w:rsid w:val="00617FDE"/>
    <w:rsid w:val="00620012"/>
    <w:rsid w:val="00620280"/>
    <w:rsid w:val="006207CC"/>
    <w:rsid w:val="006207E6"/>
    <w:rsid w:val="006211F2"/>
    <w:rsid w:val="006212B8"/>
    <w:rsid w:val="00621C73"/>
    <w:rsid w:val="00621C8C"/>
    <w:rsid w:val="00621D9C"/>
    <w:rsid w:val="00621EA3"/>
    <w:rsid w:val="00622053"/>
    <w:rsid w:val="00622805"/>
    <w:rsid w:val="0062283A"/>
    <w:rsid w:val="00622CA6"/>
    <w:rsid w:val="0062353B"/>
    <w:rsid w:val="006238A2"/>
    <w:rsid w:val="00624BA7"/>
    <w:rsid w:val="00624C1B"/>
    <w:rsid w:val="0062523A"/>
    <w:rsid w:val="00625241"/>
    <w:rsid w:val="0062527C"/>
    <w:rsid w:val="00625579"/>
    <w:rsid w:val="00625AC6"/>
    <w:rsid w:val="006260AC"/>
    <w:rsid w:val="006261C7"/>
    <w:rsid w:val="00626822"/>
    <w:rsid w:val="006274C6"/>
    <w:rsid w:val="00627591"/>
    <w:rsid w:val="00627669"/>
    <w:rsid w:val="00627913"/>
    <w:rsid w:val="00627C7B"/>
    <w:rsid w:val="00630121"/>
    <w:rsid w:val="00630208"/>
    <w:rsid w:val="00630A19"/>
    <w:rsid w:val="00630F23"/>
    <w:rsid w:val="00631014"/>
    <w:rsid w:val="0063127C"/>
    <w:rsid w:val="00631522"/>
    <w:rsid w:val="0063176E"/>
    <w:rsid w:val="006318A8"/>
    <w:rsid w:val="0063226A"/>
    <w:rsid w:val="0063237F"/>
    <w:rsid w:val="00632863"/>
    <w:rsid w:val="0063302A"/>
    <w:rsid w:val="0063324D"/>
    <w:rsid w:val="00633C84"/>
    <w:rsid w:val="00634095"/>
    <w:rsid w:val="00634791"/>
    <w:rsid w:val="00634BED"/>
    <w:rsid w:val="0063506B"/>
    <w:rsid w:val="00635105"/>
    <w:rsid w:val="006354D8"/>
    <w:rsid w:val="006356EF"/>
    <w:rsid w:val="00635704"/>
    <w:rsid w:val="00636475"/>
    <w:rsid w:val="0063660D"/>
    <w:rsid w:val="00637121"/>
    <w:rsid w:val="00637160"/>
    <w:rsid w:val="00637200"/>
    <w:rsid w:val="00637309"/>
    <w:rsid w:val="00637D73"/>
    <w:rsid w:val="00640276"/>
    <w:rsid w:val="0064089B"/>
    <w:rsid w:val="00640EB0"/>
    <w:rsid w:val="00641268"/>
    <w:rsid w:val="00641367"/>
    <w:rsid w:val="00641860"/>
    <w:rsid w:val="006425B2"/>
    <w:rsid w:val="00642F80"/>
    <w:rsid w:val="00643B56"/>
    <w:rsid w:val="00644FA6"/>
    <w:rsid w:val="00645860"/>
    <w:rsid w:val="00645972"/>
    <w:rsid w:val="00646430"/>
    <w:rsid w:val="0064644B"/>
    <w:rsid w:val="0064719A"/>
    <w:rsid w:val="0064733B"/>
    <w:rsid w:val="0065004F"/>
    <w:rsid w:val="006501FA"/>
    <w:rsid w:val="00650920"/>
    <w:rsid w:val="00650BB0"/>
    <w:rsid w:val="00650BE2"/>
    <w:rsid w:val="00651A86"/>
    <w:rsid w:val="00651CFB"/>
    <w:rsid w:val="0065248C"/>
    <w:rsid w:val="0065292D"/>
    <w:rsid w:val="00652E8D"/>
    <w:rsid w:val="00652FB1"/>
    <w:rsid w:val="0065350E"/>
    <w:rsid w:val="006537FE"/>
    <w:rsid w:val="006549E6"/>
    <w:rsid w:val="00654AB1"/>
    <w:rsid w:val="00654BE1"/>
    <w:rsid w:val="00654C41"/>
    <w:rsid w:val="00654F62"/>
    <w:rsid w:val="006550A9"/>
    <w:rsid w:val="00655424"/>
    <w:rsid w:val="0065548E"/>
    <w:rsid w:val="00657649"/>
    <w:rsid w:val="0066041B"/>
    <w:rsid w:val="006608A4"/>
    <w:rsid w:val="00660D87"/>
    <w:rsid w:val="00661357"/>
    <w:rsid w:val="006614E8"/>
    <w:rsid w:val="00661623"/>
    <w:rsid w:val="00661677"/>
    <w:rsid w:val="0066195B"/>
    <w:rsid w:val="00661E48"/>
    <w:rsid w:val="00662061"/>
    <w:rsid w:val="0066217F"/>
    <w:rsid w:val="006621EC"/>
    <w:rsid w:val="006623E5"/>
    <w:rsid w:val="00662A82"/>
    <w:rsid w:val="00662D3D"/>
    <w:rsid w:val="00662E16"/>
    <w:rsid w:val="00662E51"/>
    <w:rsid w:val="00663835"/>
    <w:rsid w:val="00663B3F"/>
    <w:rsid w:val="00663C9F"/>
    <w:rsid w:val="00663E40"/>
    <w:rsid w:val="0066492C"/>
    <w:rsid w:val="00665226"/>
    <w:rsid w:val="006652F9"/>
    <w:rsid w:val="0066585C"/>
    <w:rsid w:val="00665ECE"/>
    <w:rsid w:val="0066606B"/>
    <w:rsid w:val="0066659F"/>
    <w:rsid w:val="0066663D"/>
    <w:rsid w:val="00666801"/>
    <w:rsid w:val="0066728E"/>
    <w:rsid w:val="0066756D"/>
    <w:rsid w:val="00667AD0"/>
    <w:rsid w:val="00667B68"/>
    <w:rsid w:val="00667D5E"/>
    <w:rsid w:val="0067008D"/>
    <w:rsid w:val="006701E1"/>
    <w:rsid w:val="006708FC"/>
    <w:rsid w:val="00670C10"/>
    <w:rsid w:val="00670F3E"/>
    <w:rsid w:val="00671398"/>
    <w:rsid w:val="00671B5C"/>
    <w:rsid w:val="00671C32"/>
    <w:rsid w:val="00671F8A"/>
    <w:rsid w:val="00672985"/>
    <w:rsid w:val="00673BED"/>
    <w:rsid w:val="00673CCB"/>
    <w:rsid w:val="0067452E"/>
    <w:rsid w:val="0067464D"/>
    <w:rsid w:val="00674ACE"/>
    <w:rsid w:val="00674D82"/>
    <w:rsid w:val="00674DB6"/>
    <w:rsid w:val="006750FA"/>
    <w:rsid w:val="00675E13"/>
    <w:rsid w:val="00675E21"/>
    <w:rsid w:val="00675E6F"/>
    <w:rsid w:val="00676B41"/>
    <w:rsid w:val="0067747A"/>
    <w:rsid w:val="00677489"/>
    <w:rsid w:val="00677649"/>
    <w:rsid w:val="006811B7"/>
    <w:rsid w:val="00682887"/>
    <w:rsid w:val="006828D2"/>
    <w:rsid w:val="00683134"/>
    <w:rsid w:val="00683373"/>
    <w:rsid w:val="00683599"/>
    <w:rsid w:val="00683A59"/>
    <w:rsid w:val="006842A1"/>
    <w:rsid w:val="00684342"/>
    <w:rsid w:val="00684685"/>
    <w:rsid w:val="00684724"/>
    <w:rsid w:val="00684B7B"/>
    <w:rsid w:val="00684C25"/>
    <w:rsid w:val="00684F12"/>
    <w:rsid w:val="00685751"/>
    <w:rsid w:val="00685928"/>
    <w:rsid w:val="00685F4A"/>
    <w:rsid w:val="0068600A"/>
    <w:rsid w:val="006864AF"/>
    <w:rsid w:val="00686AA7"/>
    <w:rsid w:val="00686D0F"/>
    <w:rsid w:val="00686D16"/>
    <w:rsid w:val="006875A7"/>
    <w:rsid w:val="00687A67"/>
    <w:rsid w:val="00687DF7"/>
    <w:rsid w:val="006904A4"/>
    <w:rsid w:val="00690D60"/>
    <w:rsid w:val="00690E37"/>
    <w:rsid w:val="00691AE2"/>
    <w:rsid w:val="00691DD0"/>
    <w:rsid w:val="00691EF0"/>
    <w:rsid w:val="006926BF"/>
    <w:rsid w:val="00692A4D"/>
    <w:rsid w:val="00692B38"/>
    <w:rsid w:val="00692C62"/>
    <w:rsid w:val="00692C83"/>
    <w:rsid w:val="0069336F"/>
    <w:rsid w:val="0069339A"/>
    <w:rsid w:val="006933AB"/>
    <w:rsid w:val="00693641"/>
    <w:rsid w:val="00694165"/>
    <w:rsid w:val="006949DF"/>
    <w:rsid w:val="006959B0"/>
    <w:rsid w:val="00695CB3"/>
    <w:rsid w:val="00695CC3"/>
    <w:rsid w:val="00696135"/>
    <w:rsid w:val="0069619D"/>
    <w:rsid w:val="006966A7"/>
    <w:rsid w:val="00696728"/>
    <w:rsid w:val="00697112"/>
    <w:rsid w:val="006971D4"/>
    <w:rsid w:val="006974AA"/>
    <w:rsid w:val="00697532"/>
    <w:rsid w:val="00697A54"/>
    <w:rsid w:val="00697ABC"/>
    <w:rsid w:val="00697CBC"/>
    <w:rsid w:val="006A0215"/>
    <w:rsid w:val="006A0BD8"/>
    <w:rsid w:val="006A0C1A"/>
    <w:rsid w:val="006A0CAA"/>
    <w:rsid w:val="006A0DC2"/>
    <w:rsid w:val="006A0EEF"/>
    <w:rsid w:val="006A132B"/>
    <w:rsid w:val="006A1342"/>
    <w:rsid w:val="006A1EC8"/>
    <w:rsid w:val="006A1FD0"/>
    <w:rsid w:val="006A2893"/>
    <w:rsid w:val="006A2E02"/>
    <w:rsid w:val="006A300C"/>
    <w:rsid w:val="006A3078"/>
    <w:rsid w:val="006A358E"/>
    <w:rsid w:val="006A38FE"/>
    <w:rsid w:val="006A3EC2"/>
    <w:rsid w:val="006A3FE0"/>
    <w:rsid w:val="006A417C"/>
    <w:rsid w:val="006A4296"/>
    <w:rsid w:val="006A43C6"/>
    <w:rsid w:val="006A47C6"/>
    <w:rsid w:val="006A4F12"/>
    <w:rsid w:val="006A590E"/>
    <w:rsid w:val="006A5E6A"/>
    <w:rsid w:val="006A687E"/>
    <w:rsid w:val="006A696E"/>
    <w:rsid w:val="006A73B8"/>
    <w:rsid w:val="006A73C5"/>
    <w:rsid w:val="006A7A49"/>
    <w:rsid w:val="006B03A7"/>
    <w:rsid w:val="006B03C3"/>
    <w:rsid w:val="006B0B4C"/>
    <w:rsid w:val="006B0BDF"/>
    <w:rsid w:val="006B0D5E"/>
    <w:rsid w:val="006B168F"/>
    <w:rsid w:val="006B1C20"/>
    <w:rsid w:val="006B1E42"/>
    <w:rsid w:val="006B1F39"/>
    <w:rsid w:val="006B27EC"/>
    <w:rsid w:val="006B2B83"/>
    <w:rsid w:val="006B2CD9"/>
    <w:rsid w:val="006B3063"/>
    <w:rsid w:val="006B3ED9"/>
    <w:rsid w:val="006B43F5"/>
    <w:rsid w:val="006B44CE"/>
    <w:rsid w:val="006B4CD5"/>
    <w:rsid w:val="006B4F56"/>
    <w:rsid w:val="006B50BE"/>
    <w:rsid w:val="006B5605"/>
    <w:rsid w:val="006B5893"/>
    <w:rsid w:val="006B6191"/>
    <w:rsid w:val="006B64D2"/>
    <w:rsid w:val="006B6A7C"/>
    <w:rsid w:val="006B711C"/>
    <w:rsid w:val="006B7940"/>
    <w:rsid w:val="006B7EA0"/>
    <w:rsid w:val="006C033F"/>
    <w:rsid w:val="006C0A66"/>
    <w:rsid w:val="006C1243"/>
    <w:rsid w:val="006C19DA"/>
    <w:rsid w:val="006C1B1B"/>
    <w:rsid w:val="006C200A"/>
    <w:rsid w:val="006C214E"/>
    <w:rsid w:val="006C2547"/>
    <w:rsid w:val="006C2B56"/>
    <w:rsid w:val="006C2C40"/>
    <w:rsid w:val="006C2D61"/>
    <w:rsid w:val="006C375C"/>
    <w:rsid w:val="006C49D4"/>
    <w:rsid w:val="006C55C5"/>
    <w:rsid w:val="006C5BA3"/>
    <w:rsid w:val="006C5CC8"/>
    <w:rsid w:val="006C624B"/>
    <w:rsid w:val="006C655E"/>
    <w:rsid w:val="006C663E"/>
    <w:rsid w:val="006C6734"/>
    <w:rsid w:val="006C7381"/>
    <w:rsid w:val="006C7418"/>
    <w:rsid w:val="006C75D7"/>
    <w:rsid w:val="006C781C"/>
    <w:rsid w:val="006C7A91"/>
    <w:rsid w:val="006D01B3"/>
    <w:rsid w:val="006D01BF"/>
    <w:rsid w:val="006D05E4"/>
    <w:rsid w:val="006D095A"/>
    <w:rsid w:val="006D0D22"/>
    <w:rsid w:val="006D0E93"/>
    <w:rsid w:val="006D0EFD"/>
    <w:rsid w:val="006D1164"/>
    <w:rsid w:val="006D27E8"/>
    <w:rsid w:val="006D2873"/>
    <w:rsid w:val="006D2B00"/>
    <w:rsid w:val="006D2B29"/>
    <w:rsid w:val="006D2B6D"/>
    <w:rsid w:val="006D3093"/>
    <w:rsid w:val="006D3244"/>
    <w:rsid w:val="006D3368"/>
    <w:rsid w:val="006D37F4"/>
    <w:rsid w:val="006D384B"/>
    <w:rsid w:val="006D39B1"/>
    <w:rsid w:val="006D3ECA"/>
    <w:rsid w:val="006D4416"/>
    <w:rsid w:val="006D4600"/>
    <w:rsid w:val="006D49F4"/>
    <w:rsid w:val="006D4B55"/>
    <w:rsid w:val="006D4E50"/>
    <w:rsid w:val="006D4E61"/>
    <w:rsid w:val="006D4FCC"/>
    <w:rsid w:val="006D58F0"/>
    <w:rsid w:val="006D592E"/>
    <w:rsid w:val="006D5A4F"/>
    <w:rsid w:val="006D5C41"/>
    <w:rsid w:val="006D5CBB"/>
    <w:rsid w:val="006D623C"/>
    <w:rsid w:val="006D63CE"/>
    <w:rsid w:val="006D6562"/>
    <w:rsid w:val="006D6A86"/>
    <w:rsid w:val="006D7609"/>
    <w:rsid w:val="006D76A8"/>
    <w:rsid w:val="006D7B2F"/>
    <w:rsid w:val="006E00A6"/>
    <w:rsid w:val="006E020D"/>
    <w:rsid w:val="006E0278"/>
    <w:rsid w:val="006E036E"/>
    <w:rsid w:val="006E072B"/>
    <w:rsid w:val="006E0AA8"/>
    <w:rsid w:val="006E0BC5"/>
    <w:rsid w:val="006E0D8D"/>
    <w:rsid w:val="006E0E94"/>
    <w:rsid w:val="006E0EC3"/>
    <w:rsid w:val="006E0FBA"/>
    <w:rsid w:val="006E1800"/>
    <w:rsid w:val="006E186D"/>
    <w:rsid w:val="006E18BD"/>
    <w:rsid w:val="006E19D5"/>
    <w:rsid w:val="006E2361"/>
    <w:rsid w:val="006E2463"/>
    <w:rsid w:val="006E274E"/>
    <w:rsid w:val="006E2B5F"/>
    <w:rsid w:val="006E2B72"/>
    <w:rsid w:val="006E377F"/>
    <w:rsid w:val="006E389D"/>
    <w:rsid w:val="006E421A"/>
    <w:rsid w:val="006E453A"/>
    <w:rsid w:val="006E491D"/>
    <w:rsid w:val="006E4B36"/>
    <w:rsid w:val="006E4F9F"/>
    <w:rsid w:val="006E593B"/>
    <w:rsid w:val="006E5A31"/>
    <w:rsid w:val="006E6FCA"/>
    <w:rsid w:val="006E7181"/>
    <w:rsid w:val="006E7F26"/>
    <w:rsid w:val="006F04E8"/>
    <w:rsid w:val="006F07C2"/>
    <w:rsid w:val="006F107E"/>
    <w:rsid w:val="006F10C1"/>
    <w:rsid w:val="006F11A1"/>
    <w:rsid w:val="006F1432"/>
    <w:rsid w:val="006F1533"/>
    <w:rsid w:val="006F1BD6"/>
    <w:rsid w:val="006F1F4A"/>
    <w:rsid w:val="006F2127"/>
    <w:rsid w:val="006F24CB"/>
    <w:rsid w:val="006F2645"/>
    <w:rsid w:val="006F29B1"/>
    <w:rsid w:val="006F2A91"/>
    <w:rsid w:val="006F2EEC"/>
    <w:rsid w:val="006F3094"/>
    <w:rsid w:val="006F30F3"/>
    <w:rsid w:val="006F313E"/>
    <w:rsid w:val="006F3318"/>
    <w:rsid w:val="006F3470"/>
    <w:rsid w:val="006F3F80"/>
    <w:rsid w:val="006F3FF6"/>
    <w:rsid w:val="006F403A"/>
    <w:rsid w:val="006F4741"/>
    <w:rsid w:val="006F5165"/>
    <w:rsid w:val="006F5297"/>
    <w:rsid w:val="006F554F"/>
    <w:rsid w:val="006F57F6"/>
    <w:rsid w:val="006F5D6F"/>
    <w:rsid w:val="006F6133"/>
    <w:rsid w:val="006F6764"/>
    <w:rsid w:val="006F6FCE"/>
    <w:rsid w:val="006F7B7F"/>
    <w:rsid w:val="006F7BC6"/>
    <w:rsid w:val="006F7F87"/>
    <w:rsid w:val="0070023C"/>
    <w:rsid w:val="00700874"/>
    <w:rsid w:val="007009D3"/>
    <w:rsid w:val="00700ABE"/>
    <w:rsid w:val="00700C25"/>
    <w:rsid w:val="00700DA4"/>
    <w:rsid w:val="0070188E"/>
    <w:rsid w:val="0070194E"/>
    <w:rsid w:val="00701BF4"/>
    <w:rsid w:val="00701F7F"/>
    <w:rsid w:val="00702276"/>
    <w:rsid w:val="007026AF"/>
    <w:rsid w:val="0070270E"/>
    <w:rsid w:val="007029F4"/>
    <w:rsid w:val="00702C5C"/>
    <w:rsid w:val="00702D7C"/>
    <w:rsid w:val="00702F24"/>
    <w:rsid w:val="0070322E"/>
    <w:rsid w:val="0070355F"/>
    <w:rsid w:val="0070399D"/>
    <w:rsid w:val="007039D3"/>
    <w:rsid w:val="00703AD3"/>
    <w:rsid w:val="00703D72"/>
    <w:rsid w:val="007044BF"/>
    <w:rsid w:val="00704B3C"/>
    <w:rsid w:val="00704B4C"/>
    <w:rsid w:val="007054D4"/>
    <w:rsid w:val="00705536"/>
    <w:rsid w:val="00705C34"/>
    <w:rsid w:val="00705DD4"/>
    <w:rsid w:val="007061E6"/>
    <w:rsid w:val="0070629E"/>
    <w:rsid w:val="0070639B"/>
    <w:rsid w:val="0070719B"/>
    <w:rsid w:val="0070733D"/>
    <w:rsid w:val="007075B9"/>
    <w:rsid w:val="007078DC"/>
    <w:rsid w:val="00707A4B"/>
    <w:rsid w:val="00707AA5"/>
    <w:rsid w:val="00707BC2"/>
    <w:rsid w:val="0071061C"/>
    <w:rsid w:val="00710673"/>
    <w:rsid w:val="007106AA"/>
    <w:rsid w:val="007110A4"/>
    <w:rsid w:val="007112D3"/>
    <w:rsid w:val="00711372"/>
    <w:rsid w:val="00712817"/>
    <w:rsid w:val="00712AA5"/>
    <w:rsid w:val="00712F01"/>
    <w:rsid w:val="00712F92"/>
    <w:rsid w:val="00713159"/>
    <w:rsid w:val="00713C52"/>
    <w:rsid w:val="00713D21"/>
    <w:rsid w:val="00713DBB"/>
    <w:rsid w:val="00713EE9"/>
    <w:rsid w:val="00713F69"/>
    <w:rsid w:val="00714029"/>
    <w:rsid w:val="007140F9"/>
    <w:rsid w:val="007149F5"/>
    <w:rsid w:val="00714B6E"/>
    <w:rsid w:val="00714EDC"/>
    <w:rsid w:val="00714F1B"/>
    <w:rsid w:val="007154A2"/>
    <w:rsid w:val="00715662"/>
    <w:rsid w:val="00715AC5"/>
    <w:rsid w:val="00715CF1"/>
    <w:rsid w:val="007165E7"/>
    <w:rsid w:val="00716704"/>
    <w:rsid w:val="0071680C"/>
    <w:rsid w:val="00716C65"/>
    <w:rsid w:val="00716C76"/>
    <w:rsid w:val="007173B8"/>
    <w:rsid w:val="00717B2B"/>
    <w:rsid w:val="00720210"/>
    <w:rsid w:val="0072067D"/>
    <w:rsid w:val="00721381"/>
    <w:rsid w:val="007216C9"/>
    <w:rsid w:val="007217CF"/>
    <w:rsid w:val="00721830"/>
    <w:rsid w:val="0072186A"/>
    <w:rsid w:val="00721D95"/>
    <w:rsid w:val="0072253E"/>
    <w:rsid w:val="007226AC"/>
    <w:rsid w:val="0072353D"/>
    <w:rsid w:val="00723BDE"/>
    <w:rsid w:val="00724A1B"/>
    <w:rsid w:val="00724BFD"/>
    <w:rsid w:val="00724C1F"/>
    <w:rsid w:val="00725469"/>
    <w:rsid w:val="00725591"/>
    <w:rsid w:val="0072584F"/>
    <w:rsid w:val="00725B2A"/>
    <w:rsid w:val="00726949"/>
    <w:rsid w:val="0072775B"/>
    <w:rsid w:val="00727BF0"/>
    <w:rsid w:val="007307A1"/>
    <w:rsid w:val="0073090D"/>
    <w:rsid w:val="00730EB2"/>
    <w:rsid w:val="00730FD1"/>
    <w:rsid w:val="00731054"/>
    <w:rsid w:val="0073169C"/>
    <w:rsid w:val="007318A9"/>
    <w:rsid w:val="00731CE9"/>
    <w:rsid w:val="00731DC8"/>
    <w:rsid w:val="00732603"/>
    <w:rsid w:val="00732877"/>
    <w:rsid w:val="00733365"/>
    <w:rsid w:val="007335C7"/>
    <w:rsid w:val="007339E3"/>
    <w:rsid w:val="00733BFC"/>
    <w:rsid w:val="00733DB6"/>
    <w:rsid w:val="007340D7"/>
    <w:rsid w:val="00734494"/>
    <w:rsid w:val="00734A6F"/>
    <w:rsid w:val="00734D00"/>
    <w:rsid w:val="00734FF4"/>
    <w:rsid w:val="007353A9"/>
    <w:rsid w:val="007354A4"/>
    <w:rsid w:val="0073563C"/>
    <w:rsid w:val="007356DF"/>
    <w:rsid w:val="00735C13"/>
    <w:rsid w:val="00735FDF"/>
    <w:rsid w:val="00736443"/>
    <w:rsid w:val="00736926"/>
    <w:rsid w:val="00736C8E"/>
    <w:rsid w:val="00736E3F"/>
    <w:rsid w:val="00736EBD"/>
    <w:rsid w:val="0073C465"/>
    <w:rsid w:val="00740BE8"/>
    <w:rsid w:val="00741236"/>
    <w:rsid w:val="00741578"/>
    <w:rsid w:val="007416F0"/>
    <w:rsid w:val="0074171B"/>
    <w:rsid w:val="007418B8"/>
    <w:rsid w:val="00741D18"/>
    <w:rsid w:val="00741EEF"/>
    <w:rsid w:val="00741FB3"/>
    <w:rsid w:val="00742525"/>
    <w:rsid w:val="0074254B"/>
    <w:rsid w:val="007426F0"/>
    <w:rsid w:val="00742BEC"/>
    <w:rsid w:val="00743A9A"/>
    <w:rsid w:val="00743ABB"/>
    <w:rsid w:val="007440F7"/>
    <w:rsid w:val="00744138"/>
    <w:rsid w:val="0074454B"/>
    <w:rsid w:val="00744B66"/>
    <w:rsid w:val="00744BBE"/>
    <w:rsid w:val="00744D9D"/>
    <w:rsid w:val="00744DB6"/>
    <w:rsid w:val="00744E25"/>
    <w:rsid w:val="007450C6"/>
    <w:rsid w:val="00745230"/>
    <w:rsid w:val="0074569A"/>
    <w:rsid w:val="007459A5"/>
    <w:rsid w:val="00745ABB"/>
    <w:rsid w:val="00745D4A"/>
    <w:rsid w:val="00746097"/>
    <w:rsid w:val="00746B84"/>
    <w:rsid w:val="00746FCE"/>
    <w:rsid w:val="007470B6"/>
    <w:rsid w:val="00747C77"/>
    <w:rsid w:val="007504E6"/>
    <w:rsid w:val="00751E2C"/>
    <w:rsid w:val="00751EFF"/>
    <w:rsid w:val="007524B8"/>
    <w:rsid w:val="007524D0"/>
    <w:rsid w:val="00752B36"/>
    <w:rsid w:val="00752B51"/>
    <w:rsid w:val="00752C57"/>
    <w:rsid w:val="00752DF9"/>
    <w:rsid w:val="007534FE"/>
    <w:rsid w:val="00753559"/>
    <w:rsid w:val="007535D8"/>
    <w:rsid w:val="007536A7"/>
    <w:rsid w:val="007537CC"/>
    <w:rsid w:val="007537DC"/>
    <w:rsid w:val="00753DEA"/>
    <w:rsid w:val="00754164"/>
    <w:rsid w:val="00754432"/>
    <w:rsid w:val="007548E3"/>
    <w:rsid w:val="00754923"/>
    <w:rsid w:val="00754CB7"/>
    <w:rsid w:val="00755121"/>
    <w:rsid w:val="00755230"/>
    <w:rsid w:val="007553DE"/>
    <w:rsid w:val="00755432"/>
    <w:rsid w:val="00755A5E"/>
    <w:rsid w:val="00755B99"/>
    <w:rsid w:val="00755C42"/>
    <w:rsid w:val="00755D5D"/>
    <w:rsid w:val="00755D93"/>
    <w:rsid w:val="00755EA8"/>
    <w:rsid w:val="00755F48"/>
    <w:rsid w:val="00756043"/>
    <w:rsid w:val="007562D9"/>
    <w:rsid w:val="00756319"/>
    <w:rsid w:val="00756F90"/>
    <w:rsid w:val="007571BA"/>
    <w:rsid w:val="00757269"/>
    <w:rsid w:val="00758813"/>
    <w:rsid w:val="00760213"/>
    <w:rsid w:val="007609C1"/>
    <w:rsid w:val="0076110D"/>
    <w:rsid w:val="00761246"/>
    <w:rsid w:val="007613C8"/>
    <w:rsid w:val="00761523"/>
    <w:rsid w:val="00762523"/>
    <w:rsid w:val="007626F6"/>
    <w:rsid w:val="007628C2"/>
    <w:rsid w:val="00762C7E"/>
    <w:rsid w:val="007631C2"/>
    <w:rsid w:val="00763B66"/>
    <w:rsid w:val="00763CC4"/>
    <w:rsid w:val="00764217"/>
    <w:rsid w:val="0076424B"/>
    <w:rsid w:val="007642F8"/>
    <w:rsid w:val="00764427"/>
    <w:rsid w:val="00764460"/>
    <w:rsid w:val="00764805"/>
    <w:rsid w:val="00764AD0"/>
    <w:rsid w:val="00764F34"/>
    <w:rsid w:val="00765451"/>
    <w:rsid w:val="00765912"/>
    <w:rsid w:val="0076603E"/>
    <w:rsid w:val="00766DB0"/>
    <w:rsid w:val="00767067"/>
    <w:rsid w:val="0076719B"/>
    <w:rsid w:val="007673F7"/>
    <w:rsid w:val="00767CC4"/>
    <w:rsid w:val="007706C7"/>
    <w:rsid w:val="00770A48"/>
    <w:rsid w:val="00770DD9"/>
    <w:rsid w:val="007713B1"/>
    <w:rsid w:val="00771A6D"/>
    <w:rsid w:val="00771AB4"/>
    <w:rsid w:val="0077212F"/>
    <w:rsid w:val="00772160"/>
    <w:rsid w:val="007722A8"/>
    <w:rsid w:val="00772735"/>
    <w:rsid w:val="00772C2E"/>
    <w:rsid w:val="00772E6F"/>
    <w:rsid w:val="00772F90"/>
    <w:rsid w:val="007735AA"/>
    <w:rsid w:val="007735B7"/>
    <w:rsid w:val="00773900"/>
    <w:rsid w:val="007739B4"/>
    <w:rsid w:val="00773B0D"/>
    <w:rsid w:val="00773D30"/>
    <w:rsid w:val="00774032"/>
    <w:rsid w:val="007748CA"/>
    <w:rsid w:val="00774B4C"/>
    <w:rsid w:val="00775440"/>
    <w:rsid w:val="007756D4"/>
    <w:rsid w:val="0077570E"/>
    <w:rsid w:val="00775A8B"/>
    <w:rsid w:val="00775E57"/>
    <w:rsid w:val="007768B1"/>
    <w:rsid w:val="00776B9F"/>
    <w:rsid w:val="007770B0"/>
    <w:rsid w:val="00777BA7"/>
    <w:rsid w:val="007809AB"/>
    <w:rsid w:val="00780E32"/>
    <w:rsid w:val="00781014"/>
    <w:rsid w:val="007812CB"/>
    <w:rsid w:val="0078189C"/>
    <w:rsid w:val="00781EAD"/>
    <w:rsid w:val="007822B8"/>
    <w:rsid w:val="007826D2"/>
    <w:rsid w:val="00782D39"/>
    <w:rsid w:val="007832F1"/>
    <w:rsid w:val="00783454"/>
    <w:rsid w:val="007834A1"/>
    <w:rsid w:val="007844B0"/>
    <w:rsid w:val="007846E2"/>
    <w:rsid w:val="00785798"/>
    <w:rsid w:val="00785875"/>
    <w:rsid w:val="00785BEB"/>
    <w:rsid w:val="00786197"/>
    <w:rsid w:val="007866BA"/>
    <w:rsid w:val="007867F2"/>
    <w:rsid w:val="00786EFB"/>
    <w:rsid w:val="007873E8"/>
    <w:rsid w:val="00787C2F"/>
    <w:rsid w:val="00787F12"/>
    <w:rsid w:val="007900A5"/>
    <w:rsid w:val="00790314"/>
    <w:rsid w:val="00791075"/>
    <w:rsid w:val="00791635"/>
    <w:rsid w:val="00791681"/>
    <w:rsid w:val="007916C3"/>
    <w:rsid w:val="007916FA"/>
    <w:rsid w:val="0079183A"/>
    <w:rsid w:val="00791C4F"/>
    <w:rsid w:val="00792822"/>
    <w:rsid w:val="00792B8E"/>
    <w:rsid w:val="00792E92"/>
    <w:rsid w:val="007935B6"/>
    <w:rsid w:val="0079397D"/>
    <w:rsid w:val="00793BDC"/>
    <w:rsid w:val="00793E63"/>
    <w:rsid w:val="00793E94"/>
    <w:rsid w:val="00794021"/>
    <w:rsid w:val="0079412C"/>
    <w:rsid w:val="0079424E"/>
    <w:rsid w:val="00794323"/>
    <w:rsid w:val="00794FC2"/>
    <w:rsid w:val="0079524D"/>
    <w:rsid w:val="0079526A"/>
    <w:rsid w:val="007956D9"/>
    <w:rsid w:val="007959DB"/>
    <w:rsid w:val="00795C12"/>
    <w:rsid w:val="00795DE9"/>
    <w:rsid w:val="00795E00"/>
    <w:rsid w:val="00795FE0"/>
    <w:rsid w:val="00796356"/>
    <w:rsid w:val="00796916"/>
    <w:rsid w:val="00796E09"/>
    <w:rsid w:val="00796FD2"/>
    <w:rsid w:val="007971EC"/>
    <w:rsid w:val="00797235"/>
    <w:rsid w:val="00797588"/>
    <w:rsid w:val="00797D5A"/>
    <w:rsid w:val="007A02B6"/>
    <w:rsid w:val="007A054B"/>
    <w:rsid w:val="007A098C"/>
    <w:rsid w:val="007A12EB"/>
    <w:rsid w:val="007A1321"/>
    <w:rsid w:val="007A1667"/>
    <w:rsid w:val="007A19AA"/>
    <w:rsid w:val="007A1A37"/>
    <w:rsid w:val="007A1C6A"/>
    <w:rsid w:val="007A1FB2"/>
    <w:rsid w:val="007A28DE"/>
    <w:rsid w:val="007A29DB"/>
    <w:rsid w:val="007A2FB5"/>
    <w:rsid w:val="007A341D"/>
    <w:rsid w:val="007A34CA"/>
    <w:rsid w:val="007A383B"/>
    <w:rsid w:val="007A3AA3"/>
    <w:rsid w:val="007A3D0C"/>
    <w:rsid w:val="007A3DF7"/>
    <w:rsid w:val="007A45B8"/>
    <w:rsid w:val="007A4781"/>
    <w:rsid w:val="007A484E"/>
    <w:rsid w:val="007A4BC8"/>
    <w:rsid w:val="007A4E83"/>
    <w:rsid w:val="007A5079"/>
    <w:rsid w:val="007A5385"/>
    <w:rsid w:val="007A61B6"/>
    <w:rsid w:val="007A6E3C"/>
    <w:rsid w:val="007A721B"/>
    <w:rsid w:val="007A7437"/>
    <w:rsid w:val="007A7582"/>
    <w:rsid w:val="007B00A2"/>
    <w:rsid w:val="007B0227"/>
    <w:rsid w:val="007B023F"/>
    <w:rsid w:val="007B0976"/>
    <w:rsid w:val="007B11CC"/>
    <w:rsid w:val="007B1272"/>
    <w:rsid w:val="007B130F"/>
    <w:rsid w:val="007B14A0"/>
    <w:rsid w:val="007B15A4"/>
    <w:rsid w:val="007B1631"/>
    <w:rsid w:val="007B1827"/>
    <w:rsid w:val="007B250F"/>
    <w:rsid w:val="007B2C60"/>
    <w:rsid w:val="007B2D05"/>
    <w:rsid w:val="007B2FAF"/>
    <w:rsid w:val="007B3129"/>
    <w:rsid w:val="007B34E5"/>
    <w:rsid w:val="007B35AD"/>
    <w:rsid w:val="007B3BB8"/>
    <w:rsid w:val="007B45C9"/>
    <w:rsid w:val="007B4759"/>
    <w:rsid w:val="007B4B61"/>
    <w:rsid w:val="007B4E07"/>
    <w:rsid w:val="007B5017"/>
    <w:rsid w:val="007B5066"/>
    <w:rsid w:val="007B534D"/>
    <w:rsid w:val="007B54D9"/>
    <w:rsid w:val="007B595E"/>
    <w:rsid w:val="007B6149"/>
    <w:rsid w:val="007B6508"/>
    <w:rsid w:val="007B6C45"/>
    <w:rsid w:val="007B75A5"/>
    <w:rsid w:val="007B7A29"/>
    <w:rsid w:val="007B7D21"/>
    <w:rsid w:val="007C0253"/>
    <w:rsid w:val="007C0284"/>
    <w:rsid w:val="007C0474"/>
    <w:rsid w:val="007C0D11"/>
    <w:rsid w:val="007C1DB2"/>
    <w:rsid w:val="007C2296"/>
    <w:rsid w:val="007C23E2"/>
    <w:rsid w:val="007C2813"/>
    <w:rsid w:val="007C308C"/>
    <w:rsid w:val="007C36A7"/>
    <w:rsid w:val="007C3A55"/>
    <w:rsid w:val="007C3C6E"/>
    <w:rsid w:val="007C3DB4"/>
    <w:rsid w:val="007C3F00"/>
    <w:rsid w:val="007C42EC"/>
    <w:rsid w:val="007C4B1D"/>
    <w:rsid w:val="007C4EA9"/>
    <w:rsid w:val="007C567A"/>
    <w:rsid w:val="007C56CA"/>
    <w:rsid w:val="007C5A1B"/>
    <w:rsid w:val="007C67E2"/>
    <w:rsid w:val="007C6AA7"/>
    <w:rsid w:val="007C6B23"/>
    <w:rsid w:val="007C6E4A"/>
    <w:rsid w:val="007C71D7"/>
    <w:rsid w:val="007C7C9F"/>
    <w:rsid w:val="007C7CA8"/>
    <w:rsid w:val="007C7E89"/>
    <w:rsid w:val="007D0487"/>
    <w:rsid w:val="007D0788"/>
    <w:rsid w:val="007D087A"/>
    <w:rsid w:val="007D08F7"/>
    <w:rsid w:val="007D0F75"/>
    <w:rsid w:val="007D1F40"/>
    <w:rsid w:val="007D21C2"/>
    <w:rsid w:val="007D22E3"/>
    <w:rsid w:val="007D248B"/>
    <w:rsid w:val="007D25B4"/>
    <w:rsid w:val="007D30ED"/>
    <w:rsid w:val="007D38EA"/>
    <w:rsid w:val="007D3C91"/>
    <w:rsid w:val="007D3CA4"/>
    <w:rsid w:val="007D4024"/>
    <w:rsid w:val="007D43A3"/>
    <w:rsid w:val="007D44B0"/>
    <w:rsid w:val="007D4C1B"/>
    <w:rsid w:val="007D57F4"/>
    <w:rsid w:val="007D6770"/>
    <w:rsid w:val="007D68DC"/>
    <w:rsid w:val="007D6EEA"/>
    <w:rsid w:val="007D6F28"/>
    <w:rsid w:val="007D70A4"/>
    <w:rsid w:val="007D773D"/>
    <w:rsid w:val="007D7A05"/>
    <w:rsid w:val="007D7A26"/>
    <w:rsid w:val="007D7C68"/>
    <w:rsid w:val="007D7E88"/>
    <w:rsid w:val="007E0117"/>
    <w:rsid w:val="007E0AC4"/>
    <w:rsid w:val="007E0B89"/>
    <w:rsid w:val="007E0BB6"/>
    <w:rsid w:val="007E0C9C"/>
    <w:rsid w:val="007E17AB"/>
    <w:rsid w:val="007E1F7D"/>
    <w:rsid w:val="007E20D2"/>
    <w:rsid w:val="007E25D0"/>
    <w:rsid w:val="007E2D7D"/>
    <w:rsid w:val="007E3DA5"/>
    <w:rsid w:val="007E4616"/>
    <w:rsid w:val="007E49E0"/>
    <w:rsid w:val="007E4E5F"/>
    <w:rsid w:val="007E4E96"/>
    <w:rsid w:val="007E52E2"/>
    <w:rsid w:val="007E5433"/>
    <w:rsid w:val="007E55D4"/>
    <w:rsid w:val="007E5AF0"/>
    <w:rsid w:val="007E6619"/>
    <w:rsid w:val="007E74D1"/>
    <w:rsid w:val="007E74FC"/>
    <w:rsid w:val="007E7A93"/>
    <w:rsid w:val="007E7C7B"/>
    <w:rsid w:val="007E7DA2"/>
    <w:rsid w:val="007F0A3F"/>
    <w:rsid w:val="007F0ABD"/>
    <w:rsid w:val="007F1ABC"/>
    <w:rsid w:val="007F1FED"/>
    <w:rsid w:val="007F20DA"/>
    <w:rsid w:val="007F21F8"/>
    <w:rsid w:val="007F289B"/>
    <w:rsid w:val="007F2CCC"/>
    <w:rsid w:val="007F2FE9"/>
    <w:rsid w:val="007F3445"/>
    <w:rsid w:val="007F34B1"/>
    <w:rsid w:val="007F35BB"/>
    <w:rsid w:val="007F377E"/>
    <w:rsid w:val="007F37F3"/>
    <w:rsid w:val="007F4884"/>
    <w:rsid w:val="007F48F1"/>
    <w:rsid w:val="007F4BC9"/>
    <w:rsid w:val="007F50BB"/>
    <w:rsid w:val="007F5BEE"/>
    <w:rsid w:val="007F5FDF"/>
    <w:rsid w:val="007F604B"/>
    <w:rsid w:val="007F6061"/>
    <w:rsid w:val="007F6260"/>
    <w:rsid w:val="007F64CB"/>
    <w:rsid w:val="007F6B4E"/>
    <w:rsid w:val="007F7412"/>
    <w:rsid w:val="007F76FF"/>
    <w:rsid w:val="007F7B22"/>
    <w:rsid w:val="00800260"/>
    <w:rsid w:val="008003F7"/>
    <w:rsid w:val="00800470"/>
    <w:rsid w:val="008007FD"/>
    <w:rsid w:val="00800ACA"/>
    <w:rsid w:val="00800CE4"/>
    <w:rsid w:val="00800DBC"/>
    <w:rsid w:val="008011D4"/>
    <w:rsid w:val="008015ED"/>
    <w:rsid w:val="00801A11"/>
    <w:rsid w:val="008022D7"/>
    <w:rsid w:val="008024FB"/>
    <w:rsid w:val="0080268B"/>
    <w:rsid w:val="00802742"/>
    <w:rsid w:val="00802894"/>
    <w:rsid w:val="00802A9F"/>
    <w:rsid w:val="00802BB2"/>
    <w:rsid w:val="00802DD5"/>
    <w:rsid w:val="00803925"/>
    <w:rsid w:val="00803B43"/>
    <w:rsid w:val="00804C93"/>
    <w:rsid w:val="00804DEE"/>
    <w:rsid w:val="00804E2C"/>
    <w:rsid w:val="0080536E"/>
    <w:rsid w:val="0080665F"/>
    <w:rsid w:val="0080668C"/>
    <w:rsid w:val="008067A7"/>
    <w:rsid w:val="00806C06"/>
    <w:rsid w:val="00807888"/>
    <w:rsid w:val="008101C4"/>
    <w:rsid w:val="0081063E"/>
    <w:rsid w:val="0081081A"/>
    <w:rsid w:val="0081087A"/>
    <w:rsid w:val="00810EFE"/>
    <w:rsid w:val="008110B0"/>
    <w:rsid w:val="00811B0D"/>
    <w:rsid w:val="0081229F"/>
    <w:rsid w:val="00812642"/>
    <w:rsid w:val="00812EF3"/>
    <w:rsid w:val="0081316F"/>
    <w:rsid w:val="00813375"/>
    <w:rsid w:val="00813BC1"/>
    <w:rsid w:val="00814739"/>
    <w:rsid w:val="008148AC"/>
    <w:rsid w:val="008148CD"/>
    <w:rsid w:val="00814D2F"/>
    <w:rsid w:val="008150C6"/>
    <w:rsid w:val="008153B8"/>
    <w:rsid w:val="008166AD"/>
    <w:rsid w:val="008168CD"/>
    <w:rsid w:val="00816BE2"/>
    <w:rsid w:val="00816D57"/>
    <w:rsid w:val="00817372"/>
    <w:rsid w:val="00817375"/>
    <w:rsid w:val="008179F2"/>
    <w:rsid w:val="008203C4"/>
    <w:rsid w:val="0082044F"/>
    <w:rsid w:val="00820569"/>
    <w:rsid w:val="0082062F"/>
    <w:rsid w:val="0082093D"/>
    <w:rsid w:val="0082097A"/>
    <w:rsid w:val="00820D08"/>
    <w:rsid w:val="00820E4B"/>
    <w:rsid w:val="00820FF5"/>
    <w:rsid w:val="008212C6"/>
    <w:rsid w:val="008217FC"/>
    <w:rsid w:val="008217FE"/>
    <w:rsid w:val="00821981"/>
    <w:rsid w:val="00821E0F"/>
    <w:rsid w:val="00821E36"/>
    <w:rsid w:val="00821E83"/>
    <w:rsid w:val="00822096"/>
    <w:rsid w:val="00822116"/>
    <w:rsid w:val="0082241F"/>
    <w:rsid w:val="008226FB"/>
    <w:rsid w:val="00822FFB"/>
    <w:rsid w:val="008239B0"/>
    <w:rsid w:val="00823EB7"/>
    <w:rsid w:val="008248AC"/>
    <w:rsid w:val="00824AEC"/>
    <w:rsid w:val="00824C98"/>
    <w:rsid w:val="00824F86"/>
    <w:rsid w:val="008252C0"/>
    <w:rsid w:val="0082536F"/>
    <w:rsid w:val="00825B02"/>
    <w:rsid w:val="00825F3C"/>
    <w:rsid w:val="0082646B"/>
    <w:rsid w:val="00826A2F"/>
    <w:rsid w:val="00826DE2"/>
    <w:rsid w:val="00826F0F"/>
    <w:rsid w:val="008272C3"/>
    <w:rsid w:val="008276E9"/>
    <w:rsid w:val="00827EC9"/>
    <w:rsid w:val="00827F14"/>
    <w:rsid w:val="00830450"/>
    <w:rsid w:val="00830496"/>
    <w:rsid w:val="0083059D"/>
    <w:rsid w:val="008306EA"/>
    <w:rsid w:val="00830967"/>
    <w:rsid w:val="00830D0E"/>
    <w:rsid w:val="008311C9"/>
    <w:rsid w:val="00831305"/>
    <w:rsid w:val="008314D4"/>
    <w:rsid w:val="0083189F"/>
    <w:rsid w:val="00831B82"/>
    <w:rsid w:val="00831CE2"/>
    <w:rsid w:val="008320F0"/>
    <w:rsid w:val="008322A2"/>
    <w:rsid w:val="008322EE"/>
    <w:rsid w:val="00832C9A"/>
    <w:rsid w:val="00833585"/>
    <w:rsid w:val="008339C7"/>
    <w:rsid w:val="00833B1A"/>
    <w:rsid w:val="0083437E"/>
    <w:rsid w:val="00834530"/>
    <w:rsid w:val="008349C1"/>
    <w:rsid w:val="00834EE4"/>
    <w:rsid w:val="008350B7"/>
    <w:rsid w:val="00835C9D"/>
    <w:rsid w:val="00836471"/>
    <w:rsid w:val="00836C27"/>
    <w:rsid w:val="008373EE"/>
    <w:rsid w:val="0083757A"/>
    <w:rsid w:val="00837897"/>
    <w:rsid w:val="00837999"/>
    <w:rsid w:val="00837A88"/>
    <w:rsid w:val="00837C3D"/>
    <w:rsid w:val="00837CE7"/>
    <w:rsid w:val="00837DB9"/>
    <w:rsid w:val="0084027B"/>
    <w:rsid w:val="008405A5"/>
    <w:rsid w:val="00840A0D"/>
    <w:rsid w:val="00840B22"/>
    <w:rsid w:val="008415F1"/>
    <w:rsid w:val="008419F8"/>
    <w:rsid w:val="00841BBB"/>
    <w:rsid w:val="00841F61"/>
    <w:rsid w:val="00842140"/>
    <w:rsid w:val="008422E6"/>
    <w:rsid w:val="0084232A"/>
    <w:rsid w:val="008427CE"/>
    <w:rsid w:val="008437C6"/>
    <w:rsid w:val="008439DA"/>
    <w:rsid w:val="00843A91"/>
    <w:rsid w:val="00843BFF"/>
    <w:rsid w:val="00843C1C"/>
    <w:rsid w:val="00843E0B"/>
    <w:rsid w:val="0084417C"/>
    <w:rsid w:val="0084481D"/>
    <w:rsid w:val="00844C5D"/>
    <w:rsid w:val="00844CC9"/>
    <w:rsid w:val="00844CE4"/>
    <w:rsid w:val="00845573"/>
    <w:rsid w:val="0084581F"/>
    <w:rsid w:val="008459BC"/>
    <w:rsid w:val="00845B04"/>
    <w:rsid w:val="00845B06"/>
    <w:rsid w:val="00845EE3"/>
    <w:rsid w:val="00845FC7"/>
    <w:rsid w:val="00846010"/>
    <w:rsid w:val="008466F5"/>
    <w:rsid w:val="0084696C"/>
    <w:rsid w:val="008469E9"/>
    <w:rsid w:val="00846B6E"/>
    <w:rsid w:val="00846B9E"/>
    <w:rsid w:val="00847A02"/>
    <w:rsid w:val="00847D89"/>
    <w:rsid w:val="00847F12"/>
    <w:rsid w:val="00847FA1"/>
    <w:rsid w:val="008505A1"/>
    <w:rsid w:val="00851FB7"/>
    <w:rsid w:val="0085223A"/>
    <w:rsid w:val="008525B5"/>
    <w:rsid w:val="00852A01"/>
    <w:rsid w:val="008530C9"/>
    <w:rsid w:val="008531CD"/>
    <w:rsid w:val="008531F4"/>
    <w:rsid w:val="008533C7"/>
    <w:rsid w:val="0085352C"/>
    <w:rsid w:val="00853535"/>
    <w:rsid w:val="008537B0"/>
    <w:rsid w:val="00853C95"/>
    <w:rsid w:val="00853E1B"/>
    <w:rsid w:val="00854106"/>
    <w:rsid w:val="008541A4"/>
    <w:rsid w:val="0085426F"/>
    <w:rsid w:val="00854676"/>
    <w:rsid w:val="0085485F"/>
    <w:rsid w:val="00854879"/>
    <w:rsid w:val="00854A6F"/>
    <w:rsid w:val="00854F89"/>
    <w:rsid w:val="00855050"/>
    <w:rsid w:val="008550D7"/>
    <w:rsid w:val="00855916"/>
    <w:rsid w:val="00855E33"/>
    <w:rsid w:val="00856898"/>
    <w:rsid w:val="008568AD"/>
    <w:rsid w:val="00856AA4"/>
    <w:rsid w:val="00856D9C"/>
    <w:rsid w:val="00857436"/>
    <w:rsid w:val="0085759A"/>
    <w:rsid w:val="00857817"/>
    <w:rsid w:val="00857D84"/>
    <w:rsid w:val="00857F1B"/>
    <w:rsid w:val="00857FF8"/>
    <w:rsid w:val="008605F7"/>
    <w:rsid w:val="0086065D"/>
    <w:rsid w:val="0086076C"/>
    <w:rsid w:val="00860B91"/>
    <w:rsid w:val="00861326"/>
    <w:rsid w:val="0086141F"/>
    <w:rsid w:val="008615D5"/>
    <w:rsid w:val="00861AC8"/>
    <w:rsid w:val="00861B1C"/>
    <w:rsid w:val="00861CCC"/>
    <w:rsid w:val="00861E0D"/>
    <w:rsid w:val="00862171"/>
    <w:rsid w:val="008622CC"/>
    <w:rsid w:val="008625AE"/>
    <w:rsid w:val="0086275F"/>
    <w:rsid w:val="008627D9"/>
    <w:rsid w:val="00862996"/>
    <w:rsid w:val="0086320A"/>
    <w:rsid w:val="00863649"/>
    <w:rsid w:val="008646B6"/>
    <w:rsid w:val="00864CB5"/>
    <w:rsid w:val="00864E7A"/>
    <w:rsid w:val="00865513"/>
    <w:rsid w:val="00865C37"/>
    <w:rsid w:val="00865E06"/>
    <w:rsid w:val="00865E36"/>
    <w:rsid w:val="00865E96"/>
    <w:rsid w:val="0086646D"/>
    <w:rsid w:val="008664C4"/>
    <w:rsid w:val="008664DA"/>
    <w:rsid w:val="00866682"/>
    <w:rsid w:val="00866893"/>
    <w:rsid w:val="00866924"/>
    <w:rsid w:val="0086743E"/>
    <w:rsid w:val="00867481"/>
    <w:rsid w:val="00867A29"/>
    <w:rsid w:val="00867AC6"/>
    <w:rsid w:val="00867EEB"/>
    <w:rsid w:val="00867F0D"/>
    <w:rsid w:val="00867FB1"/>
    <w:rsid w:val="00870B39"/>
    <w:rsid w:val="008710EE"/>
    <w:rsid w:val="0087156F"/>
    <w:rsid w:val="0087195B"/>
    <w:rsid w:val="00871AAF"/>
    <w:rsid w:val="00871DFC"/>
    <w:rsid w:val="00872021"/>
    <w:rsid w:val="00872681"/>
    <w:rsid w:val="008726AE"/>
    <w:rsid w:val="00872824"/>
    <w:rsid w:val="00872F97"/>
    <w:rsid w:val="00872FA4"/>
    <w:rsid w:val="0087312F"/>
    <w:rsid w:val="00873259"/>
    <w:rsid w:val="008734BA"/>
    <w:rsid w:val="00873893"/>
    <w:rsid w:val="008739F8"/>
    <w:rsid w:val="00873B8D"/>
    <w:rsid w:val="008744A8"/>
    <w:rsid w:val="00874609"/>
    <w:rsid w:val="00874B6A"/>
    <w:rsid w:val="00875358"/>
    <w:rsid w:val="008756F3"/>
    <w:rsid w:val="00875D1F"/>
    <w:rsid w:val="00875DDB"/>
    <w:rsid w:val="0087640A"/>
    <w:rsid w:val="00876422"/>
    <w:rsid w:val="00876476"/>
    <w:rsid w:val="008773E5"/>
    <w:rsid w:val="00880441"/>
    <w:rsid w:val="0088068F"/>
    <w:rsid w:val="008806F8"/>
    <w:rsid w:val="008808E4"/>
    <w:rsid w:val="00880935"/>
    <w:rsid w:val="00881392"/>
    <w:rsid w:val="008814CF"/>
    <w:rsid w:val="00881567"/>
    <w:rsid w:val="00881A04"/>
    <w:rsid w:val="00882506"/>
    <w:rsid w:val="00882558"/>
    <w:rsid w:val="008829D9"/>
    <w:rsid w:val="00882AFC"/>
    <w:rsid w:val="00882CDB"/>
    <w:rsid w:val="00883330"/>
    <w:rsid w:val="00883465"/>
    <w:rsid w:val="0088378E"/>
    <w:rsid w:val="00883B57"/>
    <w:rsid w:val="00883C63"/>
    <w:rsid w:val="00883EAD"/>
    <w:rsid w:val="00884138"/>
    <w:rsid w:val="00884169"/>
    <w:rsid w:val="00885261"/>
    <w:rsid w:val="00885353"/>
    <w:rsid w:val="00885504"/>
    <w:rsid w:val="00885777"/>
    <w:rsid w:val="0088612D"/>
    <w:rsid w:val="00886AE0"/>
    <w:rsid w:val="00887301"/>
    <w:rsid w:val="008875EE"/>
    <w:rsid w:val="00887812"/>
    <w:rsid w:val="00887F52"/>
    <w:rsid w:val="0089049A"/>
    <w:rsid w:val="0089084B"/>
    <w:rsid w:val="008908EA"/>
    <w:rsid w:val="008909AB"/>
    <w:rsid w:val="00890C3C"/>
    <w:rsid w:val="00890DC5"/>
    <w:rsid w:val="0089106A"/>
    <w:rsid w:val="0089120D"/>
    <w:rsid w:val="00891535"/>
    <w:rsid w:val="00891B0F"/>
    <w:rsid w:val="00891EFF"/>
    <w:rsid w:val="00892154"/>
    <w:rsid w:val="00892177"/>
    <w:rsid w:val="00892440"/>
    <w:rsid w:val="008924AF"/>
    <w:rsid w:val="00892599"/>
    <w:rsid w:val="00892601"/>
    <w:rsid w:val="0089275E"/>
    <w:rsid w:val="00892A52"/>
    <w:rsid w:val="00892B80"/>
    <w:rsid w:val="00892C75"/>
    <w:rsid w:val="00893061"/>
    <w:rsid w:val="008931EB"/>
    <w:rsid w:val="00893288"/>
    <w:rsid w:val="008936F9"/>
    <w:rsid w:val="00893D53"/>
    <w:rsid w:val="00894A05"/>
    <w:rsid w:val="00894BBD"/>
    <w:rsid w:val="008955BB"/>
    <w:rsid w:val="0089696D"/>
    <w:rsid w:val="00896A4F"/>
    <w:rsid w:val="00896C7C"/>
    <w:rsid w:val="0089726E"/>
    <w:rsid w:val="0089785D"/>
    <w:rsid w:val="008979FB"/>
    <w:rsid w:val="008A0126"/>
    <w:rsid w:val="008A0665"/>
    <w:rsid w:val="008A0EF2"/>
    <w:rsid w:val="008A12AD"/>
    <w:rsid w:val="008A1C2C"/>
    <w:rsid w:val="008A27B6"/>
    <w:rsid w:val="008A2AB3"/>
    <w:rsid w:val="008A2E03"/>
    <w:rsid w:val="008A2F19"/>
    <w:rsid w:val="008A301B"/>
    <w:rsid w:val="008A3286"/>
    <w:rsid w:val="008A3294"/>
    <w:rsid w:val="008A35AE"/>
    <w:rsid w:val="008A38DB"/>
    <w:rsid w:val="008A3D09"/>
    <w:rsid w:val="008A403D"/>
    <w:rsid w:val="008A40A9"/>
    <w:rsid w:val="008A44DA"/>
    <w:rsid w:val="008A4A54"/>
    <w:rsid w:val="008A4DC4"/>
    <w:rsid w:val="008A4EE6"/>
    <w:rsid w:val="008A4F76"/>
    <w:rsid w:val="008A509A"/>
    <w:rsid w:val="008A510C"/>
    <w:rsid w:val="008A595C"/>
    <w:rsid w:val="008A5A9E"/>
    <w:rsid w:val="008A6BDC"/>
    <w:rsid w:val="008A74F7"/>
    <w:rsid w:val="008A7636"/>
    <w:rsid w:val="008A763D"/>
    <w:rsid w:val="008A7B0B"/>
    <w:rsid w:val="008A7E9C"/>
    <w:rsid w:val="008B0AFB"/>
    <w:rsid w:val="008B0D97"/>
    <w:rsid w:val="008B0E75"/>
    <w:rsid w:val="008B147C"/>
    <w:rsid w:val="008B1966"/>
    <w:rsid w:val="008B1BA2"/>
    <w:rsid w:val="008B1D02"/>
    <w:rsid w:val="008B1D85"/>
    <w:rsid w:val="008B2827"/>
    <w:rsid w:val="008B2ACE"/>
    <w:rsid w:val="008B2B45"/>
    <w:rsid w:val="008B2FD5"/>
    <w:rsid w:val="008B339E"/>
    <w:rsid w:val="008B3B13"/>
    <w:rsid w:val="008B40EE"/>
    <w:rsid w:val="008B40FD"/>
    <w:rsid w:val="008B42C2"/>
    <w:rsid w:val="008B457C"/>
    <w:rsid w:val="008B4611"/>
    <w:rsid w:val="008B497C"/>
    <w:rsid w:val="008B4DF0"/>
    <w:rsid w:val="008B4EA4"/>
    <w:rsid w:val="008B592C"/>
    <w:rsid w:val="008B61F5"/>
    <w:rsid w:val="008B6A73"/>
    <w:rsid w:val="008B70E8"/>
    <w:rsid w:val="008B7284"/>
    <w:rsid w:val="008B73DD"/>
    <w:rsid w:val="008B7D10"/>
    <w:rsid w:val="008B7D87"/>
    <w:rsid w:val="008B7E56"/>
    <w:rsid w:val="008B7E74"/>
    <w:rsid w:val="008C002E"/>
    <w:rsid w:val="008C015D"/>
    <w:rsid w:val="008C0598"/>
    <w:rsid w:val="008C0CBD"/>
    <w:rsid w:val="008C0EE0"/>
    <w:rsid w:val="008C15EB"/>
    <w:rsid w:val="008C1F71"/>
    <w:rsid w:val="008C2546"/>
    <w:rsid w:val="008C2634"/>
    <w:rsid w:val="008C2811"/>
    <w:rsid w:val="008C285E"/>
    <w:rsid w:val="008C36D8"/>
    <w:rsid w:val="008C3804"/>
    <w:rsid w:val="008C3C67"/>
    <w:rsid w:val="008C4B54"/>
    <w:rsid w:val="008C4BC8"/>
    <w:rsid w:val="008C506A"/>
    <w:rsid w:val="008C5591"/>
    <w:rsid w:val="008C56CB"/>
    <w:rsid w:val="008C56F1"/>
    <w:rsid w:val="008C5861"/>
    <w:rsid w:val="008C626A"/>
    <w:rsid w:val="008C6CAE"/>
    <w:rsid w:val="008C70B8"/>
    <w:rsid w:val="008C70F5"/>
    <w:rsid w:val="008C722D"/>
    <w:rsid w:val="008C72E9"/>
    <w:rsid w:val="008C7A12"/>
    <w:rsid w:val="008C7C65"/>
    <w:rsid w:val="008C7E40"/>
    <w:rsid w:val="008D01AF"/>
    <w:rsid w:val="008D0257"/>
    <w:rsid w:val="008D02D5"/>
    <w:rsid w:val="008D0917"/>
    <w:rsid w:val="008D0E1F"/>
    <w:rsid w:val="008D137B"/>
    <w:rsid w:val="008D1A47"/>
    <w:rsid w:val="008D1AD6"/>
    <w:rsid w:val="008D1C09"/>
    <w:rsid w:val="008D1FDC"/>
    <w:rsid w:val="008D20F4"/>
    <w:rsid w:val="008D2850"/>
    <w:rsid w:val="008D2DC4"/>
    <w:rsid w:val="008D33F7"/>
    <w:rsid w:val="008D3491"/>
    <w:rsid w:val="008D3C1C"/>
    <w:rsid w:val="008D3CC9"/>
    <w:rsid w:val="008D4A9E"/>
    <w:rsid w:val="008D5022"/>
    <w:rsid w:val="008D557B"/>
    <w:rsid w:val="008D56CD"/>
    <w:rsid w:val="008D5EF9"/>
    <w:rsid w:val="008D603C"/>
    <w:rsid w:val="008D6429"/>
    <w:rsid w:val="008D645E"/>
    <w:rsid w:val="008D6715"/>
    <w:rsid w:val="008D671A"/>
    <w:rsid w:val="008D69B1"/>
    <w:rsid w:val="008D6F0A"/>
    <w:rsid w:val="008D715D"/>
    <w:rsid w:val="008D789F"/>
    <w:rsid w:val="008D7CAE"/>
    <w:rsid w:val="008D7D9A"/>
    <w:rsid w:val="008D7DED"/>
    <w:rsid w:val="008E0654"/>
    <w:rsid w:val="008E099B"/>
    <w:rsid w:val="008E1763"/>
    <w:rsid w:val="008E1BA8"/>
    <w:rsid w:val="008E1C3F"/>
    <w:rsid w:val="008E1C64"/>
    <w:rsid w:val="008E1D78"/>
    <w:rsid w:val="008E2209"/>
    <w:rsid w:val="008E22B7"/>
    <w:rsid w:val="008E2769"/>
    <w:rsid w:val="008E2E8B"/>
    <w:rsid w:val="008E3120"/>
    <w:rsid w:val="008E373E"/>
    <w:rsid w:val="008E3A68"/>
    <w:rsid w:val="008E3CDF"/>
    <w:rsid w:val="008E41CE"/>
    <w:rsid w:val="008E46FC"/>
    <w:rsid w:val="008E4838"/>
    <w:rsid w:val="008E48C3"/>
    <w:rsid w:val="008E4A1B"/>
    <w:rsid w:val="008E4F65"/>
    <w:rsid w:val="008E5290"/>
    <w:rsid w:val="008E6235"/>
    <w:rsid w:val="008E6408"/>
    <w:rsid w:val="008E64B1"/>
    <w:rsid w:val="008E654F"/>
    <w:rsid w:val="008E6E63"/>
    <w:rsid w:val="008E7550"/>
    <w:rsid w:val="008E760A"/>
    <w:rsid w:val="008E7627"/>
    <w:rsid w:val="008E765C"/>
    <w:rsid w:val="008E769C"/>
    <w:rsid w:val="008E7B5F"/>
    <w:rsid w:val="008F0FF4"/>
    <w:rsid w:val="008F130C"/>
    <w:rsid w:val="008F1AE1"/>
    <w:rsid w:val="008F1E81"/>
    <w:rsid w:val="008F202F"/>
    <w:rsid w:val="008F29B7"/>
    <w:rsid w:val="008F2A7B"/>
    <w:rsid w:val="008F2B3D"/>
    <w:rsid w:val="008F2DB5"/>
    <w:rsid w:val="008F3B30"/>
    <w:rsid w:val="008F3B47"/>
    <w:rsid w:val="008F3EFF"/>
    <w:rsid w:val="008F406C"/>
    <w:rsid w:val="008F4141"/>
    <w:rsid w:val="008F4A2C"/>
    <w:rsid w:val="008F4C35"/>
    <w:rsid w:val="008F5045"/>
    <w:rsid w:val="008F510F"/>
    <w:rsid w:val="008F522B"/>
    <w:rsid w:val="008F5612"/>
    <w:rsid w:val="008F6011"/>
    <w:rsid w:val="008F6393"/>
    <w:rsid w:val="008F6570"/>
    <w:rsid w:val="008F6AC0"/>
    <w:rsid w:val="008F6D36"/>
    <w:rsid w:val="008F6D4B"/>
    <w:rsid w:val="008F6D8B"/>
    <w:rsid w:val="008F6FFF"/>
    <w:rsid w:val="008F74F5"/>
    <w:rsid w:val="008F75AB"/>
    <w:rsid w:val="008F7A65"/>
    <w:rsid w:val="008F7CDC"/>
    <w:rsid w:val="0090039E"/>
    <w:rsid w:val="00900904"/>
    <w:rsid w:val="00900B6D"/>
    <w:rsid w:val="00900B96"/>
    <w:rsid w:val="00900E13"/>
    <w:rsid w:val="009016B8"/>
    <w:rsid w:val="00901B5D"/>
    <w:rsid w:val="00901C43"/>
    <w:rsid w:val="00901F96"/>
    <w:rsid w:val="00902237"/>
    <w:rsid w:val="00902536"/>
    <w:rsid w:val="00902D1D"/>
    <w:rsid w:val="00902DCE"/>
    <w:rsid w:val="00902EFB"/>
    <w:rsid w:val="00903571"/>
    <w:rsid w:val="00903613"/>
    <w:rsid w:val="0090374D"/>
    <w:rsid w:val="00903806"/>
    <w:rsid w:val="00903AB8"/>
    <w:rsid w:val="00903C64"/>
    <w:rsid w:val="00904B0E"/>
    <w:rsid w:val="00904D9A"/>
    <w:rsid w:val="009052E0"/>
    <w:rsid w:val="00905696"/>
    <w:rsid w:val="009062F6"/>
    <w:rsid w:val="00906455"/>
    <w:rsid w:val="0090646F"/>
    <w:rsid w:val="009067DC"/>
    <w:rsid w:val="009068E6"/>
    <w:rsid w:val="00906BBC"/>
    <w:rsid w:val="00906BDD"/>
    <w:rsid w:val="0090715D"/>
    <w:rsid w:val="00907396"/>
    <w:rsid w:val="009076D8"/>
    <w:rsid w:val="00907F80"/>
    <w:rsid w:val="00907FCC"/>
    <w:rsid w:val="00910D5A"/>
    <w:rsid w:val="0091172B"/>
    <w:rsid w:val="00911A29"/>
    <w:rsid w:val="00911A91"/>
    <w:rsid w:val="00911DAE"/>
    <w:rsid w:val="00911DD6"/>
    <w:rsid w:val="009125C0"/>
    <w:rsid w:val="00912F16"/>
    <w:rsid w:val="009134C4"/>
    <w:rsid w:val="00913796"/>
    <w:rsid w:val="00913813"/>
    <w:rsid w:val="00913905"/>
    <w:rsid w:val="00913A74"/>
    <w:rsid w:val="00913AFD"/>
    <w:rsid w:val="00913CC8"/>
    <w:rsid w:val="00913F31"/>
    <w:rsid w:val="0091416B"/>
    <w:rsid w:val="00914203"/>
    <w:rsid w:val="00914851"/>
    <w:rsid w:val="009148E2"/>
    <w:rsid w:val="00914980"/>
    <w:rsid w:val="00914FF1"/>
    <w:rsid w:val="00915044"/>
    <w:rsid w:val="00915FF1"/>
    <w:rsid w:val="00916209"/>
    <w:rsid w:val="00916377"/>
    <w:rsid w:val="009164FB"/>
    <w:rsid w:val="00916707"/>
    <w:rsid w:val="00916A58"/>
    <w:rsid w:val="00917B10"/>
    <w:rsid w:val="00917CC3"/>
    <w:rsid w:val="0092024B"/>
    <w:rsid w:val="0092042F"/>
    <w:rsid w:val="00920691"/>
    <w:rsid w:val="00920778"/>
    <w:rsid w:val="009207C8"/>
    <w:rsid w:val="00921012"/>
    <w:rsid w:val="009216F1"/>
    <w:rsid w:val="00921BAF"/>
    <w:rsid w:val="00921CA2"/>
    <w:rsid w:val="0092232C"/>
    <w:rsid w:val="0092236F"/>
    <w:rsid w:val="009224CD"/>
    <w:rsid w:val="00922CAE"/>
    <w:rsid w:val="00924077"/>
    <w:rsid w:val="009241C1"/>
    <w:rsid w:val="009246EE"/>
    <w:rsid w:val="00924743"/>
    <w:rsid w:val="00924AEE"/>
    <w:rsid w:val="00924E79"/>
    <w:rsid w:val="009250BD"/>
    <w:rsid w:val="009251BD"/>
    <w:rsid w:val="009255A1"/>
    <w:rsid w:val="00925738"/>
    <w:rsid w:val="009258C7"/>
    <w:rsid w:val="00925A08"/>
    <w:rsid w:val="00925FA8"/>
    <w:rsid w:val="009265E0"/>
    <w:rsid w:val="009268B9"/>
    <w:rsid w:val="00927DAA"/>
    <w:rsid w:val="00930166"/>
    <w:rsid w:val="009306CF"/>
    <w:rsid w:val="0093092B"/>
    <w:rsid w:val="009309BE"/>
    <w:rsid w:val="00930F3C"/>
    <w:rsid w:val="00931971"/>
    <w:rsid w:val="00931A90"/>
    <w:rsid w:val="00931DEE"/>
    <w:rsid w:val="00931F81"/>
    <w:rsid w:val="009321E1"/>
    <w:rsid w:val="0093233A"/>
    <w:rsid w:val="009323E2"/>
    <w:rsid w:val="0093240B"/>
    <w:rsid w:val="00932A9A"/>
    <w:rsid w:val="009331CF"/>
    <w:rsid w:val="0093339D"/>
    <w:rsid w:val="00933BA9"/>
    <w:rsid w:val="00933FC6"/>
    <w:rsid w:val="00934632"/>
    <w:rsid w:val="009346C4"/>
    <w:rsid w:val="0093472C"/>
    <w:rsid w:val="0093491C"/>
    <w:rsid w:val="009349D4"/>
    <w:rsid w:val="00934A7E"/>
    <w:rsid w:val="00934CA6"/>
    <w:rsid w:val="009354FD"/>
    <w:rsid w:val="0093561A"/>
    <w:rsid w:val="00935838"/>
    <w:rsid w:val="0093628A"/>
    <w:rsid w:val="0093652D"/>
    <w:rsid w:val="009366DF"/>
    <w:rsid w:val="009368FE"/>
    <w:rsid w:val="009373F2"/>
    <w:rsid w:val="009375DD"/>
    <w:rsid w:val="0093783D"/>
    <w:rsid w:val="00937914"/>
    <w:rsid w:val="00937DE9"/>
    <w:rsid w:val="00937FCF"/>
    <w:rsid w:val="009403EB"/>
    <w:rsid w:val="0094043E"/>
    <w:rsid w:val="009409B6"/>
    <w:rsid w:val="009409EF"/>
    <w:rsid w:val="00940B9B"/>
    <w:rsid w:val="00940D38"/>
    <w:rsid w:val="00940E86"/>
    <w:rsid w:val="00940FD5"/>
    <w:rsid w:val="009411A1"/>
    <w:rsid w:val="009411E5"/>
    <w:rsid w:val="009427AA"/>
    <w:rsid w:val="00943582"/>
    <w:rsid w:val="009436C2"/>
    <w:rsid w:val="00943F79"/>
    <w:rsid w:val="00943FEE"/>
    <w:rsid w:val="009449C8"/>
    <w:rsid w:val="00945086"/>
    <w:rsid w:val="0094580C"/>
    <w:rsid w:val="0094694B"/>
    <w:rsid w:val="0094727F"/>
    <w:rsid w:val="00947962"/>
    <w:rsid w:val="00950001"/>
    <w:rsid w:val="009502C1"/>
    <w:rsid w:val="009506E2"/>
    <w:rsid w:val="0095076C"/>
    <w:rsid w:val="00950BA5"/>
    <w:rsid w:val="00951162"/>
    <w:rsid w:val="009511EB"/>
    <w:rsid w:val="00951385"/>
    <w:rsid w:val="0095191C"/>
    <w:rsid w:val="00951AC1"/>
    <w:rsid w:val="00951AD8"/>
    <w:rsid w:val="0095206A"/>
    <w:rsid w:val="0095288F"/>
    <w:rsid w:val="00952A70"/>
    <w:rsid w:val="00952CB3"/>
    <w:rsid w:val="00952E9A"/>
    <w:rsid w:val="00953307"/>
    <w:rsid w:val="00953652"/>
    <w:rsid w:val="0095396C"/>
    <w:rsid w:val="00953D30"/>
    <w:rsid w:val="00953E2A"/>
    <w:rsid w:val="009546B5"/>
    <w:rsid w:val="009548B4"/>
    <w:rsid w:val="009549A5"/>
    <w:rsid w:val="00954CCF"/>
    <w:rsid w:val="009551A7"/>
    <w:rsid w:val="00955D43"/>
    <w:rsid w:val="0095616A"/>
    <w:rsid w:val="0095795B"/>
    <w:rsid w:val="009579FE"/>
    <w:rsid w:val="00957A13"/>
    <w:rsid w:val="00957D70"/>
    <w:rsid w:val="009603B5"/>
    <w:rsid w:val="009605D3"/>
    <w:rsid w:val="00960A88"/>
    <w:rsid w:val="00960AFF"/>
    <w:rsid w:val="00960BD1"/>
    <w:rsid w:val="00960FAD"/>
    <w:rsid w:val="009611E8"/>
    <w:rsid w:val="00961253"/>
    <w:rsid w:val="0096143E"/>
    <w:rsid w:val="009615FD"/>
    <w:rsid w:val="00961A60"/>
    <w:rsid w:val="00962032"/>
    <w:rsid w:val="009620CC"/>
    <w:rsid w:val="009620CD"/>
    <w:rsid w:val="0096268A"/>
    <w:rsid w:val="00962830"/>
    <w:rsid w:val="00962948"/>
    <w:rsid w:val="00962EF7"/>
    <w:rsid w:val="00962F39"/>
    <w:rsid w:val="009631DF"/>
    <w:rsid w:val="00963532"/>
    <w:rsid w:val="00963896"/>
    <w:rsid w:val="00963947"/>
    <w:rsid w:val="00963B8C"/>
    <w:rsid w:val="00963E5A"/>
    <w:rsid w:val="00963EA1"/>
    <w:rsid w:val="00964302"/>
    <w:rsid w:val="009643A7"/>
    <w:rsid w:val="009643D3"/>
    <w:rsid w:val="00964457"/>
    <w:rsid w:val="00964648"/>
    <w:rsid w:val="00964700"/>
    <w:rsid w:val="009656F7"/>
    <w:rsid w:val="00965824"/>
    <w:rsid w:val="009664ED"/>
    <w:rsid w:val="0096683B"/>
    <w:rsid w:val="00966B3E"/>
    <w:rsid w:val="00967129"/>
    <w:rsid w:val="00967B81"/>
    <w:rsid w:val="00970507"/>
    <w:rsid w:val="00970E3E"/>
    <w:rsid w:val="0097114E"/>
    <w:rsid w:val="00971477"/>
    <w:rsid w:val="009714B2"/>
    <w:rsid w:val="00971C7C"/>
    <w:rsid w:val="00971F22"/>
    <w:rsid w:val="009721C2"/>
    <w:rsid w:val="009725C8"/>
    <w:rsid w:val="00974880"/>
    <w:rsid w:val="00974E28"/>
    <w:rsid w:val="00975D42"/>
    <w:rsid w:val="0097690A"/>
    <w:rsid w:val="009770FB"/>
    <w:rsid w:val="00977156"/>
    <w:rsid w:val="009772CF"/>
    <w:rsid w:val="009774C3"/>
    <w:rsid w:val="009804A7"/>
    <w:rsid w:val="009807CA"/>
    <w:rsid w:val="009811AA"/>
    <w:rsid w:val="00981740"/>
    <w:rsid w:val="00981E6A"/>
    <w:rsid w:val="00981FEB"/>
    <w:rsid w:val="00982828"/>
    <w:rsid w:val="00982A69"/>
    <w:rsid w:val="00982DA1"/>
    <w:rsid w:val="009834EE"/>
    <w:rsid w:val="00983704"/>
    <w:rsid w:val="00983A5E"/>
    <w:rsid w:val="0098487A"/>
    <w:rsid w:val="00985CC9"/>
    <w:rsid w:val="00985CD4"/>
    <w:rsid w:val="009863EB"/>
    <w:rsid w:val="009866CE"/>
    <w:rsid w:val="009868EF"/>
    <w:rsid w:val="00986D44"/>
    <w:rsid w:val="00986E68"/>
    <w:rsid w:val="009871D8"/>
    <w:rsid w:val="009872D5"/>
    <w:rsid w:val="009877B4"/>
    <w:rsid w:val="009878F4"/>
    <w:rsid w:val="00990522"/>
    <w:rsid w:val="009905A4"/>
    <w:rsid w:val="00991151"/>
    <w:rsid w:val="0099150E"/>
    <w:rsid w:val="00992848"/>
    <w:rsid w:val="009930CC"/>
    <w:rsid w:val="00993616"/>
    <w:rsid w:val="009936AB"/>
    <w:rsid w:val="00993812"/>
    <w:rsid w:val="00994380"/>
    <w:rsid w:val="00994546"/>
    <w:rsid w:val="00994B71"/>
    <w:rsid w:val="00995AE2"/>
    <w:rsid w:val="009961DE"/>
    <w:rsid w:val="009962B1"/>
    <w:rsid w:val="00996493"/>
    <w:rsid w:val="0099677B"/>
    <w:rsid w:val="0099690B"/>
    <w:rsid w:val="00996912"/>
    <w:rsid w:val="00997251"/>
    <w:rsid w:val="009A0212"/>
    <w:rsid w:val="009A03A1"/>
    <w:rsid w:val="009A045D"/>
    <w:rsid w:val="009A0941"/>
    <w:rsid w:val="009A0AAC"/>
    <w:rsid w:val="009A0D74"/>
    <w:rsid w:val="009A14EF"/>
    <w:rsid w:val="009A1669"/>
    <w:rsid w:val="009A1F4E"/>
    <w:rsid w:val="009A21F7"/>
    <w:rsid w:val="009A398B"/>
    <w:rsid w:val="009A412F"/>
    <w:rsid w:val="009A4383"/>
    <w:rsid w:val="009A4617"/>
    <w:rsid w:val="009A4A85"/>
    <w:rsid w:val="009A4AF1"/>
    <w:rsid w:val="009A4D6E"/>
    <w:rsid w:val="009A5048"/>
    <w:rsid w:val="009A5080"/>
    <w:rsid w:val="009A5149"/>
    <w:rsid w:val="009A5BDB"/>
    <w:rsid w:val="009A5CF5"/>
    <w:rsid w:val="009A5DD8"/>
    <w:rsid w:val="009A66D0"/>
    <w:rsid w:val="009A6E4E"/>
    <w:rsid w:val="009A72E2"/>
    <w:rsid w:val="009A74DE"/>
    <w:rsid w:val="009A7AD5"/>
    <w:rsid w:val="009B0600"/>
    <w:rsid w:val="009B0ACE"/>
    <w:rsid w:val="009B0DC6"/>
    <w:rsid w:val="009B0F8F"/>
    <w:rsid w:val="009B106F"/>
    <w:rsid w:val="009B1112"/>
    <w:rsid w:val="009B1F78"/>
    <w:rsid w:val="009B2A3A"/>
    <w:rsid w:val="009B2D76"/>
    <w:rsid w:val="009B2DD7"/>
    <w:rsid w:val="009B2E06"/>
    <w:rsid w:val="009B3087"/>
    <w:rsid w:val="009B351A"/>
    <w:rsid w:val="009B3680"/>
    <w:rsid w:val="009B401B"/>
    <w:rsid w:val="009B4337"/>
    <w:rsid w:val="009B4455"/>
    <w:rsid w:val="009B450A"/>
    <w:rsid w:val="009B453B"/>
    <w:rsid w:val="009B4BF2"/>
    <w:rsid w:val="009B4FE9"/>
    <w:rsid w:val="009B59C6"/>
    <w:rsid w:val="009B5CFE"/>
    <w:rsid w:val="009B6431"/>
    <w:rsid w:val="009B7704"/>
    <w:rsid w:val="009B7806"/>
    <w:rsid w:val="009B7894"/>
    <w:rsid w:val="009C08A9"/>
    <w:rsid w:val="009C09FA"/>
    <w:rsid w:val="009C0B39"/>
    <w:rsid w:val="009C0DFF"/>
    <w:rsid w:val="009C1561"/>
    <w:rsid w:val="009C1900"/>
    <w:rsid w:val="009C1C7D"/>
    <w:rsid w:val="009C2001"/>
    <w:rsid w:val="009C29DA"/>
    <w:rsid w:val="009C2BFD"/>
    <w:rsid w:val="009C2D59"/>
    <w:rsid w:val="009C2DE8"/>
    <w:rsid w:val="009C2E0B"/>
    <w:rsid w:val="009C3462"/>
    <w:rsid w:val="009C3510"/>
    <w:rsid w:val="009C39C4"/>
    <w:rsid w:val="009C45F9"/>
    <w:rsid w:val="009C47DF"/>
    <w:rsid w:val="009C4B0B"/>
    <w:rsid w:val="009C5D25"/>
    <w:rsid w:val="009C614A"/>
    <w:rsid w:val="009C6405"/>
    <w:rsid w:val="009C6646"/>
    <w:rsid w:val="009C6695"/>
    <w:rsid w:val="009C6A35"/>
    <w:rsid w:val="009C7745"/>
    <w:rsid w:val="009C775C"/>
    <w:rsid w:val="009C7AB6"/>
    <w:rsid w:val="009C7CD8"/>
    <w:rsid w:val="009C7E2A"/>
    <w:rsid w:val="009D0641"/>
    <w:rsid w:val="009D0693"/>
    <w:rsid w:val="009D0719"/>
    <w:rsid w:val="009D0D47"/>
    <w:rsid w:val="009D1371"/>
    <w:rsid w:val="009D1D1A"/>
    <w:rsid w:val="009D22E4"/>
    <w:rsid w:val="009D2379"/>
    <w:rsid w:val="009D2432"/>
    <w:rsid w:val="009D2514"/>
    <w:rsid w:val="009D2A83"/>
    <w:rsid w:val="009D2F5A"/>
    <w:rsid w:val="009D3641"/>
    <w:rsid w:val="009D36A6"/>
    <w:rsid w:val="009D3E1D"/>
    <w:rsid w:val="009D3E51"/>
    <w:rsid w:val="009D4323"/>
    <w:rsid w:val="009D4982"/>
    <w:rsid w:val="009D4AE3"/>
    <w:rsid w:val="009D4B2E"/>
    <w:rsid w:val="009D4FBA"/>
    <w:rsid w:val="009D54BA"/>
    <w:rsid w:val="009D56D9"/>
    <w:rsid w:val="009D6432"/>
    <w:rsid w:val="009D6ACC"/>
    <w:rsid w:val="009D6BBA"/>
    <w:rsid w:val="009D6EFC"/>
    <w:rsid w:val="009D71F6"/>
    <w:rsid w:val="009D7248"/>
    <w:rsid w:val="009D7D59"/>
    <w:rsid w:val="009DEDB0"/>
    <w:rsid w:val="009E078F"/>
    <w:rsid w:val="009E0802"/>
    <w:rsid w:val="009E08E5"/>
    <w:rsid w:val="009E0E60"/>
    <w:rsid w:val="009E15D3"/>
    <w:rsid w:val="009E1A60"/>
    <w:rsid w:val="009E2B69"/>
    <w:rsid w:val="009E34C0"/>
    <w:rsid w:val="009E3728"/>
    <w:rsid w:val="009E3990"/>
    <w:rsid w:val="009E39A1"/>
    <w:rsid w:val="009E413C"/>
    <w:rsid w:val="009E4769"/>
    <w:rsid w:val="009E4862"/>
    <w:rsid w:val="009E4F6A"/>
    <w:rsid w:val="009E50D2"/>
    <w:rsid w:val="009E53FC"/>
    <w:rsid w:val="009E5A33"/>
    <w:rsid w:val="009E5B89"/>
    <w:rsid w:val="009E5FB9"/>
    <w:rsid w:val="009E63B0"/>
    <w:rsid w:val="009E649A"/>
    <w:rsid w:val="009E6955"/>
    <w:rsid w:val="009E6CE8"/>
    <w:rsid w:val="009E7390"/>
    <w:rsid w:val="009E7872"/>
    <w:rsid w:val="009E7B59"/>
    <w:rsid w:val="009E7BCA"/>
    <w:rsid w:val="009E7C5B"/>
    <w:rsid w:val="009E7DDF"/>
    <w:rsid w:val="009E7E7F"/>
    <w:rsid w:val="009E7FD4"/>
    <w:rsid w:val="009F0367"/>
    <w:rsid w:val="009F03ED"/>
    <w:rsid w:val="009F058C"/>
    <w:rsid w:val="009F143E"/>
    <w:rsid w:val="009F1734"/>
    <w:rsid w:val="009F18FE"/>
    <w:rsid w:val="009F1D3D"/>
    <w:rsid w:val="009F2012"/>
    <w:rsid w:val="009F22B9"/>
    <w:rsid w:val="009F2458"/>
    <w:rsid w:val="009F289C"/>
    <w:rsid w:val="009F29CA"/>
    <w:rsid w:val="009F3153"/>
    <w:rsid w:val="009F3194"/>
    <w:rsid w:val="009F3F97"/>
    <w:rsid w:val="009F4243"/>
    <w:rsid w:val="009F448F"/>
    <w:rsid w:val="009F485E"/>
    <w:rsid w:val="009F4B0D"/>
    <w:rsid w:val="009F4D1C"/>
    <w:rsid w:val="009F530D"/>
    <w:rsid w:val="009F5705"/>
    <w:rsid w:val="009F58DD"/>
    <w:rsid w:val="009F5ADA"/>
    <w:rsid w:val="009F5CDB"/>
    <w:rsid w:val="009F66D9"/>
    <w:rsid w:val="009F6ACA"/>
    <w:rsid w:val="009F7049"/>
    <w:rsid w:val="009F7269"/>
    <w:rsid w:val="009F74FF"/>
    <w:rsid w:val="009F756F"/>
    <w:rsid w:val="009F75D5"/>
    <w:rsid w:val="009F7850"/>
    <w:rsid w:val="009F78A3"/>
    <w:rsid w:val="009F7A2E"/>
    <w:rsid w:val="009F7CB6"/>
    <w:rsid w:val="009F7E0B"/>
    <w:rsid w:val="00A002A5"/>
    <w:rsid w:val="00A0041E"/>
    <w:rsid w:val="00A005C9"/>
    <w:rsid w:val="00A00A98"/>
    <w:rsid w:val="00A010DC"/>
    <w:rsid w:val="00A01628"/>
    <w:rsid w:val="00A01DFB"/>
    <w:rsid w:val="00A01F66"/>
    <w:rsid w:val="00A022BE"/>
    <w:rsid w:val="00A02D65"/>
    <w:rsid w:val="00A02F46"/>
    <w:rsid w:val="00A03137"/>
    <w:rsid w:val="00A0395F"/>
    <w:rsid w:val="00A03993"/>
    <w:rsid w:val="00A03B78"/>
    <w:rsid w:val="00A03BFD"/>
    <w:rsid w:val="00A03C5F"/>
    <w:rsid w:val="00A041C2"/>
    <w:rsid w:val="00A04447"/>
    <w:rsid w:val="00A044A1"/>
    <w:rsid w:val="00A049D0"/>
    <w:rsid w:val="00A04AEB"/>
    <w:rsid w:val="00A050B6"/>
    <w:rsid w:val="00A054FE"/>
    <w:rsid w:val="00A0599F"/>
    <w:rsid w:val="00A05A77"/>
    <w:rsid w:val="00A05C4C"/>
    <w:rsid w:val="00A05D13"/>
    <w:rsid w:val="00A05F16"/>
    <w:rsid w:val="00A06070"/>
    <w:rsid w:val="00A06CD9"/>
    <w:rsid w:val="00A077DB"/>
    <w:rsid w:val="00A07CF4"/>
    <w:rsid w:val="00A07FE6"/>
    <w:rsid w:val="00A10394"/>
    <w:rsid w:val="00A106CF"/>
    <w:rsid w:val="00A111A7"/>
    <w:rsid w:val="00A112E8"/>
    <w:rsid w:val="00A11AEB"/>
    <w:rsid w:val="00A11B83"/>
    <w:rsid w:val="00A11D87"/>
    <w:rsid w:val="00A11F66"/>
    <w:rsid w:val="00A122AB"/>
    <w:rsid w:val="00A1265D"/>
    <w:rsid w:val="00A12A13"/>
    <w:rsid w:val="00A12F44"/>
    <w:rsid w:val="00A13199"/>
    <w:rsid w:val="00A139CB"/>
    <w:rsid w:val="00A13C0D"/>
    <w:rsid w:val="00A141AF"/>
    <w:rsid w:val="00A14396"/>
    <w:rsid w:val="00A1466C"/>
    <w:rsid w:val="00A1471D"/>
    <w:rsid w:val="00A151CE"/>
    <w:rsid w:val="00A1596E"/>
    <w:rsid w:val="00A16246"/>
    <w:rsid w:val="00A16AFC"/>
    <w:rsid w:val="00A173C9"/>
    <w:rsid w:val="00A17A2B"/>
    <w:rsid w:val="00A17B5C"/>
    <w:rsid w:val="00A20A3B"/>
    <w:rsid w:val="00A21635"/>
    <w:rsid w:val="00A216F9"/>
    <w:rsid w:val="00A21DF6"/>
    <w:rsid w:val="00A232F9"/>
    <w:rsid w:val="00A23392"/>
    <w:rsid w:val="00A23403"/>
    <w:rsid w:val="00A23869"/>
    <w:rsid w:val="00A23A30"/>
    <w:rsid w:val="00A23CC8"/>
    <w:rsid w:val="00A24261"/>
    <w:rsid w:val="00A24816"/>
    <w:rsid w:val="00A255F0"/>
    <w:rsid w:val="00A25A55"/>
    <w:rsid w:val="00A25C87"/>
    <w:rsid w:val="00A25D71"/>
    <w:rsid w:val="00A25EB3"/>
    <w:rsid w:val="00A263DC"/>
    <w:rsid w:val="00A26A15"/>
    <w:rsid w:val="00A26C35"/>
    <w:rsid w:val="00A27036"/>
    <w:rsid w:val="00A271D7"/>
    <w:rsid w:val="00A27364"/>
    <w:rsid w:val="00A27891"/>
    <w:rsid w:val="00A27909"/>
    <w:rsid w:val="00A27BB2"/>
    <w:rsid w:val="00A27E49"/>
    <w:rsid w:val="00A30C13"/>
    <w:rsid w:val="00A3133F"/>
    <w:rsid w:val="00A31808"/>
    <w:rsid w:val="00A319AD"/>
    <w:rsid w:val="00A321E4"/>
    <w:rsid w:val="00A32E0A"/>
    <w:rsid w:val="00A330FC"/>
    <w:rsid w:val="00A334FC"/>
    <w:rsid w:val="00A3357B"/>
    <w:rsid w:val="00A3376C"/>
    <w:rsid w:val="00A33A7E"/>
    <w:rsid w:val="00A33E2A"/>
    <w:rsid w:val="00A341CE"/>
    <w:rsid w:val="00A344AF"/>
    <w:rsid w:val="00A347FD"/>
    <w:rsid w:val="00A34DBE"/>
    <w:rsid w:val="00A34E37"/>
    <w:rsid w:val="00A358E3"/>
    <w:rsid w:val="00A35EDE"/>
    <w:rsid w:val="00A36483"/>
    <w:rsid w:val="00A368FD"/>
    <w:rsid w:val="00A36CCD"/>
    <w:rsid w:val="00A37036"/>
    <w:rsid w:val="00A3703A"/>
    <w:rsid w:val="00A37088"/>
    <w:rsid w:val="00A37099"/>
    <w:rsid w:val="00A378DC"/>
    <w:rsid w:val="00A37A05"/>
    <w:rsid w:val="00A37F1C"/>
    <w:rsid w:val="00A404C8"/>
    <w:rsid w:val="00A404EC"/>
    <w:rsid w:val="00A4100F"/>
    <w:rsid w:val="00A41F49"/>
    <w:rsid w:val="00A423B9"/>
    <w:rsid w:val="00A4261E"/>
    <w:rsid w:val="00A427EE"/>
    <w:rsid w:val="00A428C8"/>
    <w:rsid w:val="00A42C7E"/>
    <w:rsid w:val="00A42F3A"/>
    <w:rsid w:val="00A42FC6"/>
    <w:rsid w:val="00A43185"/>
    <w:rsid w:val="00A43576"/>
    <w:rsid w:val="00A436C5"/>
    <w:rsid w:val="00A43EED"/>
    <w:rsid w:val="00A440B6"/>
    <w:rsid w:val="00A441AF"/>
    <w:rsid w:val="00A444F4"/>
    <w:rsid w:val="00A44553"/>
    <w:rsid w:val="00A4470F"/>
    <w:rsid w:val="00A44C71"/>
    <w:rsid w:val="00A44CFE"/>
    <w:rsid w:val="00A44FD0"/>
    <w:rsid w:val="00A45381"/>
    <w:rsid w:val="00A455D5"/>
    <w:rsid w:val="00A456BA"/>
    <w:rsid w:val="00A466BF"/>
    <w:rsid w:val="00A46734"/>
    <w:rsid w:val="00A468A7"/>
    <w:rsid w:val="00A4690D"/>
    <w:rsid w:val="00A473E7"/>
    <w:rsid w:val="00A47490"/>
    <w:rsid w:val="00A47D4F"/>
    <w:rsid w:val="00A500DB"/>
    <w:rsid w:val="00A50D09"/>
    <w:rsid w:val="00A50D91"/>
    <w:rsid w:val="00A50EA4"/>
    <w:rsid w:val="00A5130D"/>
    <w:rsid w:val="00A514CB"/>
    <w:rsid w:val="00A51621"/>
    <w:rsid w:val="00A517B8"/>
    <w:rsid w:val="00A51D42"/>
    <w:rsid w:val="00A520F4"/>
    <w:rsid w:val="00A524DA"/>
    <w:rsid w:val="00A52A79"/>
    <w:rsid w:val="00A52D2B"/>
    <w:rsid w:val="00A53325"/>
    <w:rsid w:val="00A5393E"/>
    <w:rsid w:val="00A539C8"/>
    <w:rsid w:val="00A541DF"/>
    <w:rsid w:val="00A549FD"/>
    <w:rsid w:val="00A54A85"/>
    <w:rsid w:val="00A54B8D"/>
    <w:rsid w:val="00A54C1C"/>
    <w:rsid w:val="00A55614"/>
    <w:rsid w:val="00A5574B"/>
    <w:rsid w:val="00A55A0B"/>
    <w:rsid w:val="00A55AA6"/>
    <w:rsid w:val="00A55E41"/>
    <w:rsid w:val="00A5686D"/>
    <w:rsid w:val="00A5695C"/>
    <w:rsid w:val="00A56AC7"/>
    <w:rsid w:val="00A56D29"/>
    <w:rsid w:val="00A56DBF"/>
    <w:rsid w:val="00A605E0"/>
    <w:rsid w:val="00A60D60"/>
    <w:rsid w:val="00A60ED1"/>
    <w:rsid w:val="00A61542"/>
    <w:rsid w:val="00A61E86"/>
    <w:rsid w:val="00A620A3"/>
    <w:rsid w:val="00A625E3"/>
    <w:rsid w:val="00A632C3"/>
    <w:rsid w:val="00A6332A"/>
    <w:rsid w:val="00A6353A"/>
    <w:rsid w:val="00A63B2C"/>
    <w:rsid w:val="00A63FC3"/>
    <w:rsid w:val="00A63FE4"/>
    <w:rsid w:val="00A6433D"/>
    <w:rsid w:val="00A643CB"/>
    <w:rsid w:val="00A645E5"/>
    <w:rsid w:val="00A64CA2"/>
    <w:rsid w:val="00A6503A"/>
    <w:rsid w:val="00A6525E"/>
    <w:rsid w:val="00A655D1"/>
    <w:rsid w:val="00A6573D"/>
    <w:rsid w:val="00A6588B"/>
    <w:rsid w:val="00A6598D"/>
    <w:rsid w:val="00A659E7"/>
    <w:rsid w:val="00A65E05"/>
    <w:rsid w:val="00A66033"/>
    <w:rsid w:val="00A662A1"/>
    <w:rsid w:val="00A6683B"/>
    <w:rsid w:val="00A668A7"/>
    <w:rsid w:val="00A66992"/>
    <w:rsid w:val="00A66D01"/>
    <w:rsid w:val="00A67093"/>
    <w:rsid w:val="00A67426"/>
    <w:rsid w:val="00A67F3D"/>
    <w:rsid w:val="00A70886"/>
    <w:rsid w:val="00A70B3B"/>
    <w:rsid w:val="00A72041"/>
    <w:rsid w:val="00A72050"/>
    <w:rsid w:val="00A720BB"/>
    <w:rsid w:val="00A72EF4"/>
    <w:rsid w:val="00A733FB"/>
    <w:rsid w:val="00A7375A"/>
    <w:rsid w:val="00A744F5"/>
    <w:rsid w:val="00A74736"/>
    <w:rsid w:val="00A74ACB"/>
    <w:rsid w:val="00A74C3E"/>
    <w:rsid w:val="00A74C64"/>
    <w:rsid w:val="00A74D2E"/>
    <w:rsid w:val="00A74D8A"/>
    <w:rsid w:val="00A75133"/>
    <w:rsid w:val="00A7551A"/>
    <w:rsid w:val="00A75833"/>
    <w:rsid w:val="00A75D1A"/>
    <w:rsid w:val="00A75D66"/>
    <w:rsid w:val="00A75E52"/>
    <w:rsid w:val="00A76003"/>
    <w:rsid w:val="00A760BE"/>
    <w:rsid w:val="00A76857"/>
    <w:rsid w:val="00A7695A"/>
    <w:rsid w:val="00A76A8B"/>
    <w:rsid w:val="00A76B67"/>
    <w:rsid w:val="00A76C1C"/>
    <w:rsid w:val="00A7731D"/>
    <w:rsid w:val="00A775EE"/>
    <w:rsid w:val="00A77CA0"/>
    <w:rsid w:val="00A806FF"/>
    <w:rsid w:val="00A80799"/>
    <w:rsid w:val="00A8090F"/>
    <w:rsid w:val="00A80A38"/>
    <w:rsid w:val="00A81209"/>
    <w:rsid w:val="00A814C5"/>
    <w:rsid w:val="00A81C2F"/>
    <w:rsid w:val="00A8203D"/>
    <w:rsid w:val="00A82B58"/>
    <w:rsid w:val="00A8321F"/>
    <w:rsid w:val="00A8371B"/>
    <w:rsid w:val="00A848C2"/>
    <w:rsid w:val="00A85009"/>
    <w:rsid w:val="00A8519F"/>
    <w:rsid w:val="00A85811"/>
    <w:rsid w:val="00A8596B"/>
    <w:rsid w:val="00A85C3D"/>
    <w:rsid w:val="00A861FD"/>
    <w:rsid w:val="00A8632C"/>
    <w:rsid w:val="00A864DD"/>
    <w:rsid w:val="00A869E3"/>
    <w:rsid w:val="00A86A2D"/>
    <w:rsid w:val="00A86AC3"/>
    <w:rsid w:val="00A86B2C"/>
    <w:rsid w:val="00A86C3C"/>
    <w:rsid w:val="00A86C97"/>
    <w:rsid w:val="00A878F1"/>
    <w:rsid w:val="00A87A94"/>
    <w:rsid w:val="00A90572"/>
    <w:rsid w:val="00A90881"/>
    <w:rsid w:val="00A90AA6"/>
    <w:rsid w:val="00A91154"/>
    <w:rsid w:val="00A911FF"/>
    <w:rsid w:val="00A9161A"/>
    <w:rsid w:val="00A919D7"/>
    <w:rsid w:val="00A91A2F"/>
    <w:rsid w:val="00A91F1A"/>
    <w:rsid w:val="00A92035"/>
    <w:rsid w:val="00A92A71"/>
    <w:rsid w:val="00A9332E"/>
    <w:rsid w:val="00A937F9"/>
    <w:rsid w:val="00A93BC2"/>
    <w:rsid w:val="00A9451A"/>
    <w:rsid w:val="00A94AC1"/>
    <w:rsid w:val="00A94BCC"/>
    <w:rsid w:val="00A95198"/>
    <w:rsid w:val="00A9551E"/>
    <w:rsid w:val="00A95E95"/>
    <w:rsid w:val="00A96792"/>
    <w:rsid w:val="00A96DE0"/>
    <w:rsid w:val="00A9742B"/>
    <w:rsid w:val="00A97F25"/>
    <w:rsid w:val="00AA000C"/>
    <w:rsid w:val="00AA0A54"/>
    <w:rsid w:val="00AA0E1B"/>
    <w:rsid w:val="00AA164B"/>
    <w:rsid w:val="00AA172F"/>
    <w:rsid w:val="00AA1CD2"/>
    <w:rsid w:val="00AA1F3C"/>
    <w:rsid w:val="00AA2167"/>
    <w:rsid w:val="00AA2DCE"/>
    <w:rsid w:val="00AA2F32"/>
    <w:rsid w:val="00AA3457"/>
    <w:rsid w:val="00AA35A1"/>
    <w:rsid w:val="00AA40B1"/>
    <w:rsid w:val="00AA4320"/>
    <w:rsid w:val="00AA46D6"/>
    <w:rsid w:val="00AA4AD4"/>
    <w:rsid w:val="00AA4D38"/>
    <w:rsid w:val="00AA5E44"/>
    <w:rsid w:val="00AA6189"/>
    <w:rsid w:val="00AA685B"/>
    <w:rsid w:val="00AA6866"/>
    <w:rsid w:val="00AA68C2"/>
    <w:rsid w:val="00AA69D9"/>
    <w:rsid w:val="00AA6CCC"/>
    <w:rsid w:val="00AA7452"/>
    <w:rsid w:val="00AA74BC"/>
    <w:rsid w:val="00AA7CB2"/>
    <w:rsid w:val="00AB0042"/>
    <w:rsid w:val="00AB06C1"/>
    <w:rsid w:val="00AB0754"/>
    <w:rsid w:val="00AB09B2"/>
    <w:rsid w:val="00AB0E42"/>
    <w:rsid w:val="00AB0E93"/>
    <w:rsid w:val="00AB13B7"/>
    <w:rsid w:val="00AB2035"/>
    <w:rsid w:val="00AB2549"/>
    <w:rsid w:val="00AB27CB"/>
    <w:rsid w:val="00AB2A46"/>
    <w:rsid w:val="00AB2C1A"/>
    <w:rsid w:val="00AB319C"/>
    <w:rsid w:val="00AB3741"/>
    <w:rsid w:val="00AB38F1"/>
    <w:rsid w:val="00AB394A"/>
    <w:rsid w:val="00AB41AA"/>
    <w:rsid w:val="00AB4CBF"/>
    <w:rsid w:val="00AB4F60"/>
    <w:rsid w:val="00AB5CC3"/>
    <w:rsid w:val="00AB5DA7"/>
    <w:rsid w:val="00AB6B70"/>
    <w:rsid w:val="00AB6FB5"/>
    <w:rsid w:val="00AB775E"/>
    <w:rsid w:val="00AB7765"/>
    <w:rsid w:val="00AB7789"/>
    <w:rsid w:val="00AB7855"/>
    <w:rsid w:val="00AB7A60"/>
    <w:rsid w:val="00AB7B39"/>
    <w:rsid w:val="00AB7E94"/>
    <w:rsid w:val="00AC0078"/>
    <w:rsid w:val="00AC0D76"/>
    <w:rsid w:val="00AC0ED9"/>
    <w:rsid w:val="00AC10BE"/>
    <w:rsid w:val="00AC13AB"/>
    <w:rsid w:val="00AC17BA"/>
    <w:rsid w:val="00AC1B3B"/>
    <w:rsid w:val="00AC1D45"/>
    <w:rsid w:val="00AC2052"/>
    <w:rsid w:val="00AC2327"/>
    <w:rsid w:val="00AC2833"/>
    <w:rsid w:val="00AC345C"/>
    <w:rsid w:val="00AC3476"/>
    <w:rsid w:val="00AC390E"/>
    <w:rsid w:val="00AC440C"/>
    <w:rsid w:val="00AC44DC"/>
    <w:rsid w:val="00AC450C"/>
    <w:rsid w:val="00AC4539"/>
    <w:rsid w:val="00AC4678"/>
    <w:rsid w:val="00AC5D60"/>
    <w:rsid w:val="00AC5ECC"/>
    <w:rsid w:val="00AC60F2"/>
    <w:rsid w:val="00AC627A"/>
    <w:rsid w:val="00AC6665"/>
    <w:rsid w:val="00AC68D9"/>
    <w:rsid w:val="00AC6C30"/>
    <w:rsid w:val="00AC754C"/>
    <w:rsid w:val="00AC7977"/>
    <w:rsid w:val="00AC7CB8"/>
    <w:rsid w:val="00AD02AC"/>
    <w:rsid w:val="00AD0566"/>
    <w:rsid w:val="00AD07CD"/>
    <w:rsid w:val="00AD0E92"/>
    <w:rsid w:val="00AD1167"/>
    <w:rsid w:val="00AD124E"/>
    <w:rsid w:val="00AD126C"/>
    <w:rsid w:val="00AD141E"/>
    <w:rsid w:val="00AD1DA6"/>
    <w:rsid w:val="00AD1F35"/>
    <w:rsid w:val="00AD21F0"/>
    <w:rsid w:val="00AD3077"/>
    <w:rsid w:val="00AD3686"/>
    <w:rsid w:val="00AD3BEA"/>
    <w:rsid w:val="00AD4042"/>
    <w:rsid w:val="00AD4056"/>
    <w:rsid w:val="00AD40E2"/>
    <w:rsid w:val="00AD44CA"/>
    <w:rsid w:val="00AD458E"/>
    <w:rsid w:val="00AD4622"/>
    <w:rsid w:val="00AD49AD"/>
    <w:rsid w:val="00AD49C7"/>
    <w:rsid w:val="00AD5762"/>
    <w:rsid w:val="00AD5A02"/>
    <w:rsid w:val="00AD5B2E"/>
    <w:rsid w:val="00AD6002"/>
    <w:rsid w:val="00AD65BB"/>
    <w:rsid w:val="00AD6721"/>
    <w:rsid w:val="00AD6950"/>
    <w:rsid w:val="00AD6BD5"/>
    <w:rsid w:val="00AD6FA1"/>
    <w:rsid w:val="00AD72EA"/>
    <w:rsid w:val="00AD7309"/>
    <w:rsid w:val="00AD7E37"/>
    <w:rsid w:val="00AD7FCA"/>
    <w:rsid w:val="00AE01DD"/>
    <w:rsid w:val="00AE0202"/>
    <w:rsid w:val="00AE03F4"/>
    <w:rsid w:val="00AE060C"/>
    <w:rsid w:val="00AE0656"/>
    <w:rsid w:val="00AE0736"/>
    <w:rsid w:val="00AE0B30"/>
    <w:rsid w:val="00AE1955"/>
    <w:rsid w:val="00AE21A4"/>
    <w:rsid w:val="00AE24DD"/>
    <w:rsid w:val="00AE2D2B"/>
    <w:rsid w:val="00AE3294"/>
    <w:rsid w:val="00AE33EA"/>
    <w:rsid w:val="00AE3E06"/>
    <w:rsid w:val="00AE3EDA"/>
    <w:rsid w:val="00AE4458"/>
    <w:rsid w:val="00AE46EF"/>
    <w:rsid w:val="00AE48B8"/>
    <w:rsid w:val="00AE4EF1"/>
    <w:rsid w:val="00AE5089"/>
    <w:rsid w:val="00AE5278"/>
    <w:rsid w:val="00AE56CD"/>
    <w:rsid w:val="00AE5800"/>
    <w:rsid w:val="00AE582C"/>
    <w:rsid w:val="00AE6032"/>
    <w:rsid w:val="00AE6268"/>
    <w:rsid w:val="00AE6453"/>
    <w:rsid w:val="00AE67C4"/>
    <w:rsid w:val="00AE6A18"/>
    <w:rsid w:val="00AE71C4"/>
    <w:rsid w:val="00AE764C"/>
    <w:rsid w:val="00AE786B"/>
    <w:rsid w:val="00AE78F9"/>
    <w:rsid w:val="00AE79DB"/>
    <w:rsid w:val="00AE7B90"/>
    <w:rsid w:val="00AF02D6"/>
    <w:rsid w:val="00AF02F5"/>
    <w:rsid w:val="00AF04B6"/>
    <w:rsid w:val="00AF05BE"/>
    <w:rsid w:val="00AF0DFD"/>
    <w:rsid w:val="00AF1329"/>
    <w:rsid w:val="00AF1B4B"/>
    <w:rsid w:val="00AF2057"/>
    <w:rsid w:val="00AF242F"/>
    <w:rsid w:val="00AF27BC"/>
    <w:rsid w:val="00AF2BB9"/>
    <w:rsid w:val="00AF3423"/>
    <w:rsid w:val="00AF3446"/>
    <w:rsid w:val="00AF3C8D"/>
    <w:rsid w:val="00AF3DF5"/>
    <w:rsid w:val="00AF40F9"/>
    <w:rsid w:val="00AF4FBA"/>
    <w:rsid w:val="00AF51A4"/>
    <w:rsid w:val="00AF59AE"/>
    <w:rsid w:val="00AF5B02"/>
    <w:rsid w:val="00AF5E63"/>
    <w:rsid w:val="00AF61CF"/>
    <w:rsid w:val="00AF63BF"/>
    <w:rsid w:val="00AF66C3"/>
    <w:rsid w:val="00AF6D01"/>
    <w:rsid w:val="00AF6DBA"/>
    <w:rsid w:val="00AF6E52"/>
    <w:rsid w:val="00AF75C7"/>
    <w:rsid w:val="00B008C6"/>
    <w:rsid w:val="00B00DA9"/>
    <w:rsid w:val="00B00F84"/>
    <w:rsid w:val="00B01C70"/>
    <w:rsid w:val="00B0204F"/>
    <w:rsid w:val="00B02271"/>
    <w:rsid w:val="00B02B0B"/>
    <w:rsid w:val="00B02B79"/>
    <w:rsid w:val="00B02C98"/>
    <w:rsid w:val="00B02F3D"/>
    <w:rsid w:val="00B02FA4"/>
    <w:rsid w:val="00B03054"/>
    <w:rsid w:val="00B036EB"/>
    <w:rsid w:val="00B0384C"/>
    <w:rsid w:val="00B048C4"/>
    <w:rsid w:val="00B049E6"/>
    <w:rsid w:val="00B04B6C"/>
    <w:rsid w:val="00B04B8A"/>
    <w:rsid w:val="00B04CB3"/>
    <w:rsid w:val="00B04CCB"/>
    <w:rsid w:val="00B0544B"/>
    <w:rsid w:val="00B054F3"/>
    <w:rsid w:val="00B05AA0"/>
    <w:rsid w:val="00B060AF"/>
    <w:rsid w:val="00B062FB"/>
    <w:rsid w:val="00B06453"/>
    <w:rsid w:val="00B06792"/>
    <w:rsid w:val="00B06CC5"/>
    <w:rsid w:val="00B06E9A"/>
    <w:rsid w:val="00B070F6"/>
    <w:rsid w:val="00B103FC"/>
    <w:rsid w:val="00B10DF3"/>
    <w:rsid w:val="00B11104"/>
    <w:rsid w:val="00B1156A"/>
    <w:rsid w:val="00B1162F"/>
    <w:rsid w:val="00B116FD"/>
    <w:rsid w:val="00B1173E"/>
    <w:rsid w:val="00B11C85"/>
    <w:rsid w:val="00B12041"/>
    <w:rsid w:val="00B1241F"/>
    <w:rsid w:val="00B12752"/>
    <w:rsid w:val="00B12C60"/>
    <w:rsid w:val="00B12F8C"/>
    <w:rsid w:val="00B1301D"/>
    <w:rsid w:val="00B1377D"/>
    <w:rsid w:val="00B13AD3"/>
    <w:rsid w:val="00B145CA"/>
    <w:rsid w:val="00B146F2"/>
    <w:rsid w:val="00B15F7D"/>
    <w:rsid w:val="00B1663F"/>
    <w:rsid w:val="00B174C3"/>
    <w:rsid w:val="00B17639"/>
    <w:rsid w:val="00B17E48"/>
    <w:rsid w:val="00B20008"/>
    <w:rsid w:val="00B2000A"/>
    <w:rsid w:val="00B2001C"/>
    <w:rsid w:val="00B2022C"/>
    <w:rsid w:val="00B203CD"/>
    <w:rsid w:val="00B20770"/>
    <w:rsid w:val="00B209B6"/>
    <w:rsid w:val="00B21103"/>
    <w:rsid w:val="00B21372"/>
    <w:rsid w:val="00B21673"/>
    <w:rsid w:val="00B2172E"/>
    <w:rsid w:val="00B21877"/>
    <w:rsid w:val="00B21A44"/>
    <w:rsid w:val="00B21C6D"/>
    <w:rsid w:val="00B21CC5"/>
    <w:rsid w:val="00B21F68"/>
    <w:rsid w:val="00B21F78"/>
    <w:rsid w:val="00B2221F"/>
    <w:rsid w:val="00B2287B"/>
    <w:rsid w:val="00B22E09"/>
    <w:rsid w:val="00B2311F"/>
    <w:rsid w:val="00B2331D"/>
    <w:rsid w:val="00B239AB"/>
    <w:rsid w:val="00B23C48"/>
    <w:rsid w:val="00B24389"/>
    <w:rsid w:val="00B24935"/>
    <w:rsid w:val="00B25153"/>
    <w:rsid w:val="00B25458"/>
    <w:rsid w:val="00B255DC"/>
    <w:rsid w:val="00B25623"/>
    <w:rsid w:val="00B2565D"/>
    <w:rsid w:val="00B25772"/>
    <w:rsid w:val="00B25B74"/>
    <w:rsid w:val="00B25E01"/>
    <w:rsid w:val="00B25E4D"/>
    <w:rsid w:val="00B263C8"/>
    <w:rsid w:val="00B26A82"/>
    <w:rsid w:val="00B270DE"/>
    <w:rsid w:val="00B27102"/>
    <w:rsid w:val="00B27537"/>
    <w:rsid w:val="00B27D43"/>
    <w:rsid w:val="00B27DB9"/>
    <w:rsid w:val="00B27EC1"/>
    <w:rsid w:val="00B30199"/>
    <w:rsid w:val="00B30943"/>
    <w:rsid w:val="00B30ABC"/>
    <w:rsid w:val="00B3129F"/>
    <w:rsid w:val="00B315CA"/>
    <w:rsid w:val="00B322A2"/>
    <w:rsid w:val="00B324B7"/>
    <w:rsid w:val="00B328DF"/>
    <w:rsid w:val="00B33302"/>
    <w:rsid w:val="00B338CC"/>
    <w:rsid w:val="00B33E4F"/>
    <w:rsid w:val="00B34134"/>
    <w:rsid w:val="00B34421"/>
    <w:rsid w:val="00B34E55"/>
    <w:rsid w:val="00B354A7"/>
    <w:rsid w:val="00B35DEB"/>
    <w:rsid w:val="00B3603F"/>
    <w:rsid w:val="00B36167"/>
    <w:rsid w:val="00B3624A"/>
    <w:rsid w:val="00B36B5E"/>
    <w:rsid w:val="00B36B75"/>
    <w:rsid w:val="00B37484"/>
    <w:rsid w:val="00B37514"/>
    <w:rsid w:val="00B3795F"/>
    <w:rsid w:val="00B37B94"/>
    <w:rsid w:val="00B37BEA"/>
    <w:rsid w:val="00B400B9"/>
    <w:rsid w:val="00B401A7"/>
    <w:rsid w:val="00B403B5"/>
    <w:rsid w:val="00B40D34"/>
    <w:rsid w:val="00B413C5"/>
    <w:rsid w:val="00B4176F"/>
    <w:rsid w:val="00B41BA9"/>
    <w:rsid w:val="00B421AE"/>
    <w:rsid w:val="00B42565"/>
    <w:rsid w:val="00B425A0"/>
    <w:rsid w:val="00B42EA5"/>
    <w:rsid w:val="00B42F3F"/>
    <w:rsid w:val="00B43464"/>
    <w:rsid w:val="00B436F3"/>
    <w:rsid w:val="00B43A51"/>
    <w:rsid w:val="00B43CEC"/>
    <w:rsid w:val="00B43DC6"/>
    <w:rsid w:val="00B43E3A"/>
    <w:rsid w:val="00B43E52"/>
    <w:rsid w:val="00B44419"/>
    <w:rsid w:val="00B446C8"/>
    <w:rsid w:val="00B44A4F"/>
    <w:rsid w:val="00B45DE0"/>
    <w:rsid w:val="00B46051"/>
    <w:rsid w:val="00B4607E"/>
    <w:rsid w:val="00B46664"/>
    <w:rsid w:val="00B46775"/>
    <w:rsid w:val="00B472F4"/>
    <w:rsid w:val="00B47519"/>
    <w:rsid w:val="00B479B8"/>
    <w:rsid w:val="00B47B37"/>
    <w:rsid w:val="00B5052E"/>
    <w:rsid w:val="00B506A5"/>
    <w:rsid w:val="00B50982"/>
    <w:rsid w:val="00B51333"/>
    <w:rsid w:val="00B51968"/>
    <w:rsid w:val="00B51E3F"/>
    <w:rsid w:val="00B51EF6"/>
    <w:rsid w:val="00B53240"/>
    <w:rsid w:val="00B53717"/>
    <w:rsid w:val="00B53F47"/>
    <w:rsid w:val="00B540B9"/>
    <w:rsid w:val="00B5466D"/>
    <w:rsid w:val="00B54738"/>
    <w:rsid w:val="00B55060"/>
    <w:rsid w:val="00B550A6"/>
    <w:rsid w:val="00B5595B"/>
    <w:rsid w:val="00B55D05"/>
    <w:rsid w:val="00B55D3E"/>
    <w:rsid w:val="00B56034"/>
    <w:rsid w:val="00B562DF"/>
    <w:rsid w:val="00B5666E"/>
    <w:rsid w:val="00B56A33"/>
    <w:rsid w:val="00B5700D"/>
    <w:rsid w:val="00B57AE9"/>
    <w:rsid w:val="00B603DB"/>
    <w:rsid w:val="00B60422"/>
    <w:rsid w:val="00B60621"/>
    <w:rsid w:val="00B607A0"/>
    <w:rsid w:val="00B60B5D"/>
    <w:rsid w:val="00B60F75"/>
    <w:rsid w:val="00B611C0"/>
    <w:rsid w:val="00B616B2"/>
    <w:rsid w:val="00B6186E"/>
    <w:rsid w:val="00B618C4"/>
    <w:rsid w:val="00B629A2"/>
    <w:rsid w:val="00B62BB7"/>
    <w:rsid w:val="00B62CBC"/>
    <w:rsid w:val="00B62D57"/>
    <w:rsid w:val="00B6388B"/>
    <w:rsid w:val="00B640D9"/>
    <w:rsid w:val="00B6465D"/>
    <w:rsid w:val="00B64BEE"/>
    <w:rsid w:val="00B64F44"/>
    <w:rsid w:val="00B6539F"/>
    <w:rsid w:val="00B65819"/>
    <w:rsid w:val="00B6594F"/>
    <w:rsid w:val="00B65B44"/>
    <w:rsid w:val="00B65BD4"/>
    <w:rsid w:val="00B65CF0"/>
    <w:rsid w:val="00B65D8F"/>
    <w:rsid w:val="00B65DF2"/>
    <w:rsid w:val="00B65FDC"/>
    <w:rsid w:val="00B6632E"/>
    <w:rsid w:val="00B669DC"/>
    <w:rsid w:val="00B66E54"/>
    <w:rsid w:val="00B66FF7"/>
    <w:rsid w:val="00B674AA"/>
    <w:rsid w:val="00B677B5"/>
    <w:rsid w:val="00B6781D"/>
    <w:rsid w:val="00B6797C"/>
    <w:rsid w:val="00B679CB"/>
    <w:rsid w:val="00B67C28"/>
    <w:rsid w:val="00B70120"/>
    <w:rsid w:val="00B70220"/>
    <w:rsid w:val="00B70515"/>
    <w:rsid w:val="00B70A4A"/>
    <w:rsid w:val="00B7100E"/>
    <w:rsid w:val="00B71FFC"/>
    <w:rsid w:val="00B7218E"/>
    <w:rsid w:val="00B7235D"/>
    <w:rsid w:val="00B7237D"/>
    <w:rsid w:val="00B72540"/>
    <w:rsid w:val="00B72A1F"/>
    <w:rsid w:val="00B72B84"/>
    <w:rsid w:val="00B735FF"/>
    <w:rsid w:val="00B73693"/>
    <w:rsid w:val="00B73964"/>
    <w:rsid w:val="00B757FD"/>
    <w:rsid w:val="00B75A8C"/>
    <w:rsid w:val="00B75AE7"/>
    <w:rsid w:val="00B75B39"/>
    <w:rsid w:val="00B75E70"/>
    <w:rsid w:val="00B7689F"/>
    <w:rsid w:val="00B768B2"/>
    <w:rsid w:val="00B76A7C"/>
    <w:rsid w:val="00B76AD7"/>
    <w:rsid w:val="00B77BEA"/>
    <w:rsid w:val="00B77DFC"/>
    <w:rsid w:val="00B7CD8A"/>
    <w:rsid w:val="00B80701"/>
    <w:rsid w:val="00B80AE4"/>
    <w:rsid w:val="00B80CC3"/>
    <w:rsid w:val="00B80FEC"/>
    <w:rsid w:val="00B81BFF"/>
    <w:rsid w:val="00B82922"/>
    <w:rsid w:val="00B82CA1"/>
    <w:rsid w:val="00B82E1B"/>
    <w:rsid w:val="00B82FFA"/>
    <w:rsid w:val="00B8316D"/>
    <w:rsid w:val="00B833F0"/>
    <w:rsid w:val="00B836DD"/>
    <w:rsid w:val="00B83B95"/>
    <w:rsid w:val="00B83DB3"/>
    <w:rsid w:val="00B841F0"/>
    <w:rsid w:val="00B84405"/>
    <w:rsid w:val="00B845CD"/>
    <w:rsid w:val="00B8466C"/>
    <w:rsid w:val="00B846B8"/>
    <w:rsid w:val="00B846E6"/>
    <w:rsid w:val="00B84F46"/>
    <w:rsid w:val="00B84F7C"/>
    <w:rsid w:val="00B850C5"/>
    <w:rsid w:val="00B851BB"/>
    <w:rsid w:val="00B85507"/>
    <w:rsid w:val="00B85D02"/>
    <w:rsid w:val="00B85E8A"/>
    <w:rsid w:val="00B8603E"/>
    <w:rsid w:val="00B86445"/>
    <w:rsid w:val="00B86485"/>
    <w:rsid w:val="00B86924"/>
    <w:rsid w:val="00B8696D"/>
    <w:rsid w:val="00B86AF6"/>
    <w:rsid w:val="00B86B46"/>
    <w:rsid w:val="00B86CCA"/>
    <w:rsid w:val="00B86FBA"/>
    <w:rsid w:val="00B87271"/>
    <w:rsid w:val="00B87A38"/>
    <w:rsid w:val="00B87D03"/>
    <w:rsid w:val="00B90664"/>
    <w:rsid w:val="00B90F4E"/>
    <w:rsid w:val="00B9116E"/>
    <w:rsid w:val="00B91F08"/>
    <w:rsid w:val="00B924B6"/>
    <w:rsid w:val="00B92CE3"/>
    <w:rsid w:val="00B92FA1"/>
    <w:rsid w:val="00B93171"/>
    <w:rsid w:val="00B931E3"/>
    <w:rsid w:val="00B933EF"/>
    <w:rsid w:val="00B93909"/>
    <w:rsid w:val="00B93AF4"/>
    <w:rsid w:val="00B93B0F"/>
    <w:rsid w:val="00B93F81"/>
    <w:rsid w:val="00B94083"/>
    <w:rsid w:val="00B940CB"/>
    <w:rsid w:val="00B94909"/>
    <w:rsid w:val="00B94BFB"/>
    <w:rsid w:val="00B94C48"/>
    <w:rsid w:val="00B94D9F"/>
    <w:rsid w:val="00B94F10"/>
    <w:rsid w:val="00B94F66"/>
    <w:rsid w:val="00B95330"/>
    <w:rsid w:val="00B956E2"/>
    <w:rsid w:val="00B95DF5"/>
    <w:rsid w:val="00B95F4C"/>
    <w:rsid w:val="00B968F3"/>
    <w:rsid w:val="00B96944"/>
    <w:rsid w:val="00B96BEC"/>
    <w:rsid w:val="00B97277"/>
    <w:rsid w:val="00B97339"/>
    <w:rsid w:val="00B97D46"/>
    <w:rsid w:val="00B97FA8"/>
    <w:rsid w:val="00BA0B02"/>
    <w:rsid w:val="00BA0BE2"/>
    <w:rsid w:val="00BA0F24"/>
    <w:rsid w:val="00BA2408"/>
    <w:rsid w:val="00BA28D7"/>
    <w:rsid w:val="00BA2A8F"/>
    <w:rsid w:val="00BA2C85"/>
    <w:rsid w:val="00BA317D"/>
    <w:rsid w:val="00BA3404"/>
    <w:rsid w:val="00BA3CFA"/>
    <w:rsid w:val="00BA3D41"/>
    <w:rsid w:val="00BA3EF6"/>
    <w:rsid w:val="00BA40E2"/>
    <w:rsid w:val="00BA46A2"/>
    <w:rsid w:val="00BA5185"/>
    <w:rsid w:val="00BA5660"/>
    <w:rsid w:val="00BA5F64"/>
    <w:rsid w:val="00BA6298"/>
    <w:rsid w:val="00BA6CBF"/>
    <w:rsid w:val="00BA6D8D"/>
    <w:rsid w:val="00BA711F"/>
    <w:rsid w:val="00BA74F0"/>
    <w:rsid w:val="00BA7881"/>
    <w:rsid w:val="00BA7B9C"/>
    <w:rsid w:val="00BA7EBC"/>
    <w:rsid w:val="00BA7EEB"/>
    <w:rsid w:val="00BB0043"/>
    <w:rsid w:val="00BB082C"/>
    <w:rsid w:val="00BB0CFC"/>
    <w:rsid w:val="00BB1028"/>
    <w:rsid w:val="00BB122C"/>
    <w:rsid w:val="00BB1540"/>
    <w:rsid w:val="00BB17DF"/>
    <w:rsid w:val="00BB1A80"/>
    <w:rsid w:val="00BB1F6F"/>
    <w:rsid w:val="00BB2DEA"/>
    <w:rsid w:val="00BB2F79"/>
    <w:rsid w:val="00BB3AF0"/>
    <w:rsid w:val="00BB3C74"/>
    <w:rsid w:val="00BB3E0F"/>
    <w:rsid w:val="00BB4059"/>
    <w:rsid w:val="00BB4083"/>
    <w:rsid w:val="00BB4698"/>
    <w:rsid w:val="00BB511E"/>
    <w:rsid w:val="00BB55D5"/>
    <w:rsid w:val="00BB5644"/>
    <w:rsid w:val="00BB5AC8"/>
    <w:rsid w:val="00BB5F6F"/>
    <w:rsid w:val="00BB6647"/>
    <w:rsid w:val="00BB6A3B"/>
    <w:rsid w:val="00BB7075"/>
    <w:rsid w:val="00BB7492"/>
    <w:rsid w:val="00BB76AD"/>
    <w:rsid w:val="00BB7FF2"/>
    <w:rsid w:val="00BC0185"/>
    <w:rsid w:val="00BC0FBA"/>
    <w:rsid w:val="00BC16BE"/>
    <w:rsid w:val="00BC174E"/>
    <w:rsid w:val="00BC18FD"/>
    <w:rsid w:val="00BC1AA3"/>
    <w:rsid w:val="00BC2B82"/>
    <w:rsid w:val="00BC2C57"/>
    <w:rsid w:val="00BC2F50"/>
    <w:rsid w:val="00BC2F79"/>
    <w:rsid w:val="00BC3035"/>
    <w:rsid w:val="00BC3209"/>
    <w:rsid w:val="00BC3BB2"/>
    <w:rsid w:val="00BC3C98"/>
    <w:rsid w:val="00BC4125"/>
    <w:rsid w:val="00BC48DB"/>
    <w:rsid w:val="00BC4970"/>
    <w:rsid w:val="00BC4F48"/>
    <w:rsid w:val="00BC568A"/>
    <w:rsid w:val="00BC59B6"/>
    <w:rsid w:val="00BC5BCD"/>
    <w:rsid w:val="00BC6323"/>
    <w:rsid w:val="00BC6846"/>
    <w:rsid w:val="00BC6AAE"/>
    <w:rsid w:val="00BC779D"/>
    <w:rsid w:val="00BC79A0"/>
    <w:rsid w:val="00BC7F7D"/>
    <w:rsid w:val="00BD01EF"/>
    <w:rsid w:val="00BD025C"/>
    <w:rsid w:val="00BD067D"/>
    <w:rsid w:val="00BD0AC8"/>
    <w:rsid w:val="00BD0C87"/>
    <w:rsid w:val="00BD0D90"/>
    <w:rsid w:val="00BD0E2E"/>
    <w:rsid w:val="00BD0ED0"/>
    <w:rsid w:val="00BD1CA5"/>
    <w:rsid w:val="00BD2054"/>
    <w:rsid w:val="00BD278A"/>
    <w:rsid w:val="00BD27CE"/>
    <w:rsid w:val="00BD2D99"/>
    <w:rsid w:val="00BD3042"/>
    <w:rsid w:val="00BD3813"/>
    <w:rsid w:val="00BD39D5"/>
    <w:rsid w:val="00BD3A37"/>
    <w:rsid w:val="00BD3F40"/>
    <w:rsid w:val="00BD4A43"/>
    <w:rsid w:val="00BD4BEF"/>
    <w:rsid w:val="00BD4C6C"/>
    <w:rsid w:val="00BD5882"/>
    <w:rsid w:val="00BD5A63"/>
    <w:rsid w:val="00BD5C55"/>
    <w:rsid w:val="00BD5D71"/>
    <w:rsid w:val="00BD6045"/>
    <w:rsid w:val="00BD65BE"/>
    <w:rsid w:val="00BD6ED0"/>
    <w:rsid w:val="00BD6FD3"/>
    <w:rsid w:val="00BD7C5E"/>
    <w:rsid w:val="00BE05CA"/>
    <w:rsid w:val="00BE08F7"/>
    <w:rsid w:val="00BE0BE3"/>
    <w:rsid w:val="00BE0E94"/>
    <w:rsid w:val="00BE10C7"/>
    <w:rsid w:val="00BE11EB"/>
    <w:rsid w:val="00BE170C"/>
    <w:rsid w:val="00BE1B79"/>
    <w:rsid w:val="00BE1C8E"/>
    <w:rsid w:val="00BE1FBD"/>
    <w:rsid w:val="00BE27A6"/>
    <w:rsid w:val="00BE2C14"/>
    <w:rsid w:val="00BE2DBA"/>
    <w:rsid w:val="00BE32E3"/>
    <w:rsid w:val="00BE39AD"/>
    <w:rsid w:val="00BE3BFC"/>
    <w:rsid w:val="00BE4017"/>
    <w:rsid w:val="00BE40E6"/>
    <w:rsid w:val="00BE4B78"/>
    <w:rsid w:val="00BE4DDF"/>
    <w:rsid w:val="00BE4E20"/>
    <w:rsid w:val="00BE4EF4"/>
    <w:rsid w:val="00BE4F6F"/>
    <w:rsid w:val="00BE5E0C"/>
    <w:rsid w:val="00BE670E"/>
    <w:rsid w:val="00BE684B"/>
    <w:rsid w:val="00BE7493"/>
    <w:rsid w:val="00BE76F0"/>
    <w:rsid w:val="00BF0016"/>
    <w:rsid w:val="00BF01D2"/>
    <w:rsid w:val="00BF0C22"/>
    <w:rsid w:val="00BF0CEC"/>
    <w:rsid w:val="00BF10D1"/>
    <w:rsid w:val="00BF1564"/>
    <w:rsid w:val="00BF2396"/>
    <w:rsid w:val="00BF2BDD"/>
    <w:rsid w:val="00BF2C2D"/>
    <w:rsid w:val="00BF2EFC"/>
    <w:rsid w:val="00BF3D3C"/>
    <w:rsid w:val="00BF4797"/>
    <w:rsid w:val="00BF4A1F"/>
    <w:rsid w:val="00BF5C72"/>
    <w:rsid w:val="00BF62A1"/>
    <w:rsid w:val="00BF6D1F"/>
    <w:rsid w:val="00BF7140"/>
    <w:rsid w:val="00BF73F3"/>
    <w:rsid w:val="00BF7940"/>
    <w:rsid w:val="00BF795E"/>
    <w:rsid w:val="00BF796D"/>
    <w:rsid w:val="00BF7AC8"/>
    <w:rsid w:val="00BF7D74"/>
    <w:rsid w:val="00C001C4"/>
    <w:rsid w:val="00C00452"/>
    <w:rsid w:val="00C0103F"/>
    <w:rsid w:val="00C013E9"/>
    <w:rsid w:val="00C02228"/>
    <w:rsid w:val="00C023C8"/>
    <w:rsid w:val="00C02ABE"/>
    <w:rsid w:val="00C02BE5"/>
    <w:rsid w:val="00C039CA"/>
    <w:rsid w:val="00C03EDA"/>
    <w:rsid w:val="00C05136"/>
    <w:rsid w:val="00C058B5"/>
    <w:rsid w:val="00C0599D"/>
    <w:rsid w:val="00C0620A"/>
    <w:rsid w:val="00C065CC"/>
    <w:rsid w:val="00C06674"/>
    <w:rsid w:val="00C0672F"/>
    <w:rsid w:val="00C06DF2"/>
    <w:rsid w:val="00C07159"/>
    <w:rsid w:val="00C07511"/>
    <w:rsid w:val="00C07CC2"/>
    <w:rsid w:val="00C07ED5"/>
    <w:rsid w:val="00C10179"/>
    <w:rsid w:val="00C1037B"/>
    <w:rsid w:val="00C105E6"/>
    <w:rsid w:val="00C1075E"/>
    <w:rsid w:val="00C10A15"/>
    <w:rsid w:val="00C10AE0"/>
    <w:rsid w:val="00C10C37"/>
    <w:rsid w:val="00C10FBF"/>
    <w:rsid w:val="00C118DE"/>
    <w:rsid w:val="00C11C1B"/>
    <w:rsid w:val="00C12057"/>
    <w:rsid w:val="00C12524"/>
    <w:rsid w:val="00C12720"/>
    <w:rsid w:val="00C129FA"/>
    <w:rsid w:val="00C12DC1"/>
    <w:rsid w:val="00C12F8F"/>
    <w:rsid w:val="00C12F93"/>
    <w:rsid w:val="00C1322A"/>
    <w:rsid w:val="00C13344"/>
    <w:rsid w:val="00C13549"/>
    <w:rsid w:val="00C13B57"/>
    <w:rsid w:val="00C13D1F"/>
    <w:rsid w:val="00C13FE7"/>
    <w:rsid w:val="00C1424E"/>
    <w:rsid w:val="00C147D0"/>
    <w:rsid w:val="00C14EBE"/>
    <w:rsid w:val="00C1519D"/>
    <w:rsid w:val="00C1525D"/>
    <w:rsid w:val="00C15622"/>
    <w:rsid w:val="00C15BD9"/>
    <w:rsid w:val="00C15EDA"/>
    <w:rsid w:val="00C160EE"/>
    <w:rsid w:val="00C16843"/>
    <w:rsid w:val="00C16936"/>
    <w:rsid w:val="00C16DDD"/>
    <w:rsid w:val="00C16F3B"/>
    <w:rsid w:val="00C1717E"/>
    <w:rsid w:val="00C1718A"/>
    <w:rsid w:val="00C1761C"/>
    <w:rsid w:val="00C17941"/>
    <w:rsid w:val="00C21488"/>
    <w:rsid w:val="00C214EE"/>
    <w:rsid w:val="00C2162E"/>
    <w:rsid w:val="00C216FF"/>
    <w:rsid w:val="00C2184A"/>
    <w:rsid w:val="00C219F9"/>
    <w:rsid w:val="00C21A7E"/>
    <w:rsid w:val="00C21C56"/>
    <w:rsid w:val="00C21F43"/>
    <w:rsid w:val="00C22B8D"/>
    <w:rsid w:val="00C22F72"/>
    <w:rsid w:val="00C230CA"/>
    <w:rsid w:val="00C2313A"/>
    <w:rsid w:val="00C235DC"/>
    <w:rsid w:val="00C23C37"/>
    <w:rsid w:val="00C2425C"/>
    <w:rsid w:val="00C24BC5"/>
    <w:rsid w:val="00C251A1"/>
    <w:rsid w:val="00C2592A"/>
    <w:rsid w:val="00C259A3"/>
    <w:rsid w:val="00C25E7D"/>
    <w:rsid w:val="00C26175"/>
    <w:rsid w:val="00C264E5"/>
    <w:rsid w:val="00C26B26"/>
    <w:rsid w:val="00C2712B"/>
    <w:rsid w:val="00C2776B"/>
    <w:rsid w:val="00C279CD"/>
    <w:rsid w:val="00C27CDA"/>
    <w:rsid w:val="00C27ECB"/>
    <w:rsid w:val="00C30473"/>
    <w:rsid w:val="00C309F2"/>
    <w:rsid w:val="00C30F6F"/>
    <w:rsid w:val="00C3101F"/>
    <w:rsid w:val="00C31033"/>
    <w:rsid w:val="00C31363"/>
    <w:rsid w:val="00C32211"/>
    <w:rsid w:val="00C32259"/>
    <w:rsid w:val="00C322C6"/>
    <w:rsid w:val="00C322D8"/>
    <w:rsid w:val="00C32333"/>
    <w:rsid w:val="00C3261B"/>
    <w:rsid w:val="00C33105"/>
    <w:rsid w:val="00C3363F"/>
    <w:rsid w:val="00C33985"/>
    <w:rsid w:val="00C33AFF"/>
    <w:rsid w:val="00C33EE1"/>
    <w:rsid w:val="00C34927"/>
    <w:rsid w:val="00C34EAA"/>
    <w:rsid w:val="00C34EEA"/>
    <w:rsid w:val="00C34FB6"/>
    <w:rsid w:val="00C353F3"/>
    <w:rsid w:val="00C354F7"/>
    <w:rsid w:val="00C35913"/>
    <w:rsid w:val="00C35A16"/>
    <w:rsid w:val="00C3615B"/>
    <w:rsid w:val="00C36980"/>
    <w:rsid w:val="00C36CB7"/>
    <w:rsid w:val="00C37311"/>
    <w:rsid w:val="00C37334"/>
    <w:rsid w:val="00C374F8"/>
    <w:rsid w:val="00C37732"/>
    <w:rsid w:val="00C37BE6"/>
    <w:rsid w:val="00C40253"/>
    <w:rsid w:val="00C40984"/>
    <w:rsid w:val="00C415E8"/>
    <w:rsid w:val="00C41A05"/>
    <w:rsid w:val="00C41CB1"/>
    <w:rsid w:val="00C42724"/>
    <w:rsid w:val="00C42F80"/>
    <w:rsid w:val="00C42F8E"/>
    <w:rsid w:val="00C43078"/>
    <w:rsid w:val="00C43412"/>
    <w:rsid w:val="00C44215"/>
    <w:rsid w:val="00C4438A"/>
    <w:rsid w:val="00C4447F"/>
    <w:rsid w:val="00C45AF1"/>
    <w:rsid w:val="00C45FA7"/>
    <w:rsid w:val="00C46346"/>
    <w:rsid w:val="00C46414"/>
    <w:rsid w:val="00C4688F"/>
    <w:rsid w:val="00C469DF"/>
    <w:rsid w:val="00C46C80"/>
    <w:rsid w:val="00C47057"/>
    <w:rsid w:val="00C47552"/>
    <w:rsid w:val="00C47566"/>
    <w:rsid w:val="00C47876"/>
    <w:rsid w:val="00C502E2"/>
    <w:rsid w:val="00C508F6"/>
    <w:rsid w:val="00C50E2E"/>
    <w:rsid w:val="00C51114"/>
    <w:rsid w:val="00C518F9"/>
    <w:rsid w:val="00C51C9B"/>
    <w:rsid w:val="00C51FF8"/>
    <w:rsid w:val="00C5239F"/>
    <w:rsid w:val="00C529DF"/>
    <w:rsid w:val="00C530D3"/>
    <w:rsid w:val="00C53298"/>
    <w:rsid w:val="00C536AD"/>
    <w:rsid w:val="00C53D4E"/>
    <w:rsid w:val="00C53EBD"/>
    <w:rsid w:val="00C5400F"/>
    <w:rsid w:val="00C540E4"/>
    <w:rsid w:val="00C5442D"/>
    <w:rsid w:val="00C5495A"/>
    <w:rsid w:val="00C54E4E"/>
    <w:rsid w:val="00C55078"/>
    <w:rsid w:val="00C55AB9"/>
    <w:rsid w:val="00C564B9"/>
    <w:rsid w:val="00C56843"/>
    <w:rsid w:val="00C56BE1"/>
    <w:rsid w:val="00C56F28"/>
    <w:rsid w:val="00C57512"/>
    <w:rsid w:val="00C577B0"/>
    <w:rsid w:val="00C577D1"/>
    <w:rsid w:val="00C57A7E"/>
    <w:rsid w:val="00C60259"/>
    <w:rsid w:val="00C60DC7"/>
    <w:rsid w:val="00C60F1D"/>
    <w:rsid w:val="00C6115B"/>
    <w:rsid w:val="00C613DD"/>
    <w:rsid w:val="00C61A45"/>
    <w:rsid w:val="00C61CF8"/>
    <w:rsid w:val="00C63A84"/>
    <w:rsid w:val="00C63C57"/>
    <w:rsid w:val="00C63F9C"/>
    <w:rsid w:val="00C645EF"/>
    <w:rsid w:val="00C6495E"/>
    <w:rsid w:val="00C64B57"/>
    <w:rsid w:val="00C652ED"/>
    <w:rsid w:val="00C65F8C"/>
    <w:rsid w:val="00C66710"/>
    <w:rsid w:val="00C66944"/>
    <w:rsid w:val="00C66F8E"/>
    <w:rsid w:val="00C66FEF"/>
    <w:rsid w:val="00C67379"/>
    <w:rsid w:val="00C67FCE"/>
    <w:rsid w:val="00C700A8"/>
    <w:rsid w:val="00C70BDC"/>
    <w:rsid w:val="00C7171E"/>
    <w:rsid w:val="00C71DD6"/>
    <w:rsid w:val="00C72101"/>
    <w:rsid w:val="00C721EA"/>
    <w:rsid w:val="00C722AF"/>
    <w:rsid w:val="00C72506"/>
    <w:rsid w:val="00C73184"/>
    <w:rsid w:val="00C73282"/>
    <w:rsid w:val="00C73437"/>
    <w:rsid w:val="00C73631"/>
    <w:rsid w:val="00C738EA"/>
    <w:rsid w:val="00C73AA5"/>
    <w:rsid w:val="00C7474C"/>
    <w:rsid w:val="00C74C2A"/>
    <w:rsid w:val="00C75279"/>
    <w:rsid w:val="00C75A7B"/>
    <w:rsid w:val="00C75D56"/>
    <w:rsid w:val="00C760A6"/>
    <w:rsid w:val="00C760FB"/>
    <w:rsid w:val="00C76134"/>
    <w:rsid w:val="00C764AF"/>
    <w:rsid w:val="00C770D4"/>
    <w:rsid w:val="00C77202"/>
    <w:rsid w:val="00C7731F"/>
    <w:rsid w:val="00C77496"/>
    <w:rsid w:val="00C775AA"/>
    <w:rsid w:val="00C77B80"/>
    <w:rsid w:val="00C77C11"/>
    <w:rsid w:val="00C77F1A"/>
    <w:rsid w:val="00C77FE7"/>
    <w:rsid w:val="00C8044D"/>
    <w:rsid w:val="00C8078F"/>
    <w:rsid w:val="00C8098C"/>
    <w:rsid w:val="00C80A44"/>
    <w:rsid w:val="00C812FA"/>
    <w:rsid w:val="00C81703"/>
    <w:rsid w:val="00C81E21"/>
    <w:rsid w:val="00C82002"/>
    <w:rsid w:val="00C821DC"/>
    <w:rsid w:val="00C827DA"/>
    <w:rsid w:val="00C82C04"/>
    <w:rsid w:val="00C82D70"/>
    <w:rsid w:val="00C831E3"/>
    <w:rsid w:val="00C839B8"/>
    <w:rsid w:val="00C83B8F"/>
    <w:rsid w:val="00C83C18"/>
    <w:rsid w:val="00C83D74"/>
    <w:rsid w:val="00C83FD0"/>
    <w:rsid w:val="00C84522"/>
    <w:rsid w:val="00C852D0"/>
    <w:rsid w:val="00C8631C"/>
    <w:rsid w:val="00C86A8F"/>
    <w:rsid w:val="00C874AF"/>
    <w:rsid w:val="00C8782D"/>
    <w:rsid w:val="00C879AF"/>
    <w:rsid w:val="00C9037F"/>
    <w:rsid w:val="00C90AB1"/>
    <w:rsid w:val="00C90AC9"/>
    <w:rsid w:val="00C910A3"/>
    <w:rsid w:val="00C91509"/>
    <w:rsid w:val="00C91932"/>
    <w:rsid w:val="00C91A08"/>
    <w:rsid w:val="00C91EAB"/>
    <w:rsid w:val="00C91F18"/>
    <w:rsid w:val="00C9220B"/>
    <w:rsid w:val="00C92331"/>
    <w:rsid w:val="00C92491"/>
    <w:rsid w:val="00C92496"/>
    <w:rsid w:val="00C926C9"/>
    <w:rsid w:val="00C93026"/>
    <w:rsid w:val="00C936BE"/>
    <w:rsid w:val="00C93873"/>
    <w:rsid w:val="00C94323"/>
    <w:rsid w:val="00C946B9"/>
    <w:rsid w:val="00C94709"/>
    <w:rsid w:val="00C94923"/>
    <w:rsid w:val="00C94E9F"/>
    <w:rsid w:val="00C952C0"/>
    <w:rsid w:val="00C95340"/>
    <w:rsid w:val="00C954A2"/>
    <w:rsid w:val="00C954AD"/>
    <w:rsid w:val="00C955CB"/>
    <w:rsid w:val="00C956A0"/>
    <w:rsid w:val="00C95F9A"/>
    <w:rsid w:val="00C960EC"/>
    <w:rsid w:val="00C96111"/>
    <w:rsid w:val="00C967B7"/>
    <w:rsid w:val="00C96912"/>
    <w:rsid w:val="00C96FCC"/>
    <w:rsid w:val="00C97185"/>
    <w:rsid w:val="00C973C2"/>
    <w:rsid w:val="00C976FE"/>
    <w:rsid w:val="00C97902"/>
    <w:rsid w:val="00C97AF9"/>
    <w:rsid w:val="00C97C29"/>
    <w:rsid w:val="00C97F8F"/>
    <w:rsid w:val="00C97FDD"/>
    <w:rsid w:val="00CA00F1"/>
    <w:rsid w:val="00CA0222"/>
    <w:rsid w:val="00CA071A"/>
    <w:rsid w:val="00CA0A5A"/>
    <w:rsid w:val="00CA0C37"/>
    <w:rsid w:val="00CA0D44"/>
    <w:rsid w:val="00CA0E46"/>
    <w:rsid w:val="00CA0F8D"/>
    <w:rsid w:val="00CA0FBC"/>
    <w:rsid w:val="00CA1260"/>
    <w:rsid w:val="00CA12C4"/>
    <w:rsid w:val="00CA13CF"/>
    <w:rsid w:val="00CA14F5"/>
    <w:rsid w:val="00CA1C41"/>
    <w:rsid w:val="00CA2495"/>
    <w:rsid w:val="00CA24D7"/>
    <w:rsid w:val="00CA2667"/>
    <w:rsid w:val="00CA2B65"/>
    <w:rsid w:val="00CA2F85"/>
    <w:rsid w:val="00CA3BBC"/>
    <w:rsid w:val="00CA3F67"/>
    <w:rsid w:val="00CA419D"/>
    <w:rsid w:val="00CA433E"/>
    <w:rsid w:val="00CA48EA"/>
    <w:rsid w:val="00CA4DAC"/>
    <w:rsid w:val="00CA50BA"/>
    <w:rsid w:val="00CA56A2"/>
    <w:rsid w:val="00CA62BF"/>
    <w:rsid w:val="00CA689B"/>
    <w:rsid w:val="00CA69DA"/>
    <w:rsid w:val="00CA6ACF"/>
    <w:rsid w:val="00CA7140"/>
    <w:rsid w:val="00CA740C"/>
    <w:rsid w:val="00CA7BE8"/>
    <w:rsid w:val="00CB0332"/>
    <w:rsid w:val="00CB0581"/>
    <w:rsid w:val="00CB0688"/>
    <w:rsid w:val="00CB0739"/>
    <w:rsid w:val="00CB07D8"/>
    <w:rsid w:val="00CB0811"/>
    <w:rsid w:val="00CB0A5F"/>
    <w:rsid w:val="00CB0F23"/>
    <w:rsid w:val="00CB199E"/>
    <w:rsid w:val="00CB1AFD"/>
    <w:rsid w:val="00CB2244"/>
    <w:rsid w:val="00CB2403"/>
    <w:rsid w:val="00CB2807"/>
    <w:rsid w:val="00CB2CA3"/>
    <w:rsid w:val="00CB30E1"/>
    <w:rsid w:val="00CB31BF"/>
    <w:rsid w:val="00CB3220"/>
    <w:rsid w:val="00CB3925"/>
    <w:rsid w:val="00CB3C7F"/>
    <w:rsid w:val="00CB3E84"/>
    <w:rsid w:val="00CB3F1C"/>
    <w:rsid w:val="00CB40C0"/>
    <w:rsid w:val="00CB4382"/>
    <w:rsid w:val="00CB48C9"/>
    <w:rsid w:val="00CB516B"/>
    <w:rsid w:val="00CB5292"/>
    <w:rsid w:val="00CB5BF4"/>
    <w:rsid w:val="00CB6155"/>
    <w:rsid w:val="00CB65D2"/>
    <w:rsid w:val="00CB686C"/>
    <w:rsid w:val="00CB6A7B"/>
    <w:rsid w:val="00CB6C67"/>
    <w:rsid w:val="00CB7354"/>
    <w:rsid w:val="00CB74D4"/>
    <w:rsid w:val="00CB7517"/>
    <w:rsid w:val="00CB752B"/>
    <w:rsid w:val="00CB7DCB"/>
    <w:rsid w:val="00CC00A8"/>
    <w:rsid w:val="00CC0D33"/>
    <w:rsid w:val="00CC0D65"/>
    <w:rsid w:val="00CC1288"/>
    <w:rsid w:val="00CC138A"/>
    <w:rsid w:val="00CC17EB"/>
    <w:rsid w:val="00CC1E2F"/>
    <w:rsid w:val="00CC23BC"/>
    <w:rsid w:val="00CC2A06"/>
    <w:rsid w:val="00CC3233"/>
    <w:rsid w:val="00CC34D9"/>
    <w:rsid w:val="00CC3889"/>
    <w:rsid w:val="00CC38BA"/>
    <w:rsid w:val="00CC3C81"/>
    <w:rsid w:val="00CC3E61"/>
    <w:rsid w:val="00CC3E7D"/>
    <w:rsid w:val="00CC404A"/>
    <w:rsid w:val="00CC40B7"/>
    <w:rsid w:val="00CC4500"/>
    <w:rsid w:val="00CC45B6"/>
    <w:rsid w:val="00CC59C3"/>
    <w:rsid w:val="00CC5CFC"/>
    <w:rsid w:val="00CC5E54"/>
    <w:rsid w:val="00CC646C"/>
    <w:rsid w:val="00CC6678"/>
    <w:rsid w:val="00CC6CE7"/>
    <w:rsid w:val="00CC76A0"/>
    <w:rsid w:val="00CC76D5"/>
    <w:rsid w:val="00CC78DD"/>
    <w:rsid w:val="00CC7983"/>
    <w:rsid w:val="00CC7D09"/>
    <w:rsid w:val="00CC7DA0"/>
    <w:rsid w:val="00CD02B5"/>
    <w:rsid w:val="00CD07EB"/>
    <w:rsid w:val="00CD08E6"/>
    <w:rsid w:val="00CD0A84"/>
    <w:rsid w:val="00CD12E6"/>
    <w:rsid w:val="00CD16FF"/>
    <w:rsid w:val="00CD198C"/>
    <w:rsid w:val="00CD1B33"/>
    <w:rsid w:val="00CD1C3A"/>
    <w:rsid w:val="00CD20EE"/>
    <w:rsid w:val="00CD2808"/>
    <w:rsid w:val="00CD2969"/>
    <w:rsid w:val="00CD2AE1"/>
    <w:rsid w:val="00CD346C"/>
    <w:rsid w:val="00CD386B"/>
    <w:rsid w:val="00CD3CC1"/>
    <w:rsid w:val="00CD3DC1"/>
    <w:rsid w:val="00CD4222"/>
    <w:rsid w:val="00CD444F"/>
    <w:rsid w:val="00CD44F5"/>
    <w:rsid w:val="00CD5289"/>
    <w:rsid w:val="00CD60B9"/>
    <w:rsid w:val="00CD72C4"/>
    <w:rsid w:val="00CD7396"/>
    <w:rsid w:val="00CD7628"/>
    <w:rsid w:val="00CD7B9A"/>
    <w:rsid w:val="00CD7C80"/>
    <w:rsid w:val="00CE070E"/>
    <w:rsid w:val="00CE098C"/>
    <w:rsid w:val="00CE0C97"/>
    <w:rsid w:val="00CE10D6"/>
    <w:rsid w:val="00CE12E0"/>
    <w:rsid w:val="00CE1C67"/>
    <w:rsid w:val="00CE22F7"/>
    <w:rsid w:val="00CE2CEA"/>
    <w:rsid w:val="00CE2FCC"/>
    <w:rsid w:val="00CE33C8"/>
    <w:rsid w:val="00CE349C"/>
    <w:rsid w:val="00CE357E"/>
    <w:rsid w:val="00CE3AE8"/>
    <w:rsid w:val="00CE40DA"/>
    <w:rsid w:val="00CE4690"/>
    <w:rsid w:val="00CE4CE0"/>
    <w:rsid w:val="00CE60D9"/>
    <w:rsid w:val="00CE67D9"/>
    <w:rsid w:val="00CE6AD3"/>
    <w:rsid w:val="00CE7838"/>
    <w:rsid w:val="00CE7D15"/>
    <w:rsid w:val="00CE7E3A"/>
    <w:rsid w:val="00CF0124"/>
    <w:rsid w:val="00CF04CB"/>
    <w:rsid w:val="00CF0875"/>
    <w:rsid w:val="00CF1545"/>
    <w:rsid w:val="00CF1551"/>
    <w:rsid w:val="00CF163E"/>
    <w:rsid w:val="00CF17F8"/>
    <w:rsid w:val="00CF1DE8"/>
    <w:rsid w:val="00CF1F44"/>
    <w:rsid w:val="00CF1FD1"/>
    <w:rsid w:val="00CF25AE"/>
    <w:rsid w:val="00CF2700"/>
    <w:rsid w:val="00CF2849"/>
    <w:rsid w:val="00CF2FC9"/>
    <w:rsid w:val="00CF3720"/>
    <w:rsid w:val="00CF4432"/>
    <w:rsid w:val="00CF45CA"/>
    <w:rsid w:val="00CF4AB3"/>
    <w:rsid w:val="00CF4F04"/>
    <w:rsid w:val="00CF5F58"/>
    <w:rsid w:val="00CF5FE4"/>
    <w:rsid w:val="00CF6979"/>
    <w:rsid w:val="00CF6E61"/>
    <w:rsid w:val="00CF73A5"/>
    <w:rsid w:val="00CF7A50"/>
    <w:rsid w:val="00CF7AEC"/>
    <w:rsid w:val="00CF7F8E"/>
    <w:rsid w:val="00D00A1E"/>
    <w:rsid w:val="00D00C78"/>
    <w:rsid w:val="00D018EB"/>
    <w:rsid w:val="00D02374"/>
    <w:rsid w:val="00D024A5"/>
    <w:rsid w:val="00D02834"/>
    <w:rsid w:val="00D02CD4"/>
    <w:rsid w:val="00D036E6"/>
    <w:rsid w:val="00D03C64"/>
    <w:rsid w:val="00D03E40"/>
    <w:rsid w:val="00D043AF"/>
    <w:rsid w:val="00D04459"/>
    <w:rsid w:val="00D0453E"/>
    <w:rsid w:val="00D04555"/>
    <w:rsid w:val="00D049D2"/>
    <w:rsid w:val="00D04BCC"/>
    <w:rsid w:val="00D04E28"/>
    <w:rsid w:val="00D04FD2"/>
    <w:rsid w:val="00D050F9"/>
    <w:rsid w:val="00D05DE1"/>
    <w:rsid w:val="00D06542"/>
    <w:rsid w:val="00D06553"/>
    <w:rsid w:val="00D06EC2"/>
    <w:rsid w:val="00D07E48"/>
    <w:rsid w:val="00D10E0F"/>
    <w:rsid w:val="00D1207F"/>
    <w:rsid w:val="00D12766"/>
    <w:rsid w:val="00D13453"/>
    <w:rsid w:val="00D135D4"/>
    <w:rsid w:val="00D138D2"/>
    <w:rsid w:val="00D13BD0"/>
    <w:rsid w:val="00D13C21"/>
    <w:rsid w:val="00D141F2"/>
    <w:rsid w:val="00D14336"/>
    <w:rsid w:val="00D145AE"/>
    <w:rsid w:val="00D145C2"/>
    <w:rsid w:val="00D14C38"/>
    <w:rsid w:val="00D14CE3"/>
    <w:rsid w:val="00D151E1"/>
    <w:rsid w:val="00D15DF5"/>
    <w:rsid w:val="00D16032"/>
    <w:rsid w:val="00D163F4"/>
    <w:rsid w:val="00D16EC1"/>
    <w:rsid w:val="00D171C9"/>
    <w:rsid w:val="00D1772C"/>
    <w:rsid w:val="00D179C8"/>
    <w:rsid w:val="00D20137"/>
    <w:rsid w:val="00D203FB"/>
    <w:rsid w:val="00D205AB"/>
    <w:rsid w:val="00D2079E"/>
    <w:rsid w:val="00D21762"/>
    <w:rsid w:val="00D219A4"/>
    <w:rsid w:val="00D21C75"/>
    <w:rsid w:val="00D22125"/>
    <w:rsid w:val="00D2243D"/>
    <w:rsid w:val="00D22576"/>
    <w:rsid w:val="00D2283B"/>
    <w:rsid w:val="00D22FDD"/>
    <w:rsid w:val="00D239DD"/>
    <w:rsid w:val="00D23A9A"/>
    <w:rsid w:val="00D23B6D"/>
    <w:rsid w:val="00D2482B"/>
    <w:rsid w:val="00D24C63"/>
    <w:rsid w:val="00D2572F"/>
    <w:rsid w:val="00D25878"/>
    <w:rsid w:val="00D2590A"/>
    <w:rsid w:val="00D25E81"/>
    <w:rsid w:val="00D2651C"/>
    <w:rsid w:val="00D26A5F"/>
    <w:rsid w:val="00D26AF4"/>
    <w:rsid w:val="00D26C1B"/>
    <w:rsid w:val="00D26C39"/>
    <w:rsid w:val="00D26D67"/>
    <w:rsid w:val="00D2724C"/>
    <w:rsid w:val="00D274D1"/>
    <w:rsid w:val="00D27CBF"/>
    <w:rsid w:val="00D27FAD"/>
    <w:rsid w:val="00D303AB"/>
    <w:rsid w:val="00D30462"/>
    <w:rsid w:val="00D30736"/>
    <w:rsid w:val="00D30A55"/>
    <w:rsid w:val="00D30CFA"/>
    <w:rsid w:val="00D30EEF"/>
    <w:rsid w:val="00D311DB"/>
    <w:rsid w:val="00D3189A"/>
    <w:rsid w:val="00D32D02"/>
    <w:rsid w:val="00D34050"/>
    <w:rsid w:val="00D34109"/>
    <w:rsid w:val="00D3427D"/>
    <w:rsid w:val="00D3444F"/>
    <w:rsid w:val="00D34463"/>
    <w:rsid w:val="00D344C3"/>
    <w:rsid w:val="00D3516F"/>
    <w:rsid w:val="00D35BF4"/>
    <w:rsid w:val="00D36275"/>
    <w:rsid w:val="00D37250"/>
    <w:rsid w:val="00D37335"/>
    <w:rsid w:val="00D3D5A1"/>
    <w:rsid w:val="00D40004"/>
    <w:rsid w:val="00D409D5"/>
    <w:rsid w:val="00D40DE1"/>
    <w:rsid w:val="00D4148F"/>
    <w:rsid w:val="00D4172C"/>
    <w:rsid w:val="00D41FD5"/>
    <w:rsid w:val="00D422A3"/>
    <w:rsid w:val="00D42389"/>
    <w:rsid w:val="00D42500"/>
    <w:rsid w:val="00D428A3"/>
    <w:rsid w:val="00D42B16"/>
    <w:rsid w:val="00D431C7"/>
    <w:rsid w:val="00D431F1"/>
    <w:rsid w:val="00D4379F"/>
    <w:rsid w:val="00D43A4A"/>
    <w:rsid w:val="00D44671"/>
    <w:rsid w:val="00D446A8"/>
    <w:rsid w:val="00D4471E"/>
    <w:rsid w:val="00D447C3"/>
    <w:rsid w:val="00D44922"/>
    <w:rsid w:val="00D44F01"/>
    <w:rsid w:val="00D45371"/>
    <w:rsid w:val="00D453E5"/>
    <w:rsid w:val="00D4544E"/>
    <w:rsid w:val="00D45889"/>
    <w:rsid w:val="00D45933"/>
    <w:rsid w:val="00D461F2"/>
    <w:rsid w:val="00D463DE"/>
    <w:rsid w:val="00D46D37"/>
    <w:rsid w:val="00D46D81"/>
    <w:rsid w:val="00D46DC3"/>
    <w:rsid w:val="00D471A3"/>
    <w:rsid w:val="00D4749F"/>
    <w:rsid w:val="00D47C42"/>
    <w:rsid w:val="00D50482"/>
    <w:rsid w:val="00D50622"/>
    <w:rsid w:val="00D50961"/>
    <w:rsid w:val="00D50C76"/>
    <w:rsid w:val="00D50E04"/>
    <w:rsid w:val="00D51471"/>
    <w:rsid w:val="00D51B65"/>
    <w:rsid w:val="00D5224C"/>
    <w:rsid w:val="00D522CA"/>
    <w:rsid w:val="00D524A8"/>
    <w:rsid w:val="00D5264B"/>
    <w:rsid w:val="00D52837"/>
    <w:rsid w:val="00D52DD9"/>
    <w:rsid w:val="00D53003"/>
    <w:rsid w:val="00D53387"/>
    <w:rsid w:val="00D53668"/>
    <w:rsid w:val="00D5369F"/>
    <w:rsid w:val="00D537C7"/>
    <w:rsid w:val="00D53836"/>
    <w:rsid w:val="00D53ACD"/>
    <w:rsid w:val="00D53B47"/>
    <w:rsid w:val="00D53C33"/>
    <w:rsid w:val="00D53D19"/>
    <w:rsid w:val="00D540E0"/>
    <w:rsid w:val="00D54490"/>
    <w:rsid w:val="00D55991"/>
    <w:rsid w:val="00D55B10"/>
    <w:rsid w:val="00D55D2F"/>
    <w:rsid w:val="00D55E74"/>
    <w:rsid w:val="00D55F96"/>
    <w:rsid w:val="00D56282"/>
    <w:rsid w:val="00D57105"/>
    <w:rsid w:val="00D57415"/>
    <w:rsid w:val="00D57CFD"/>
    <w:rsid w:val="00D6024C"/>
    <w:rsid w:val="00D603A8"/>
    <w:rsid w:val="00D603D0"/>
    <w:rsid w:val="00D60487"/>
    <w:rsid w:val="00D60A53"/>
    <w:rsid w:val="00D60D67"/>
    <w:rsid w:val="00D6105C"/>
    <w:rsid w:val="00D62061"/>
    <w:rsid w:val="00D624A3"/>
    <w:rsid w:val="00D628C1"/>
    <w:rsid w:val="00D628D5"/>
    <w:rsid w:val="00D6298C"/>
    <w:rsid w:val="00D62A70"/>
    <w:rsid w:val="00D62FBF"/>
    <w:rsid w:val="00D63E03"/>
    <w:rsid w:val="00D6477A"/>
    <w:rsid w:val="00D64C56"/>
    <w:rsid w:val="00D64D33"/>
    <w:rsid w:val="00D65028"/>
    <w:rsid w:val="00D651FB"/>
    <w:rsid w:val="00D65631"/>
    <w:rsid w:val="00D656CB"/>
    <w:rsid w:val="00D65E38"/>
    <w:rsid w:val="00D65EDF"/>
    <w:rsid w:val="00D66165"/>
    <w:rsid w:val="00D66AC0"/>
    <w:rsid w:val="00D66B97"/>
    <w:rsid w:val="00D66F6A"/>
    <w:rsid w:val="00D678E3"/>
    <w:rsid w:val="00D67995"/>
    <w:rsid w:val="00D67B4A"/>
    <w:rsid w:val="00D67DD8"/>
    <w:rsid w:val="00D7024A"/>
    <w:rsid w:val="00D705AB"/>
    <w:rsid w:val="00D705C9"/>
    <w:rsid w:val="00D70ADF"/>
    <w:rsid w:val="00D70D46"/>
    <w:rsid w:val="00D70D56"/>
    <w:rsid w:val="00D71885"/>
    <w:rsid w:val="00D718B9"/>
    <w:rsid w:val="00D71A17"/>
    <w:rsid w:val="00D7282A"/>
    <w:rsid w:val="00D735D5"/>
    <w:rsid w:val="00D738B2"/>
    <w:rsid w:val="00D74332"/>
    <w:rsid w:val="00D74DEF"/>
    <w:rsid w:val="00D74F05"/>
    <w:rsid w:val="00D75465"/>
    <w:rsid w:val="00D759D8"/>
    <w:rsid w:val="00D75B05"/>
    <w:rsid w:val="00D75FF2"/>
    <w:rsid w:val="00D76206"/>
    <w:rsid w:val="00D763CF"/>
    <w:rsid w:val="00D7750B"/>
    <w:rsid w:val="00D775D1"/>
    <w:rsid w:val="00D776BA"/>
    <w:rsid w:val="00D77BDE"/>
    <w:rsid w:val="00D801EB"/>
    <w:rsid w:val="00D80621"/>
    <w:rsid w:val="00D80825"/>
    <w:rsid w:val="00D808A5"/>
    <w:rsid w:val="00D810E3"/>
    <w:rsid w:val="00D81562"/>
    <w:rsid w:val="00D81AD3"/>
    <w:rsid w:val="00D8203E"/>
    <w:rsid w:val="00D82F62"/>
    <w:rsid w:val="00D83557"/>
    <w:rsid w:val="00D839BE"/>
    <w:rsid w:val="00D83CE9"/>
    <w:rsid w:val="00D83D57"/>
    <w:rsid w:val="00D84240"/>
    <w:rsid w:val="00D8504E"/>
    <w:rsid w:val="00D8514E"/>
    <w:rsid w:val="00D8583C"/>
    <w:rsid w:val="00D859AB"/>
    <w:rsid w:val="00D85CF7"/>
    <w:rsid w:val="00D85F2F"/>
    <w:rsid w:val="00D86141"/>
    <w:rsid w:val="00D8654D"/>
    <w:rsid w:val="00D86751"/>
    <w:rsid w:val="00D86CB2"/>
    <w:rsid w:val="00D871FC"/>
    <w:rsid w:val="00D8728F"/>
    <w:rsid w:val="00D87465"/>
    <w:rsid w:val="00D8767D"/>
    <w:rsid w:val="00D9039E"/>
    <w:rsid w:val="00D905D8"/>
    <w:rsid w:val="00D90877"/>
    <w:rsid w:val="00D91212"/>
    <w:rsid w:val="00D91798"/>
    <w:rsid w:val="00D91B5B"/>
    <w:rsid w:val="00D91F26"/>
    <w:rsid w:val="00D93071"/>
    <w:rsid w:val="00D931D1"/>
    <w:rsid w:val="00D93305"/>
    <w:rsid w:val="00D93352"/>
    <w:rsid w:val="00D934B5"/>
    <w:rsid w:val="00D93852"/>
    <w:rsid w:val="00D942FE"/>
    <w:rsid w:val="00D94545"/>
    <w:rsid w:val="00D94553"/>
    <w:rsid w:val="00D9469D"/>
    <w:rsid w:val="00D948BD"/>
    <w:rsid w:val="00D95A69"/>
    <w:rsid w:val="00D95A8D"/>
    <w:rsid w:val="00D95D0D"/>
    <w:rsid w:val="00D95E76"/>
    <w:rsid w:val="00D9603F"/>
    <w:rsid w:val="00D9674E"/>
    <w:rsid w:val="00D96A90"/>
    <w:rsid w:val="00D96D85"/>
    <w:rsid w:val="00D96DD7"/>
    <w:rsid w:val="00D96F9C"/>
    <w:rsid w:val="00D970C7"/>
    <w:rsid w:val="00D973C2"/>
    <w:rsid w:val="00D9756C"/>
    <w:rsid w:val="00D97A51"/>
    <w:rsid w:val="00D97C1F"/>
    <w:rsid w:val="00D97D13"/>
    <w:rsid w:val="00DA00F0"/>
    <w:rsid w:val="00DA02BF"/>
    <w:rsid w:val="00DA0385"/>
    <w:rsid w:val="00DA0888"/>
    <w:rsid w:val="00DA08F3"/>
    <w:rsid w:val="00DA0936"/>
    <w:rsid w:val="00DA0AB8"/>
    <w:rsid w:val="00DA0B79"/>
    <w:rsid w:val="00DA11AC"/>
    <w:rsid w:val="00DA14D9"/>
    <w:rsid w:val="00DA1929"/>
    <w:rsid w:val="00DA245D"/>
    <w:rsid w:val="00DA2590"/>
    <w:rsid w:val="00DA31FC"/>
    <w:rsid w:val="00DA3916"/>
    <w:rsid w:val="00DA3A58"/>
    <w:rsid w:val="00DA3FCF"/>
    <w:rsid w:val="00DA3FFF"/>
    <w:rsid w:val="00DA425E"/>
    <w:rsid w:val="00DA453B"/>
    <w:rsid w:val="00DA4551"/>
    <w:rsid w:val="00DA4CD4"/>
    <w:rsid w:val="00DA4D4E"/>
    <w:rsid w:val="00DA4D9A"/>
    <w:rsid w:val="00DA5081"/>
    <w:rsid w:val="00DA52C9"/>
    <w:rsid w:val="00DA67AA"/>
    <w:rsid w:val="00DA6A57"/>
    <w:rsid w:val="00DA73C0"/>
    <w:rsid w:val="00DA773C"/>
    <w:rsid w:val="00DA7A36"/>
    <w:rsid w:val="00DB00DF"/>
    <w:rsid w:val="00DB011D"/>
    <w:rsid w:val="00DB075B"/>
    <w:rsid w:val="00DB096E"/>
    <w:rsid w:val="00DB0A39"/>
    <w:rsid w:val="00DB0B0D"/>
    <w:rsid w:val="00DB0FF1"/>
    <w:rsid w:val="00DB146F"/>
    <w:rsid w:val="00DB1573"/>
    <w:rsid w:val="00DB1EF8"/>
    <w:rsid w:val="00DB2858"/>
    <w:rsid w:val="00DB2B84"/>
    <w:rsid w:val="00DB2BE9"/>
    <w:rsid w:val="00DB2DDB"/>
    <w:rsid w:val="00DB30B6"/>
    <w:rsid w:val="00DB3A5B"/>
    <w:rsid w:val="00DB3A79"/>
    <w:rsid w:val="00DB3CDF"/>
    <w:rsid w:val="00DB4891"/>
    <w:rsid w:val="00DB4897"/>
    <w:rsid w:val="00DB48A8"/>
    <w:rsid w:val="00DB4BB7"/>
    <w:rsid w:val="00DB4DCE"/>
    <w:rsid w:val="00DB4EE7"/>
    <w:rsid w:val="00DB4F9B"/>
    <w:rsid w:val="00DB4FBD"/>
    <w:rsid w:val="00DB51CF"/>
    <w:rsid w:val="00DB52E9"/>
    <w:rsid w:val="00DB5889"/>
    <w:rsid w:val="00DB59F2"/>
    <w:rsid w:val="00DB62BB"/>
    <w:rsid w:val="00DB6C62"/>
    <w:rsid w:val="00DB6DAD"/>
    <w:rsid w:val="00DB708C"/>
    <w:rsid w:val="00DC002C"/>
    <w:rsid w:val="00DC025D"/>
    <w:rsid w:val="00DC0447"/>
    <w:rsid w:val="00DC08FA"/>
    <w:rsid w:val="00DC0C19"/>
    <w:rsid w:val="00DC0CA3"/>
    <w:rsid w:val="00DC0D12"/>
    <w:rsid w:val="00DC148C"/>
    <w:rsid w:val="00DC174F"/>
    <w:rsid w:val="00DC1856"/>
    <w:rsid w:val="00DC1881"/>
    <w:rsid w:val="00DC25C3"/>
    <w:rsid w:val="00DC2DA3"/>
    <w:rsid w:val="00DC30A6"/>
    <w:rsid w:val="00DC31EB"/>
    <w:rsid w:val="00DC387E"/>
    <w:rsid w:val="00DC38C0"/>
    <w:rsid w:val="00DC3AF9"/>
    <w:rsid w:val="00DC3C39"/>
    <w:rsid w:val="00DC4A30"/>
    <w:rsid w:val="00DC4C77"/>
    <w:rsid w:val="00DC4C99"/>
    <w:rsid w:val="00DC4D22"/>
    <w:rsid w:val="00DC4E9D"/>
    <w:rsid w:val="00DC5350"/>
    <w:rsid w:val="00DC5508"/>
    <w:rsid w:val="00DC5A0F"/>
    <w:rsid w:val="00DC5A3C"/>
    <w:rsid w:val="00DC616C"/>
    <w:rsid w:val="00DC6237"/>
    <w:rsid w:val="00DC642F"/>
    <w:rsid w:val="00DC66B6"/>
    <w:rsid w:val="00DC6A13"/>
    <w:rsid w:val="00DC6A34"/>
    <w:rsid w:val="00DC7100"/>
    <w:rsid w:val="00DC7757"/>
    <w:rsid w:val="00DD0156"/>
    <w:rsid w:val="00DD0166"/>
    <w:rsid w:val="00DD05E7"/>
    <w:rsid w:val="00DD0D04"/>
    <w:rsid w:val="00DD12B5"/>
    <w:rsid w:val="00DD2663"/>
    <w:rsid w:val="00DD28C1"/>
    <w:rsid w:val="00DD2D69"/>
    <w:rsid w:val="00DD31F5"/>
    <w:rsid w:val="00DD394C"/>
    <w:rsid w:val="00DD3AA8"/>
    <w:rsid w:val="00DD3B25"/>
    <w:rsid w:val="00DD3F43"/>
    <w:rsid w:val="00DD3FEF"/>
    <w:rsid w:val="00DD4863"/>
    <w:rsid w:val="00DD5195"/>
    <w:rsid w:val="00DD5488"/>
    <w:rsid w:val="00DD5870"/>
    <w:rsid w:val="00DD5B36"/>
    <w:rsid w:val="00DD5EA9"/>
    <w:rsid w:val="00DD6265"/>
    <w:rsid w:val="00DD6300"/>
    <w:rsid w:val="00DD65A8"/>
    <w:rsid w:val="00DD6D55"/>
    <w:rsid w:val="00DD6E72"/>
    <w:rsid w:val="00DD6E93"/>
    <w:rsid w:val="00DD6F48"/>
    <w:rsid w:val="00DD7063"/>
    <w:rsid w:val="00DD7092"/>
    <w:rsid w:val="00DD70ED"/>
    <w:rsid w:val="00DD7213"/>
    <w:rsid w:val="00DD7263"/>
    <w:rsid w:val="00DD7412"/>
    <w:rsid w:val="00DD79A1"/>
    <w:rsid w:val="00DD79D9"/>
    <w:rsid w:val="00DD7A74"/>
    <w:rsid w:val="00DD7E10"/>
    <w:rsid w:val="00DE004C"/>
    <w:rsid w:val="00DE0601"/>
    <w:rsid w:val="00DE06C0"/>
    <w:rsid w:val="00DE0E81"/>
    <w:rsid w:val="00DE0EFD"/>
    <w:rsid w:val="00DE112B"/>
    <w:rsid w:val="00DE118C"/>
    <w:rsid w:val="00DE1192"/>
    <w:rsid w:val="00DE125C"/>
    <w:rsid w:val="00DE1310"/>
    <w:rsid w:val="00DE172B"/>
    <w:rsid w:val="00DE17D7"/>
    <w:rsid w:val="00DE2117"/>
    <w:rsid w:val="00DE2791"/>
    <w:rsid w:val="00DE2FEB"/>
    <w:rsid w:val="00DE3306"/>
    <w:rsid w:val="00DE35D2"/>
    <w:rsid w:val="00DE36C0"/>
    <w:rsid w:val="00DE39EC"/>
    <w:rsid w:val="00DE3D17"/>
    <w:rsid w:val="00DE4643"/>
    <w:rsid w:val="00DE4EC7"/>
    <w:rsid w:val="00DE4F26"/>
    <w:rsid w:val="00DE55C8"/>
    <w:rsid w:val="00DE564D"/>
    <w:rsid w:val="00DE581C"/>
    <w:rsid w:val="00DE618A"/>
    <w:rsid w:val="00DE6587"/>
    <w:rsid w:val="00DE65B8"/>
    <w:rsid w:val="00DE674E"/>
    <w:rsid w:val="00DE6AB2"/>
    <w:rsid w:val="00DE6F3D"/>
    <w:rsid w:val="00DE726D"/>
    <w:rsid w:val="00DE75DE"/>
    <w:rsid w:val="00DE78EC"/>
    <w:rsid w:val="00DE7917"/>
    <w:rsid w:val="00DE7C06"/>
    <w:rsid w:val="00DE7C75"/>
    <w:rsid w:val="00DE7E3B"/>
    <w:rsid w:val="00DE7F16"/>
    <w:rsid w:val="00DF02DD"/>
    <w:rsid w:val="00DF055E"/>
    <w:rsid w:val="00DF06CF"/>
    <w:rsid w:val="00DF0725"/>
    <w:rsid w:val="00DF0CC1"/>
    <w:rsid w:val="00DF0F1E"/>
    <w:rsid w:val="00DF0FED"/>
    <w:rsid w:val="00DF1015"/>
    <w:rsid w:val="00DF14E3"/>
    <w:rsid w:val="00DF1D63"/>
    <w:rsid w:val="00DF1EA8"/>
    <w:rsid w:val="00DF2119"/>
    <w:rsid w:val="00DF2153"/>
    <w:rsid w:val="00DF289A"/>
    <w:rsid w:val="00DF29AB"/>
    <w:rsid w:val="00DF2A9F"/>
    <w:rsid w:val="00DF2F1F"/>
    <w:rsid w:val="00DF31DD"/>
    <w:rsid w:val="00DF3504"/>
    <w:rsid w:val="00DF3CE2"/>
    <w:rsid w:val="00DF3EC7"/>
    <w:rsid w:val="00DF463F"/>
    <w:rsid w:val="00DF4DDF"/>
    <w:rsid w:val="00DF50CD"/>
    <w:rsid w:val="00DF532C"/>
    <w:rsid w:val="00DF5865"/>
    <w:rsid w:val="00DF64FE"/>
    <w:rsid w:val="00DF6507"/>
    <w:rsid w:val="00DF6613"/>
    <w:rsid w:val="00DF671E"/>
    <w:rsid w:val="00DF6A79"/>
    <w:rsid w:val="00DF735D"/>
    <w:rsid w:val="00DF7557"/>
    <w:rsid w:val="00DF79BF"/>
    <w:rsid w:val="00DF7CD0"/>
    <w:rsid w:val="00E004E4"/>
    <w:rsid w:val="00E005F4"/>
    <w:rsid w:val="00E0067E"/>
    <w:rsid w:val="00E008CD"/>
    <w:rsid w:val="00E01521"/>
    <w:rsid w:val="00E01A1A"/>
    <w:rsid w:val="00E01BBF"/>
    <w:rsid w:val="00E01EE3"/>
    <w:rsid w:val="00E024E9"/>
    <w:rsid w:val="00E02573"/>
    <w:rsid w:val="00E025BD"/>
    <w:rsid w:val="00E03305"/>
    <w:rsid w:val="00E033BB"/>
    <w:rsid w:val="00E03734"/>
    <w:rsid w:val="00E03832"/>
    <w:rsid w:val="00E03A29"/>
    <w:rsid w:val="00E03DA2"/>
    <w:rsid w:val="00E042E8"/>
    <w:rsid w:val="00E0449C"/>
    <w:rsid w:val="00E04738"/>
    <w:rsid w:val="00E049F7"/>
    <w:rsid w:val="00E04EA7"/>
    <w:rsid w:val="00E0564B"/>
    <w:rsid w:val="00E05757"/>
    <w:rsid w:val="00E05871"/>
    <w:rsid w:val="00E05C06"/>
    <w:rsid w:val="00E06137"/>
    <w:rsid w:val="00E06B81"/>
    <w:rsid w:val="00E07223"/>
    <w:rsid w:val="00E073BB"/>
    <w:rsid w:val="00E078C8"/>
    <w:rsid w:val="00E07A3B"/>
    <w:rsid w:val="00E100D1"/>
    <w:rsid w:val="00E104D3"/>
    <w:rsid w:val="00E10B40"/>
    <w:rsid w:val="00E113E2"/>
    <w:rsid w:val="00E11649"/>
    <w:rsid w:val="00E11750"/>
    <w:rsid w:val="00E11B72"/>
    <w:rsid w:val="00E11CA5"/>
    <w:rsid w:val="00E11E0D"/>
    <w:rsid w:val="00E11E56"/>
    <w:rsid w:val="00E1237C"/>
    <w:rsid w:val="00E12643"/>
    <w:rsid w:val="00E1286F"/>
    <w:rsid w:val="00E1296C"/>
    <w:rsid w:val="00E12AE9"/>
    <w:rsid w:val="00E134D3"/>
    <w:rsid w:val="00E1364C"/>
    <w:rsid w:val="00E14089"/>
    <w:rsid w:val="00E140B8"/>
    <w:rsid w:val="00E14142"/>
    <w:rsid w:val="00E142A8"/>
    <w:rsid w:val="00E1485D"/>
    <w:rsid w:val="00E14FD3"/>
    <w:rsid w:val="00E1532B"/>
    <w:rsid w:val="00E15652"/>
    <w:rsid w:val="00E15B26"/>
    <w:rsid w:val="00E15D52"/>
    <w:rsid w:val="00E15E4C"/>
    <w:rsid w:val="00E15E5E"/>
    <w:rsid w:val="00E1601A"/>
    <w:rsid w:val="00E162D8"/>
    <w:rsid w:val="00E16660"/>
    <w:rsid w:val="00E16AA6"/>
    <w:rsid w:val="00E16C6B"/>
    <w:rsid w:val="00E16DC9"/>
    <w:rsid w:val="00E172AE"/>
    <w:rsid w:val="00E17794"/>
    <w:rsid w:val="00E17A32"/>
    <w:rsid w:val="00E200CC"/>
    <w:rsid w:val="00E202D0"/>
    <w:rsid w:val="00E204A1"/>
    <w:rsid w:val="00E20EC3"/>
    <w:rsid w:val="00E20F5A"/>
    <w:rsid w:val="00E213F4"/>
    <w:rsid w:val="00E21489"/>
    <w:rsid w:val="00E214B8"/>
    <w:rsid w:val="00E21A39"/>
    <w:rsid w:val="00E21BFD"/>
    <w:rsid w:val="00E222A6"/>
    <w:rsid w:val="00E2230C"/>
    <w:rsid w:val="00E227A6"/>
    <w:rsid w:val="00E23001"/>
    <w:rsid w:val="00E23017"/>
    <w:rsid w:val="00E2390A"/>
    <w:rsid w:val="00E24279"/>
    <w:rsid w:val="00E247B4"/>
    <w:rsid w:val="00E247E9"/>
    <w:rsid w:val="00E2483D"/>
    <w:rsid w:val="00E24C61"/>
    <w:rsid w:val="00E24E13"/>
    <w:rsid w:val="00E2509D"/>
    <w:rsid w:val="00E25874"/>
    <w:rsid w:val="00E25F0D"/>
    <w:rsid w:val="00E26088"/>
    <w:rsid w:val="00E26480"/>
    <w:rsid w:val="00E26899"/>
    <w:rsid w:val="00E26D7C"/>
    <w:rsid w:val="00E271EA"/>
    <w:rsid w:val="00E2737B"/>
    <w:rsid w:val="00E27A35"/>
    <w:rsid w:val="00E27C1F"/>
    <w:rsid w:val="00E27F6F"/>
    <w:rsid w:val="00E30AF8"/>
    <w:rsid w:val="00E30BA5"/>
    <w:rsid w:val="00E30CA1"/>
    <w:rsid w:val="00E30E80"/>
    <w:rsid w:val="00E30F18"/>
    <w:rsid w:val="00E31012"/>
    <w:rsid w:val="00E31F07"/>
    <w:rsid w:val="00E32051"/>
    <w:rsid w:val="00E325DA"/>
    <w:rsid w:val="00E32624"/>
    <w:rsid w:val="00E328C5"/>
    <w:rsid w:val="00E329B7"/>
    <w:rsid w:val="00E32D93"/>
    <w:rsid w:val="00E32F83"/>
    <w:rsid w:val="00E3347E"/>
    <w:rsid w:val="00E33501"/>
    <w:rsid w:val="00E339AE"/>
    <w:rsid w:val="00E33DBB"/>
    <w:rsid w:val="00E3413E"/>
    <w:rsid w:val="00E34188"/>
    <w:rsid w:val="00E34527"/>
    <w:rsid w:val="00E34F98"/>
    <w:rsid w:val="00E352FC"/>
    <w:rsid w:val="00E354E7"/>
    <w:rsid w:val="00E358C9"/>
    <w:rsid w:val="00E35C6A"/>
    <w:rsid w:val="00E35E4D"/>
    <w:rsid w:val="00E3642F"/>
    <w:rsid w:val="00E365CC"/>
    <w:rsid w:val="00E36B81"/>
    <w:rsid w:val="00E36E30"/>
    <w:rsid w:val="00E36F24"/>
    <w:rsid w:val="00E37201"/>
    <w:rsid w:val="00E37723"/>
    <w:rsid w:val="00E37B09"/>
    <w:rsid w:val="00E37CAC"/>
    <w:rsid w:val="00E40378"/>
    <w:rsid w:val="00E40B3A"/>
    <w:rsid w:val="00E42193"/>
    <w:rsid w:val="00E421CE"/>
    <w:rsid w:val="00E42D61"/>
    <w:rsid w:val="00E43063"/>
    <w:rsid w:val="00E43364"/>
    <w:rsid w:val="00E433FB"/>
    <w:rsid w:val="00E4387F"/>
    <w:rsid w:val="00E440CD"/>
    <w:rsid w:val="00E442EB"/>
    <w:rsid w:val="00E4452C"/>
    <w:rsid w:val="00E447B6"/>
    <w:rsid w:val="00E44A91"/>
    <w:rsid w:val="00E44FE2"/>
    <w:rsid w:val="00E45021"/>
    <w:rsid w:val="00E45421"/>
    <w:rsid w:val="00E4574D"/>
    <w:rsid w:val="00E4591A"/>
    <w:rsid w:val="00E463AA"/>
    <w:rsid w:val="00E463DC"/>
    <w:rsid w:val="00E46514"/>
    <w:rsid w:val="00E471FC"/>
    <w:rsid w:val="00E479FC"/>
    <w:rsid w:val="00E47D0C"/>
    <w:rsid w:val="00E47EB7"/>
    <w:rsid w:val="00E50138"/>
    <w:rsid w:val="00E50363"/>
    <w:rsid w:val="00E50C17"/>
    <w:rsid w:val="00E50C19"/>
    <w:rsid w:val="00E50FA2"/>
    <w:rsid w:val="00E51630"/>
    <w:rsid w:val="00E51771"/>
    <w:rsid w:val="00E51775"/>
    <w:rsid w:val="00E51A76"/>
    <w:rsid w:val="00E51A93"/>
    <w:rsid w:val="00E51BFA"/>
    <w:rsid w:val="00E51CDA"/>
    <w:rsid w:val="00E51E47"/>
    <w:rsid w:val="00E51EA9"/>
    <w:rsid w:val="00E520F1"/>
    <w:rsid w:val="00E524B0"/>
    <w:rsid w:val="00E52C8D"/>
    <w:rsid w:val="00E52D39"/>
    <w:rsid w:val="00E53345"/>
    <w:rsid w:val="00E538C9"/>
    <w:rsid w:val="00E539E2"/>
    <w:rsid w:val="00E54584"/>
    <w:rsid w:val="00E54924"/>
    <w:rsid w:val="00E54BD2"/>
    <w:rsid w:val="00E5527F"/>
    <w:rsid w:val="00E552A3"/>
    <w:rsid w:val="00E5679D"/>
    <w:rsid w:val="00E56963"/>
    <w:rsid w:val="00E56ACF"/>
    <w:rsid w:val="00E56CBF"/>
    <w:rsid w:val="00E5719D"/>
    <w:rsid w:val="00E571C3"/>
    <w:rsid w:val="00E572AB"/>
    <w:rsid w:val="00E576FB"/>
    <w:rsid w:val="00E57A05"/>
    <w:rsid w:val="00E57E95"/>
    <w:rsid w:val="00E604C8"/>
    <w:rsid w:val="00E6085F"/>
    <w:rsid w:val="00E608D8"/>
    <w:rsid w:val="00E60A69"/>
    <w:rsid w:val="00E60C7F"/>
    <w:rsid w:val="00E61949"/>
    <w:rsid w:val="00E627A4"/>
    <w:rsid w:val="00E62B43"/>
    <w:rsid w:val="00E62CB1"/>
    <w:rsid w:val="00E630D2"/>
    <w:rsid w:val="00E63633"/>
    <w:rsid w:val="00E63C1D"/>
    <w:rsid w:val="00E63EE9"/>
    <w:rsid w:val="00E6424E"/>
    <w:rsid w:val="00E650E9"/>
    <w:rsid w:val="00E65104"/>
    <w:rsid w:val="00E654F3"/>
    <w:rsid w:val="00E65A44"/>
    <w:rsid w:val="00E65AE0"/>
    <w:rsid w:val="00E66210"/>
    <w:rsid w:val="00E66833"/>
    <w:rsid w:val="00E66B96"/>
    <w:rsid w:val="00E6736E"/>
    <w:rsid w:val="00E674BA"/>
    <w:rsid w:val="00E6754D"/>
    <w:rsid w:val="00E6788B"/>
    <w:rsid w:val="00E67EB5"/>
    <w:rsid w:val="00E70328"/>
    <w:rsid w:val="00E70408"/>
    <w:rsid w:val="00E71ADC"/>
    <w:rsid w:val="00E71F03"/>
    <w:rsid w:val="00E729BF"/>
    <w:rsid w:val="00E72A6C"/>
    <w:rsid w:val="00E72E0A"/>
    <w:rsid w:val="00E72F00"/>
    <w:rsid w:val="00E738DB"/>
    <w:rsid w:val="00E73945"/>
    <w:rsid w:val="00E739D2"/>
    <w:rsid w:val="00E73C30"/>
    <w:rsid w:val="00E73E4D"/>
    <w:rsid w:val="00E74653"/>
    <w:rsid w:val="00E74752"/>
    <w:rsid w:val="00E74D0D"/>
    <w:rsid w:val="00E74DCE"/>
    <w:rsid w:val="00E75161"/>
    <w:rsid w:val="00E763FD"/>
    <w:rsid w:val="00E76C34"/>
    <w:rsid w:val="00E7729A"/>
    <w:rsid w:val="00E777BD"/>
    <w:rsid w:val="00E77841"/>
    <w:rsid w:val="00E7785C"/>
    <w:rsid w:val="00E77A83"/>
    <w:rsid w:val="00E77B8C"/>
    <w:rsid w:val="00E77F49"/>
    <w:rsid w:val="00E80168"/>
    <w:rsid w:val="00E803C9"/>
    <w:rsid w:val="00E80DFB"/>
    <w:rsid w:val="00E819CD"/>
    <w:rsid w:val="00E82A65"/>
    <w:rsid w:val="00E82C9A"/>
    <w:rsid w:val="00E82D9C"/>
    <w:rsid w:val="00E83323"/>
    <w:rsid w:val="00E83367"/>
    <w:rsid w:val="00E83454"/>
    <w:rsid w:val="00E835AA"/>
    <w:rsid w:val="00E8376A"/>
    <w:rsid w:val="00E8417E"/>
    <w:rsid w:val="00E8445D"/>
    <w:rsid w:val="00E8460B"/>
    <w:rsid w:val="00E846D8"/>
    <w:rsid w:val="00E84E22"/>
    <w:rsid w:val="00E85042"/>
    <w:rsid w:val="00E866FF"/>
    <w:rsid w:val="00E86819"/>
    <w:rsid w:val="00E87740"/>
    <w:rsid w:val="00E87D93"/>
    <w:rsid w:val="00E87F0C"/>
    <w:rsid w:val="00E87F77"/>
    <w:rsid w:val="00E90270"/>
    <w:rsid w:val="00E9053C"/>
    <w:rsid w:val="00E907C9"/>
    <w:rsid w:val="00E90C54"/>
    <w:rsid w:val="00E91031"/>
    <w:rsid w:val="00E91140"/>
    <w:rsid w:val="00E913D7"/>
    <w:rsid w:val="00E91447"/>
    <w:rsid w:val="00E916A3"/>
    <w:rsid w:val="00E91923"/>
    <w:rsid w:val="00E91DB5"/>
    <w:rsid w:val="00E91E6A"/>
    <w:rsid w:val="00E922D8"/>
    <w:rsid w:val="00E927F3"/>
    <w:rsid w:val="00E92C8B"/>
    <w:rsid w:val="00E92FAE"/>
    <w:rsid w:val="00E930A4"/>
    <w:rsid w:val="00E930A6"/>
    <w:rsid w:val="00E9343D"/>
    <w:rsid w:val="00E93949"/>
    <w:rsid w:val="00E94B26"/>
    <w:rsid w:val="00E95418"/>
    <w:rsid w:val="00E95588"/>
    <w:rsid w:val="00E955DA"/>
    <w:rsid w:val="00E95850"/>
    <w:rsid w:val="00E95871"/>
    <w:rsid w:val="00E95B4E"/>
    <w:rsid w:val="00E95F85"/>
    <w:rsid w:val="00E96342"/>
    <w:rsid w:val="00E9761C"/>
    <w:rsid w:val="00E977E6"/>
    <w:rsid w:val="00E97A4A"/>
    <w:rsid w:val="00E97E02"/>
    <w:rsid w:val="00EA0272"/>
    <w:rsid w:val="00EA0471"/>
    <w:rsid w:val="00EA04A8"/>
    <w:rsid w:val="00EA055A"/>
    <w:rsid w:val="00EA075F"/>
    <w:rsid w:val="00EA0B62"/>
    <w:rsid w:val="00EA2707"/>
    <w:rsid w:val="00EA28EA"/>
    <w:rsid w:val="00EA290E"/>
    <w:rsid w:val="00EA2C81"/>
    <w:rsid w:val="00EA305D"/>
    <w:rsid w:val="00EA3485"/>
    <w:rsid w:val="00EA35D5"/>
    <w:rsid w:val="00EA3667"/>
    <w:rsid w:val="00EA3A0B"/>
    <w:rsid w:val="00EA3AA6"/>
    <w:rsid w:val="00EA3B5F"/>
    <w:rsid w:val="00EA3E8C"/>
    <w:rsid w:val="00EA4148"/>
    <w:rsid w:val="00EA4FF0"/>
    <w:rsid w:val="00EA5316"/>
    <w:rsid w:val="00EA5923"/>
    <w:rsid w:val="00EA595B"/>
    <w:rsid w:val="00EA59DC"/>
    <w:rsid w:val="00EA6467"/>
    <w:rsid w:val="00EA6472"/>
    <w:rsid w:val="00EA689D"/>
    <w:rsid w:val="00EA6E6A"/>
    <w:rsid w:val="00EA7067"/>
    <w:rsid w:val="00EA7425"/>
    <w:rsid w:val="00EA74F9"/>
    <w:rsid w:val="00EA7760"/>
    <w:rsid w:val="00EA7AFD"/>
    <w:rsid w:val="00EA7F72"/>
    <w:rsid w:val="00EB0D56"/>
    <w:rsid w:val="00EB0DAF"/>
    <w:rsid w:val="00EB0EE5"/>
    <w:rsid w:val="00EB171B"/>
    <w:rsid w:val="00EB1735"/>
    <w:rsid w:val="00EB23C8"/>
    <w:rsid w:val="00EB2B15"/>
    <w:rsid w:val="00EB2DEA"/>
    <w:rsid w:val="00EB362C"/>
    <w:rsid w:val="00EB3A74"/>
    <w:rsid w:val="00EB3BBC"/>
    <w:rsid w:val="00EB4A1D"/>
    <w:rsid w:val="00EB4A68"/>
    <w:rsid w:val="00EB4A9F"/>
    <w:rsid w:val="00EB4D34"/>
    <w:rsid w:val="00EB4D52"/>
    <w:rsid w:val="00EB537C"/>
    <w:rsid w:val="00EB53C8"/>
    <w:rsid w:val="00EB543C"/>
    <w:rsid w:val="00EB5527"/>
    <w:rsid w:val="00EB5603"/>
    <w:rsid w:val="00EB5A8C"/>
    <w:rsid w:val="00EB5B1D"/>
    <w:rsid w:val="00EB6417"/>
    <w:rsid w:val="00EB645E"/>
    <w:rsid w:val="00EB64C5"/>
    <w:rsid w:val="00EB6C12"/>
    <w:rsid w:val="00EB7646"/>
    <w:rsid w:val="00EB7861"/>
    <w:rsid w:val="00EB798C"/>
    <w:rsid w:val="00EB7A21"/>
    <w:rsid w:val="00EC0280"/>
    <w:rsid w:val="00EC0564"/>
    <w:rsid w:val="00EC132B"/>
    <w:rsid w:val="00EC15B4"/>
    <w:rsid w:val="00EC1B91"/>
    <w:rsid w:val="00EC24F6"/>
    <w:rsid w:val="00EC2AC8"/>
    <w:rsid w:val="00EC340B"/>
    <w:rsid w:val="00EC3839"/>
    <w:rsid w:val="00EC441E"/>
    <w:rsid w:val="00EC4ABD"/>
    <w:rsid w:val="00EC4F23"/>
    <w:rsid w:val="00EC506D"/>
    <w:rsid w:val="00EC53EF"/>
    <w:rsid w:val="00EC5707"/>
    <w:rsid w:val="00EC591D"/>
    <w:rsid w:val="00EC5AE5"/>
    <w:rsid w:val="00EC6298"/>
    <w:rsid w:val="00EC63F2"/>
    <w:rsid w:val="00EC6B74"/>
    <w:rsid w:val="00EC6F66"/>
    <w:rsid w:val="00EC6F7F"/>
    <w:rsid w:val="00EC7497"/>
    <w:rsid w:val="00EC7574"/>
    <w:rsid w:val="00EC77C5"/>
    <w:rsid w:val="00EC7828"/>
    <w:rsid w:val="00ED05F7"/>
    <w:rsid w:val="00ED1096"/>
    <w:rsid w:val="00ED10FA"/>
    <w:rsid w:val="00ED11C9"/>
    <w:rsid w:val="00ED15D6"/>
    <w:rsid w:val="00ED196E"/>
    <w:rsid w:val="00ED1B2C"/>
    <w:rsid w:val="00ED1BAE"/>
    <w:rsid w:val="00ED1D3D"/>
    <w:rsid w:val="00ED1E5A"/>
    <w:rsid w:val="00ED256B"/>
    <w:rsid w:val="00ED26CF"/>
    <w:rsid w:val="00ED2BB3"/>
    <w:rsid w:val="00ED2D8C"/>
    <w:rsid w:val="00ED308D"/>
    <w:rsid w:val="00ED30D0"/>
    <w:rsid w:val="00ED327E"/>
    <w:rsid w:val="00ED36C4"/>
    <w:rsid w:val="00ED3BB2"/>
    <w:rsid w:val="00ED4200"/>
    <w:rsid w:val="00ED4AB0"/>
    <w:rsid w:val="00ED4CD7"/>
    <w:rsid w:val="00ED4D25"/>
    <w:rsid w:val="00ED4FFC"/>
    <w:rsid w:val="00ED51E1"/>
    <w:rsid w:val="00ED60C1"/>
    <w:rsid w:val="00ED638C"/>
    <w:rsid w:val="00ED64FE"/>
    <w:rsid w:val="00ED6826"/>
    <w:rsid w:val="00ED6B68"/>
    <w:rsid w:val="00ED74D6"/>
    <w:rsid w:val="00ED77D0"/>
    <w:rsid w:val="00ED7D8E"/>
    <w:rsid w:val="00ED7DF5"/>
    <w:rsid w:val="00ED7EE6"/>
    <w:rsid w:val="00ED7F95"/>
    <w:rsid w:val="00ED7FAB"/>
    <w:rsid w:val="00EE024D"/>
    <w:rsid w:val="00EE0C1E"/>
    <w:rsid w:val="00EE0C97"/>
    <w:rsid w:val="00EE12CE"/>
    <w:rsid w:val="00EE1311"/>
    <w:rsid w:val="00EE1513"/>
    <w:rsid w:val="00EE1A61"/>
    <w:rsid w:val="00EE2AFF"/>
    <w:rsid w:val="00EE2B33"/>
    <w:rsid w:val="00EE2FE6"/>
    <w:rsid w:val="00EE3CC5"/>
    <w:rsid w:val="00EE3F1C"/>
    <w:rsid w:val="00EE407E"/>
    <w:rsid w:val="00EE425D"/>
    <w:rsid w:val="00EE42D7"/>
    <w:rsid w:val="00EE49A8"/>
    <w:rsid w:val="00EE4A6F"/>
    <w:rsid w:val="00EE4AF4"/>
    <w:rsid w:val="00EE4E41"/>
    <w:rsid w:val="00EE5199"/>
    <w:rsid w:val="00EE51F7"/>
    <w:rsid w:val="00EE52A7"/>
    <w:rsid w:val="00EE56DD"/>
    <w:rsid w:val="00EE589B"/>
    <w:rsid w:val="00EE5CA5"/>
    <w:rsid w:val="00EE69AD"/>
    <w:rsid w:val="00EE6D77"/>
    <w:rsid w:val="00EE73A2"/>
    <w:rsid w:val="00EE74D3"/>
    <w:rsid w:val="00EE764E"/>
    <w:rsid w:val="00EE7B57"/>
    <w:rsid w:val="00EF0223"/>
    <w:rsid w:val="00EF0255"/>
    <w:rsid w:val="00EF0789"/>
    <w:rsid w:val="00EF07AA"/>
    <w:rsid w:val="00EF0B3A"/>
    <w:rsid w:val="00EF12DB"/>
    <w:rsid w:val="00EF15E8"/>
    <w:rsid w:val="00EF1EAD"/>
    <w:rsid w:val="00EF2136"/>
    <w:rsid w:val="00EF25D6"/>
    <w:rsid w:val="00EF2801"/>
    <w:rsid w:val="00EF2D8C"/>
    <w:rsid w:val="00EF34E1"/>
    <w:rsid w:val="00EF3989"/>
    <w:rsid w:val="00EF3B62"/>
    <w:rsid w:val="00EF3FA5"/>
    <w:rsid w:val="00EF4DB1"/>
    <w:rsid w:val="00EF5535"/>
    <w:rsid w:val="00EF579B"/>
    <w:rsid w:val="00EF5C6A"/>
    <w:rsid w:val="00EF5F05"/>
    <w:rsid w:val="00EF616A"/>
    <w:rsid w:val="00EF62AC"/>
    <w:rsid w:val="00EF6425"/>
    <w:rsid w:val="00EF68F9"/>
    <w:rsid w:val="00EF6A11"/>
    <w:rsid w:val="00EF6E0C"/>
    <w:rsid w:val="00EF7AFC"/>
    <w:rsid w:val="00F0003F"/>
    <w:rsid w:val="00F004F1"/>
    <w:rsid w:val="00F00594"/>
    <w:rsid w:val="00F00717"/>
    <w:rsid w:val="00F01788"/>
    <w:rsid w:val="00F01BF8"/>
    <w:rsid w:val="00F02118"/>
    <w:rsid w:val="00F02289"/>
    <w:rsid w:val="00F0233D"/>
    <w:rsid w:val="00F0284F"/>
    <w:rsid w:val="00F02F8A"/>
    <w:rsid w:val="00F030FF"/>
    <w:rsid w:val="00F035A0"/>
    <w:rsid w:val="00F0375C"/>
    <w:rsid w:val="00F03A9B"/>
    <w:rsid w:val="00F04373"/>
    <w:rsid w:val="00F043A6"/>
    <w:rsid w:val="00F04F3D"/>
    <w:rsid w:val="00F04F95"/>
    <w:rsid w:val="00F057AE"/>
    <w:rsid w:val="00F05D4E"/>
    <w:rsid w:val="00F060E0"/>
    <w:rsid w:val="00F064B5"/>
    <w:rsid w:val="00F06AD8"/>
    <w:rsid w:val="00F06FDB"/>
    <w:rsid w:val="00F0720C"/>
    <w:rsid w:val="00F07362"/>
    <w:rsid w:val="00F0739C"/>
    <w:rsid w:val="00F073C6"/>
    <w:rsid w:val="00F07406"/>
    <w:rsid w:val="00F07951"/>
    <w:rsid w:val="00F0795A"/>
    <w:rsid w:val="00F07C80"/>
    <w:rsid w:val="00F1003B"/>
    <w:rsid w:val="00F1020A"/>
    <w:rsid w:val="00F10347"/>
    <w:rsid w:val="00F105AE"/>
    <w:rsid w:val="00F10F53"/>
    <w:rsid w:val="00F1105D"/>
    <w:rsid w:val="00F111D0"/>
    <w:rsid w:val="00F116C1"/>
    <w:rsid w:val="00F11D2E"/>
    <w:rsid w:val="00F11E4E"/>
    <w:rsid w:val="00F12213"/>
    <w:rsid w:val="00F12269"/>
    <w:rsid w:val="00F123C0"/>
    <w:rsid w:val="00F12402"/>
    <w:rsid w:val="00F12EFF"/>
    <w:rsid w:val="00F1305D"/>
    <w:rsid w:val="00F15258"/>
    <w:rsid w:val="00F155FF"/>
    <w:rsid w:val="00F1598F"/>
    <w:rsid w:val="00F15C71"/>
    <w:rsid w:val="00F164B1"/>
    <w:rsid w:val="00F16AF0"/>
    <w:rsid w:val="00F16E02"/>
    <w:rsid w:val="00F2038F"/>
    <w:rsid w:val="00F207AC"/>
    <w:rsid w:val="00F207F4"/>
    <w:rsid w:val="00F20F7B"/>
    <w:rsid w:val="00F2156C"/>
    <w:rsid w:val="00F216EE"/>
    <w:rsid w:val="00F21A33"/>
    <w:rsid w:val="00F21AF0"/>
    <w:rsid w:val="00F21B0D"/>
    <w:rsid w:val="00F21B26"/>
    <w:rsid w:val="00F21D79"/>
    <w:rsid w:val="00F22957"/>
    <w:rsid w:val="00F2299C"/>
    <w:rsid w:val="00F22B74"/>
    <w:rsid w:val="00F22CBA"/>
    <w:rsid w:val="00F23821"/>
    <w:rsid w:val="00F23984"/>
    <w:rsid w:val="00F23D38"/>
    <w:rsid w:val="00F23F93"/>
    <w:rsid w:val="00F24309"/>
    <w:rsid w:val="00F243AA"/>
    <w:rsid w:val="00F244BC"/>
    <w:rsid w:val="00F245A1"/>
    <w:rsid w:val="00F24858"/>
    <w:rsid w:val="00F24E42"/>
    <w:rsid w:val="00F2506A"/>
    <w:rsid w:val="00F25B82"/>
    <w:rsid w:val="00F25D58"/>
    <w:rsid w:val="00F26319"/>
    <w:rsid w:val="00F26389"/>
    <w:rsid w:val="00F267AC"/>
    <w:rsid w:val="00F278F0"/>
    <w:rsid w:val="00F3047A"/>
    <w:rsid w:val="00F30B67"/>
    <w:rsid w:val="00F31306"/>
    <w:rsid w:val="00F3130F"/>
    <w:rsid w:val="00F31314"/>
    <w:rsid w:val="00F31333"/>
    <w:rsid w:val="00F3156D"/>
    <w:rsid w:val="00F31C14"/>
    <w:rsid w:val="00F31C42"/>
    <w:rsid w:val="00F31C48"/>
    <w:rsid w:val="00F31C62"/>
    <w:rsid w:val="00F31E4C"/>
    <w:rsid w:val="00F33200"/>
    <w:rsid w:val="00F33452"/>
    <w:rsid w:val="00F33E29"/>
    <w:rsid w:val="00F34B9E"/>
    <w:rsid w:val="00F34DC6"/>
    <w:rsid w:val="00F35456"/>
    <w:rsid w:val="00F35498"/>
    <w:rsid w:val="00F356F7"/>
    <w:rsid w:val="00F3699F"/>
    <w:rsid w:val="00F36FCF"/>
    <w:rsid w:val="00F3713A"/>
    <w:rsid w:val="00F373F5"/>
    <w:rsid w:val="00F40805"/>
    <w:rsid w:val="00F40A96"/>
    <w:rsid w:val="00F41148"/>
    <w:rsid w:val="00F415D8"/>
    <w:rsid w:val="00F4165C"/>
    <w:rsid w:val="00F417DC"/>
    <w:rsid w:val="00F41962"/>
    <w:rsid w:val="00F419ED"/>
    <w:rsid w:val="00F41BC5"/>
    <w:rsid w:val="00F41C07"/>
    <w:rsid w:val="00F4274B"/>
    <w:rsid w:val="00F42A8B"/>
    <w:rsid w:val="00F42B44"/>
    <w:rsid w:val="00F43279"/>
    <w:rsid w:val="00F43A29"/>
    <w:rsid w:val="00F43B3F"/>
    <w:rsid w:val="00F43D28"/>
    <w:rsid w:val="00F43EB1"/>
    <w:rsid w:val="00F444E0"/>
    <w:rsid w:val="00F44C2D"/>
    <w:rsid w:val="00F45225"/>
    <w:rsid w:val="00F45AD0"/>
    <w:rsid w:val="00F45CD7"/>
    <w:rsid w:val="00F45CD9"/>
    <w:rsid w:val="00F45E60"/>
    <w:rsid w:val="00F4611F"/>
    <w:rsid w:val="00F46DE0"/>
    <w:rsid w:val="00F50419"/>
    <w:rsid w:val="00F509FF"/>
    <w:rsid w:val="00F50F7C"/>
    <w:rsid w:val="00F50FCC"/>
    <w:rsid w:val="00F5124B"/>
    <w:rsid w:val="00F513C3"/>
    <w:rsid w:val="00F51571"/>
    <w:rsid w:val="00F5167B"/>
    <w:rsid w:val="00F51B86"/>
    <w:rsid w:val="00F51FDE"/>
    <w:rsid w:val="00F52ACA"/>
    <w:rsid w:val="00F53572"/>
    <w:rsid w:val="00F53876"/>
    <w:rsid w:val="00F54335"/>
    <w:rsid w:val="00F54A9A"/>
    <w:rsid w:val="00F54B12"/>
    <w:rsid w:val="00F54CF6"/>
    <w:rsid w:val="00F54F3B"/>
    <w:rsid w:val="00F55404"/>
    <w:rsid w:val="00F55635"/>
    <w:rsid w:val="00F55F05"/>
    <w:rsid w:val="00F5626A"/>
    <w:rsid w:val="00F565FF"/>
    <w:rsid w:val="00F56706"/>
    <w:rsid w:val="00F569DC"/>
    <w:rsid w:val="00F56E4D"/>
    <w:rsid w:val="00F56F43"/>
    <w:rsid w:val="00F56FD1"/>
    <w:rsid w:val="00F5736D"/>
    <w:rsid w:val="00F574AE"/>
    <w:rsid w:val="00F57AF5"/>
    <w:rsid w:val="00F57DF0"/>
    <w:rsid w:val="00F57F49"/>
    <w:rsid w:val="00F60222"/>
    <w:rsid w:val="00F6032B"/>
    <w:rsid w:val="00F614F3"/>
    <w:rsid w:val="00F61699"/>
    <w:rsid w:val="00F617A4"/>
    <w:rsid w:val="00F63173"/>
    <w:rsid w:val="00F634B1"/>
    <w:rsid w:val="00F63771"/>
    <w:rsid w:val="00F63816"/>
    <w:rsid w:val="00F63F57"/>
    <w:rsid w:val="00F644BE"/>
    <w:rsid w:val="00F64567"/>
    <w:rsid w:val="00F645C5"/>
    <w:rsid w:val="00F64717"/>
    <w:rsid w:val="00F647CD"/>
    <w:rsid w:val="00F64C2E"/>
    <w:rsid w:val="00F64CFA"/>
    <w:rsid w:val="00F6506F"/>
    <w:rsid w:val="00F65253"/>
    <w:rsid w:val="00F653F0"/>
    <w:rsid w:val="00F6619B"/>
    <w:rsid w:val="00F662D2"/>
    <w:rsid w:val="00F662D9"/>
    <w:rsid w:val="00F66EFD"/>
    <w:rsid w:val="00F671D3"/>
    <w:rsid w:val="00F6739D"/>
    <w:rsid w:val="00F6745C"/>
    <w:rsid w:val="00F678D7"/>
    <w:rsid w:val="00F67E01"/>
    <w:rsid w:val="00F67FE9"/>
    <w:rsid w:val="00F70602"/>
    <w:rsid w:val="00F709FB"/>
    <w:rsid w:val="00F70F62"/>
    <w:rsid w:val="00F718D9"/>
    <w:rsid w:val="00F71ED8"/>
    <w:rsid w:val="00F71FA2"/>
    <w:rsid w:val="00F72097"/>
    <w:rsid w:val="00F723E2"/>
    <w:rsid w:val="00F723E4"/>
    <w:rsid w:val="00F72C75"/>
    <w:rsid w:val="00F73004"/>
    <w:rsid w:val="00F7307A"/>
    <w:rsid w:val="00F73122"/>
    <w:rsid w:val="00F73FCD"/>
    <w:rsid w:val="00F74779"/>
    <w:rsid w:val="00F74954"/>
    <w:rsid w:val="00F75128"/>
    <w:rsid w:val="00F753A1"/>
    <w:rsid w:val="00F75445"/>
    <w:rsid w:val="00F754AA"/>
    <w:rsid w:val="00F756B2"/>
    <w:rsid w:val="00F75779"/>
    <w:rsid w:val="00F75C8C"/>
    <w:rsid w:val="00F75CE8"/>
    <w:rsid w:val="00F765D8"/>
    <w:rsid w:val="00F766FD"/>
    <w:rsid w:val="00F76A5C"/>
    <w:rsid w:val="00F76A8E"/>
    <w:rsid w:val="00F772E2"/>
    <w:rsid w:val="00F77D8F"/>
    <w:rsid w:val="00F77F36"/>
    <w:rsid w:val="00F80641"/>
    <w:rsid w:val="00F806DD"/>
    <w:rsid w:val="00F809B0"/>
    <w:rsid w:val="00F80A35"/>
    <w:rsid w:val="00F80AE2"/>
    <w:rsid w:val="00F80DEF"/>
    <w:rsid w:val="00F8107D"/>
    <w:rsid w:val="00F812DD"/>
    <w:rsid w:val="00F814B4"/>
    <w:rsid w:val="00F81F21"/>
    <w:rsid w:val="00F82247"/>
    <w:rsid w:val="00F825C7"/>
    <w:rsid w:val="00F825DE"/>
    <w:rsid w:val="00F826C1"/>
    <w:rsid w:val="00F82B6E"/>
    <w:rsid w:val="00F83AAA"/>
    <w:rsid w:val="00F83DD6"/>
    <w:rsid w:val="00F83E26"/>
    <w:rsid w:val="00F84398"/>
    <w:rsid w:val="00F843CA"/>
    <w:rsid w:val="00F84641"/>
    <w:rsid w:val="00F846C0"/>
    <w:rsid w:val="00F85379"/>
    <w:rsid w:val="00F853BF"/>
    <w:rsid w:val="00F8580E"/>
    <w:rsid w:val="00F85A46"/>
    <w:rsid w:val="00F85A61"/>
    <w:rsid w:val="00F85DBC"/>
    <w:rsid w:val="00F85F79"/>
    <w:rsid w:val="00F86397"/>
    <w:rsid w:val="00F868D4"/>
    <w:rsid w:val="00F86CDF"/>
    <w:rsid w:val="00F86DCF"/>
    <w:rsid w:val="00F86E03"/>
    <w:rsid w:val="00F871D9"/>
    <w:rsid w:val="00F8724D"/>
    <w:rsid w:val="00F87662"/>
    <w:rsid w:val="00F876C1"/>
    <w:rsid w:val="00F87A31"/>
    <w:rsid w:val="00F90338"/>
    <w:rsid w:val="00F905C6"/>
    <w:rsid w:val="00F90819"/>
    <w:rsid w:val="00F90FF5"/>
    <w:rsid w:val="00F91243"/>
    <w:rsid w:val="00F91560"/>
    <w:rsid w:val="00F91679"/>
    <w:rsid w:val="00F92297"/>
    <w:rsid w:val="00F922F8"/>
    <w:rsid w:val="00F92696"/>
    <w:rsid w:val="00F9273B"/>
    <w:rsid w:val="00F932E5"/>
    <w:rsid w:val="00F93899"/>
    <w:rsid w:val="00F93910"/>
    <w:rsid w:val="00F94175"/>
    <w:rsid w:val="00F947CD"/>
    <w:rsid w:val="00F94921"/>
    <w:rsid w:val="00F9590C"/>
    <w:rsid w:val="00F95B4D"/>
    <w:rsid w:val="00F960D3"/>
    <w:rsid w:val="00F96FA9"/>
    <w:rsid w:val="00F974A2"/>
    <w:rsid w:val="00F97E12"/>
    <w:rsid w:val="00FA0296"/>
    <w:rsid w:val="00FA0421"/>
    <w:rsid w:val="00FA07DF"/>
    <w:rsid w:val="00FA0AFF"/>
    <w:rsid w:val="00FA0D48"/>
    <w:rsid w:val="00FA1005"/>
    <w:rsid w:val="00FA16FC"/>
    <w:rsid w:val="00FA1945"/>
    <w:rsid w:val="00FA1BA7"/>
    <w:rsid w:val="00FA1F07"/>
    <w:rsid w:val="00FA256D"/>
    <w:rsid w:val="00FA2CF6"/>
    <w:rsid w:val="00FA31BE"/>
    <w:rsid w:val="00FA32D6"/>
    <w:rsid w:val="00FA32FD"/>
    <w:rsid w:val="00FA369A"/>
    <w:rsid w:val="00FA3F17"/>
    <w:rsid w:val="00FA3FAE"/>
    <w:rsid w:val="00FA400F"/>
    <w:rsid w:val="00FA4045"/>
    <w:rsid w:val="00FA4228"/>
    <w:rsid w:val="00FA4723"/>
    <w:rsid w:val="00FA4F05"/>
    <w:rsid w:val="00FA5CD7"/>
    <w:rsid w:val="00FA69DC"/>
    <w:rsid w:val="00FA6BBA"/>
    <w:rsid w:val="00FA6E3D"/>
    <w:rsid w:val="00FA74E5"/>
    <w:rsid w:val="00FA784B"/>
    <w:rsid w:val="00FA7A99"/>
    <w:rsid w:val="00FA7B20"/>
    <w:rsid w:val="00FA7E61"/>
    <w:rsid w:val="00FA7EBA"/>
    <w:rsid w:val="00FA7F0C"/>
    <w:rsid w:val="00FA7F11"/>
    <w:rsid w:val="00FA7F88"/>
    <w:rsid w:val="00FB0378"/>
    <w:rsid w:val="00FB070C"/>
    <w:rsid w:val="00FB0DE5"/>
    <w:rsid w:val="00FB10F5"/>
    <w:rsid w:val="00FB1154"/>
    <w:rsid w:val="00FB1436"/>
    <w:rsid w:val="00FB186A"/>
    <w:rsid w:val="00FB1CEC"/>
    <w:rsid w:val="00FB1D0D"/>
    <w:rsid w:val="00FB20B9"/>
    <w:rsid w:val="00FB21F9"/>
    <w:rsid w:val="00FB276D"/>
    <w:rsid w:val="00FB282B"/>
    <w:rsid w:val="00FB2BF4"/>
    <w:rsid w:val="00FB3362"/>
    <w:rsid w:val="00FB37AF"/>
    <w:rsid w:val="00FB3C65"/>
    <w:rsid w:val="00FB3C77"/>
    <w:rsid w:val="00FB3E24"/>
    <w:rsid w:val="00FB4092"/>
    <w:rsid w:val="00FB4629"/>
    <w:rsid w:val="00FB4C64"/>
    <w:rsid w:val="00FB4F43"/>
    <w:rsid w:val="00FB4F65"/>
    <w:rsid w:val="00FB516C"/>
    <w:rsid w:val="00FB575F"/>
    <w:rsid w:val="00FB58C3"/>
    <w:rsid w:val="00FB5BFB"/>
    <w:rsid w:val="00FB5E33"/>
    <w:rsid w:val="00FB6580"/>
    <w:rsid w:val="00FB6679"/>
    <w:rsid w:val="00FB6779"/>
    <w:rsid w:val="00FB68EE"/>
    <w:rsid w:val="00FB6AE0"/>
    <w:rsid w:val="00FB6E9B"/>
    <w:rsid w:val="00FB7372"/>
    <w:rsid w:val="00FB759C"/>
    <w:rsid w:val="00FB7E7F"/>
    <w:rsid w:val="00FB7EEF"/>
    <w:rsid w:val="00FC022B"/>
    <w:rsid w:val="00FC02C6"/>
    <w:rsid w:val="00FC03B5"/>
    <w:rsid w:val="00FC0D5B"/>
    <w:rsid w:val="00FC0DE8"/>
    <w:rsid w:val="00FC116E"/>
    <w:rsid w:val="00FC1396"/>
    <w:rsid w:val="00FC13A8"/>
    <w:rsid w:val="00FC1925"/>
    <w:rsid w:val="00FC192B"/>
    <w:rsid w:val="00FC1B50"/>
    <w:rsid w:val="00FC1D78"/>
    <w:rsid w:val="00FC2358"/>
    <w:rsid w:val="00FC2694"/>
    <w:rsid w:val="00FC2697"/>
    <w:rsid w:val="00FC279A"/>
    <w:rsid w:val="00FC28D7"/>
    <w:rsid w:val="00FC2961"/>
    <w:rsid w:val="00FC2A97"/>
    <w:rsid w:val="00FC2E72"/>
    <w:rsid w:val="00FC32B2"/>
    <w:rsid w:val="00FC3412"/>
    <w:rsid w:val="00FC34E7"/>
    <w:rsid w:val="00FC3CCC"/>
    <w:rsid w:val="00FC4027"/>
    <w:rsid w:val="00FC41A9"/>
    <w:rsid w:val="00FC4232"/>
    <w:rsid w:val="00FC4B07"/>
    <w:rsid w:val="00FC4B52"/>
    <w:rsid w:val="00FC4EF3"/>
    <w:rsid w:val="00FC5071"/>
    <w:rsid w:val="00FC515A"/>
    <w:rsid w:val="00FC51B5"/>
    <w:rsid w:val="00FC53E8"/>
    <w:rsid w:val="00FC5CA0"/>
    <w:rsid w:val="00FC5F66"/>
    <w:rsid w:val="00FC6557"/>
    <w:rsid w:val="00FC6820"/>
    <w:rsid w:val="00FC6876"/>
    <w:rsid w:val="00FC6EE3"/>
    <w:rsid w:val="00FC70A4"/>
    <w:rsid w:val="00FC7CCA"/>
    <w:rsid w:val="00FC7EFA"/>
    <w:rsid w:val="00FD0200"/>
    <w:rsid w:val="00FD0559"/>
    <w:rsid w:val="00FD0A70"/>
    <w:rsid w:val="00FD0BC9"/>
    <w:rsid w:val="00FD0BE3"/>
    <w:rsid w:val="00FD0D0A"/>
    <w:rsid w:val="00FD0D95"/>
    <w:rsid w:val="00FD1012"/>
    <w:rsid w:val="00FD145F"/>
    <w:rsid w:val="00FD1C48"/>
    <w:rsid w:val="00FD332B"/>
    <w:rsid w:val="00FD3468"/>
    <w:rsid w:val="00FD3656"/>
    <w:rsid w:val="00FD38C0"/>
    <w:rsid w:val="00FD3B92"/>
    <w:rsid w:val="00FD3BBE"/>
    <w:rsid w:val="00FD3D4C"/>
    <w:rsid w:val="00FD41F1"/>
    <w:rsid w:val="00FD466D"/>
    <w:rsid w:val="00FD477E"/>
    <w:rsid w:val="00FD4994"/>
    <w:rsid w:val="00FD4A8A"/>
    <w:rsid w:val="00FD5635"/>
    <w:rsid w:val="00FD5845"/>
    <w:rsid w:val="00FD588C"/>
    <w:rsid w:val="00FD5E1E"/>
    <w:rsid w:val="00FD66A7"/>
    <w:rsid w:val="00FD6D6A"/>
    <w:rsid w:val="00FD6E9B"/>
    <w:rsid w:val="00FD741E"/>
    <w:rsid w:val="00FD7674"/>
    <w:rsid w:val="00FD7C6E"/>
    <w:rsid w:val="00FD7DFA"/>
    <w:rsid w:val="00FD7FE5"/>
    <w:rsid w:val="00FD7FF0"/>
    <w:rsid w:val="00FE0066"/>
    <w:rsid w:val="00FE0229"/>
    <w:rsid w:val="00FE026F"/>
    <w:rsid w:val="00FE0729"/>
    <w:rsid w:val="00FE0A56"/>
    <w:rsid w:val="00FE0C2F"/>
    <w:rsid w:val="00FE1A62"/>
    <w:rsid w:val="00FE1FE4"/>
    <w:rsid w:val="00FE21E0"/>
    <w:rsid w:val="00FE21EB"/>
    <w:rsid w:val="00FE25AD"/>
    <w:rsid w:val="00FE332B"/>
    <w:rsid w:val="00FE34BC"/>
    <w:rsid w:val="00FE36BE"/>
    <w:rsid w:val="00FE3A0E"/>
    <w:rsid w:val="00FE3B15"/>
    <w:rsid w:val="00FE3DDB"/>
    <w:rsid w:val="00FE41FE"/>
    <w:rsid w:val="00FE47B7"/>
    <w:rsid w:val="00FE47C5"/>
    <w:rsid w:val="00FE4FCD"/>
    <w:rsid w:val="00FE4FDF"/>
    <w:rsid w:val="00FE50AB"/>
    <w:rsid w:val="00FE5269"/>
    <w:rsid w:val="00FE5439"/>
    <w:rsid w:val="00FE5467"/>
    <w:rsid w:val="00FE559D"/>
    <w:rsid w:val="00FE5B27"/>
    <w:rsid w:val="00FE5D05"/>
    <w:rsid w:val="00FE605F"/>
    <w:rsid w:val="00FE634D"/>
    <w:rsid w:val="00FE6DBB"/>
    <w:rsid w:val="00FE71FD"/>
    <w:rsid w:val="00FE7BD6"/>
    <w:rsid w:val="00FE7E0C"/>
    <w:rsid w:val="00FE7E33"/>
    <w:rsid w:val="00FF0F7E"/>
    <w:rsid w:val="00FF1323"/>
    <w:rsid w:val="00FF1C6A"/>
    <w:rsid w:val="00FF1D6F"/>
    <w:rsid w:val="00FF1EAF"/>
    <w:rsid w:val="00FF2080"/>
    <w:rsid w:val="00FF248A"/>
    <w:rsid w:val="00FF2D60"/>
    <w:rsid w:val="00FF2E29"/>
    <w:rsid w:val="00FF31BF"/>
    <w:rsid w:val="00FF31F7"/>
    <w:rsid w:val="00FF3769"/>
    <w:rsid w:val="00FF37CC"/>
    <w:rsid w:val="00FF3C35"/>
    <w:rsid w:val="00FF4C79"/>
    <w:rsid w:val="00FF4E0C"/>
    <w:rsid w:val="00FF521D"/>
    <w:rsid w:val="00FF6282"/>
    <w:rsid w:val="00FF6BB0"/>
    <w:rsid w:val="00FF6FB3"/>
    <w:rsid w:val="00FF7B52"/>
    <w:rsid w:val="00FF7FD1"/>
    <w:rsid w:val="01248223"/>
    <w:rsid w:val="014404B8"/>
    <w:rsid w:val="015DADDC"/>
    <w:rsid w:val="01BB3CED"/>
    <w:rsid w:val="01BB455B"/>
    <w:rsid w:val="01DC8B06"/>
    <w:rsid w:val="020EB05D"/>
    <w:rsid w:val="0256A782"/>
    <w:rsid w:val="0299E5A5"/>
    <w:rsid w:val="02C0DE58"/>
    <w:rsid w:val="02E1A290"/>
    <w:rsid w:val="02F7DE24"/>
    <w:rsid w:val="032382CE"/>
    <w:rsid w:val="03265666"/>
    <w:rsid w:val="032AA5F1"/>
    <w:rsid w:val="0355150E"/>
    <w:rsid w:val="03773003"/>
    <w:rsid w:val="03963CD7"/>
    <w:rsid w:val="039B1442"/>
    <w:rsid w:val="03BF8335"/>
    <w:rsid w:val="03E205E9"/>
    <w:rsid w:val="04845FFB"/>
    <w:rsid w:val="049C59FA"/>
    <w:rsid w:val="04C097DB"/>
    <w:rsid w:val="04F59FD3"/>
    <w:rsid w:val="051A1D9C"/>
    <w:rsid w:val="0575A100"/>
    <w:rsid w:val="05B6F4E8"/>
    <w:rsid w:val="05D7F288"/>
    <w:rsid w:val="060772AA"/>
    <w:rsid w:val="063731C7"/>
    <w:rsid w:val="069015DA"/>
    <w:rsid w:val="06F38433"/>
    <w:rsid w:val="072051EF"/>
    <w:rsid w:val="07954442"/>
    <w:rsid w:val="0798ED17"/>
    <w:rsid w:val="07FB219C"/>
    <w:rsid w:val="08149990"/>
    <w:rsid w:val="083EF106"/>
    <w:rsid w:val="083FC99B"/>
    <w:rsid w:val="087A42E1"/>
    <w:rsid w:val="0889E6B6"/>
    <w:rsid w:val="08E4646A"/>
    <w:rsid w:val="0922A6CA"/>
    <w:rsid w:val="0945806D"/>
    <w:rsid w:val="0975E73A"/>
    <w:rsid w:val="097E7265"/>
    <w:rsid w:val="09971E2D"/>
    <w:rsid w:val="0997F529"/>
    <w:rsid w:val="0998536A"/>
    <w:rsid w:val="09B12086"/>
    <w:rsid w:val="09C721B2"/>
    <w:rsid w:val="09CC91CB"/>
    <w:rsid w:val="0A05572D"/>
    <w:rsid w:val="0A7637CF"/>
    <w:rsid w:val="0AC6328E"/>
    <w:rsid w:val="0B0E7FD3"/>
    <w:rsid w:val="0B644804"/>
    <w:rsid w:val="0B6C6BFD"/>
    <w:rsid w:val="0B782D83"/>
    <w:rsid w:val="0BC843A5"/>
    <w:rsid w:val="0BF6F0C3"/>
    <w:rsid w:val="0C0482C6"/>
    <w:rsid w:val="0C6ADDC7"/>
    <w:rsid w:val="0C79B4C8"/>
    <w:rsid w:val="0CA02518"/>
    <w:rsid w:val="0CE65C10"/>
    <w:rsid w:val="0D0C33AF"/>
    <w:rsid w:val="0D0C415E"/>
    <w:rsid w:val="0D5F6E60"/>
    <w:rsid w:val="0D81F6BE"/>
    <w:rsid w:val="0DAD1A8D"/>
    <w:rsid w:val="0DCD7CA1"/>
    <w:rsid w:val="0DDAEEE9"/>
    <w:rsid w:val="0E0CD9E0"/>
    <w:rsid w:val="0E29744F"/>
    <w:rsid w:val="0E98DFF1"/>
    <w:rsid w:val="0EB8269D"/>
    <w:rsid w:val="0EE66EF4"/>
    <w:rsid w:val="0EF6052D"/>
    <w:rsid w:val="0F260F01"/>
    <w:rsid w:val="0F6BCF5C"/>
    <w:rsid w:val="0FFDC54C"/>
    <w:rsid w:val="0FFF311E"/>
    <w:rsid w:val="10BE2CB1"/>
    <w:rsid w:val="110D93A4"/>
    <w:rsid w:val="1163288C"/>
    <w:rsid w:val="116CF78F"/>
    <w:rsid w:val="1177C605"/>
    <w:rsid w:val="117AC1A0"/>
    <w:rsid w:val="119B4F32"/>
    <w:rsid w:val="11E8EB08"/>
    <w:rsid w:val="11EA44AE"/>
    <w:rsid w:val="124CFA2B"/>
    <w:rsid w:val="1274DD40"/>
    <w:rsid w:val="12F0B19C"/>
    <w:rsid w:val="12FD41BB"/>
    <w:rsid w:val="130C0FC9"/>
    <w:rsid w:val="139A354D"/>
    <w:rsid w:val="13C67E8B"/>
    <w:rsid w:val="142846A0"/>
    <w:rsid w:val="1438CE89"/>
    <w:rsid w:val="1499CF8B"/>
    <w:rsid w:val="14A88315"/>
    <w:rsid w:val="14C29486"/>
    <w:rsid w:val="14D53C1C"/>
    <w:rsid w:val="1512F9B3"/>
    <w:rsid w:val="15268841"/>
    <w:rsid w:val="15382BEF"/>
    <w:rsid w:val="15E97928"/>
    <w:rsid w:val="16150943"/>
    <w:rsid w:val="1644DF73"/>
    <w:rsid w:val="16573F79"/>
    <w:rsid w:val="16782FBF"/>
    <w:rsid w:val="16A96FFF"/>
    <w:rsid w:val="17427A4E"/>
    <w:rsid w:val="175ED03E"/>
    <w:rsid w:val="17B90E29"/>
    <w:rsid w:val="18118E14"/>
    <w:rsid w:val="184A3DA4"/>
    <w:rsid w:val="18965D67"/>
    <w:rsid w:val="18C4F901"/>
    <w:rsid w:val="18CF3172"/>
    <w:rsid w:val="18F9BBB5"/>
    <w:rsid w:val="190F4E68"/>
    <w:rsid w:val="1929FB59"/>
    <w:rsid w:val="1A094D99"/>
    <w:rsid w:val="1A268B13"/>
    <w:rsid w:val="1A31F304"/>
    <w:rsid w:val="1A785731"/>
    <w:rsid w:val="1A819BE9"/>
    <w:rsid w:val="1B0283B8"/>
    <w:rsid w:val="1B1185E7"/>
    <w:rsid w:val="1B51B37A"/>
    <w:rsid w:val="1B9CB841"/>
    <w:rsid w:val="1BA0A9F0"/>
    <w:rsid w:val="1BBEA04A"/>
    <w:rsid w:val="1BEFBA37"/>
    <w:rsid w:val="1BF49CD6"/>
    <w:rsid w:val="1C3E46F6"/>
    <w:rsid w:val="1C7396A5"/>
    <w:rsid w:val="1D64B827"/>
    <w:rsid w:val="1D832A30"/>
    <w:rsid w:val="1DE2FA2F"/>
    <w:rsid w:val="1DFAB936"/>
    <w:rsid w:val="1E2E8036"/>
    <w:rsid w:val="1E9E9CD2"/>
    <w:rsid w:val="1EFAF214"/>
    <w:rsid w:val="1F02E3B2"/>
    <w:rsid w:val="1F0DA901"/>
    <w:rsid w:val="1FA8B9F3"/>
    <w:rsid w:val="1FB0D752"/>
    <w:rsid w:val="1FBB780E"/>
    <w:rsid w:val="1FC78AB7"/>
    <w:rsid w:val="1FF55AD9"/>
    <w:rsid w:val="20BFD8BF"/>
    <w:rsid w:val="21542898"/>
    <w:rsid w:val="21E49392"/>
    <w:rsid w:val="22127E7B"/>
    <w:rsid w:val="22EFE052"/>
    <w:rsid w:val="22F58119"/>
    <w:rsid w:val="22F7D8D5"/>
    <w:rsid w:val="232C7E77"/>
    <w:rsid w:val="240ED1BA"/>
    <w:rsid w:val="2468B63C"/>
    <w:rsid w:val="24AA28A9"/>
    <w:rsid w:val="24BB73DE"/>
    <w:rsid w:val="24EBE5A5"/>
    <w:rsid w:val="24F1F479"/>
    <w:rsid w:val="24F55600"/>
    <w:rsid w:val="25394C54"/>
    <w:rsid w:val="257B340C"/>
    <w:rsid w:val="25A31DAD"/>
    <w:rsid w:val="25A4983F"/>
    <w:rsid w:val="2619ACD8"/>
    <w:rsid w:val="2653A4AB"/>
    <w:rsid w:val="266B204A"/>
    <w:rsid w:val="26810BE5"/>
    <w:rsid w:val="269C5B47"/>
    <w:rsid w:val="269E1D23"/>
    <w:rsid w:val="271B2ED1"/>
    <w:rsid w:val="274820A1"/>
    <w:rsid w:val="27AC9E8B"/>
    <w:rsid w:val="27B49214"/>
    <w:rsid w:val="27E11755"/>
    <w:rsid w:val="2898F447"/>
    <w:rsid w:val="28AC8E6A"/>
    <w:rsid w:val="28D7A31C"/>
    <w:rsid w:val="293898A3"/>
    <w:rsid w:val="29477001"/>
    <w:rsid w:val="294EA5E7"/>
    <w:rsid w:val="296056BD"/>
    <w:rsid w:val="29882E8B"/>
    <w:rsid w:val="29991607"/>
    <w:rsid w:val="29A5130F"/>
    <w:rsid w:val="29E0D56E"/>
    <w:rsid w:val="2A728612"/>
    <w:rsid w:val="2A7BDEBB"/>
    <w:rsid w:val="2AEE2BD0"/>
    <w:rsid w:val="2B02A771"/>
    <w:rsid w:val="2B74E50F"/>
    <w:rsid w:val="2B9849F6"/>
    <w:rsid w:val="2BE4AC83"/>
    <w:rsid w:val="2CB5E0D4"/>
    <w:rsid w:val="2D3FB159"/>
    <w:rsid w:val="2D67E13B"/>
    <w:rsid w:val="2DA3615E"/>
    <w:rsid w:val="2DA809DD"/>
    <w:rsid w:val="2DC20671"/>
    <w:rsid w:val="2DE34870"/>
    <w:rsid w:val="2E1F1137"/>
    <w:rsid w:val="2EA16AF1"/>
    <w:rsid w:val="2EAA9E66"/>
    <w:rsid w:val="2EE1DB14"/>
    <w:rsid w:val="2EE9FFC1"/>
    <w:rsid w:val="2F228345"/>
    <w:rsid w:val="2F6B12C9"/>
    <w:rsid w:val="2FB09177"/>
    <w:rsid w:val="2FBA5633"/>
    <w:rsid w:val="2FF0C5AD"/>
    <w:rsid w:val="2FFAF8C1"/>
    <w:rsid w:val="30786E2C"/>
    <w:rsid w:val="307F1AC5"/>
    <w:rsid w:val="30800870"/>
    <w:rsid w:val="30B96D4F"/>
    <w:rsid w:val="311C9115"/>
    <w:rsid w:val="3140D61A"/>
    <w:rsid w:val="31537CDA"/>
    <w:rsid w:val="315E5C63"/>
    <w:rsid w:val="318E7545"/>
    <w:rsid w:val="31A96220"/>
    <w:rsid w:val="326E30B1"/>
    <w:rsid w:val="32764A1A"/>
    <w:rsid w:val="32C6AB4F"/>
    <w:rsid w:val="32F41AE6"/>
    <w:rsid w:val="33E77968"/>
    <w:rsid w:val="33F0F048"/>
    <w:rsid w:val="33FD2D5C"/>
    <w:rsid w:val="3448782F"/>
    <w:rsid w:val="344C3677"/>
    <w:rsid w:val="348EA3DC"/>
    <w:rsid w:val="34A3A935"/>
    <w:rsid w:val="34AADD8E"/>
    <w:rsid w:val="34D26658"/>
    <w:rsid w:val="34E1DEB5"/>
    <w:rsid w:val="34F1AF1E"/>
    <w:rsid w:val="35520625"/>
    <w:rsid w:val="355980B4"/>
    <w:rsid w:val="355C394B"/>
    <w:rsid w:val="3564E46C"/>
    <w:rsid w:val="35762C51"/>
    <w:rsid w:val="35E1FE57"/>
    <w:rsid w:val="36208C0A"/>
    <w:rsid w:val="372817D9"/>
    <w:rsid w:val="373BD2AE"/>
    <w:rsid w:val="3763D860"/>
    <w:rsid w:val="377E8E7C"/>
    <w:rsid w:val="3787E32C"/>
    <w:rsid w:val="378C86DF"/>
    <w:rsid w:val="37C94472"/>
    <w:rsid w:val="38071CE5"/>
    <w:rsid w:val="393332A3"/>
    <w:rsid w:val="3936A910"/>
    <w:rsid w:val="394A1FE3"/>
    <w:rsid w:val="39C6C391"/>
    <w:rsid w:val="3A25C397"/>
    <w:rsid w:val="3A86C758"/>
    <w:rsid w:val="3A9B39B6"/>
    <w:rsid w:val="3A9D85A6"/>
    <w:rsid w:val="3AA16D88"/>
    <w:rsid w:val="3AF11FDF"/>
    <w:rsid w:val="3AF6E3FB"/>
    <w:rsid w:val="3AFC239F"/>
    <w:rsid w:val="3B07F700"/>
    <w:rsid w:val="3B21D6F0"/>
    <w:rsid w:val="3BFCC76F"/>
    <w:rsid w:val="3C420EAD"/>
    <w:rsid w:val="3C53169D"/>
    <w:rsid w:val="3CC8CA14"/>
    <w:rsid w:val="3CFE2AF1"/>
    <w:rsid w:val="3D1630D6"/>
    <w:rsid w:val="3D3D8EE1"/>
    <w:rsid w:val="3D4D31D7"/>
    <w:rsid w:val="3D8C7AB5"/>
    <w:rsid w:val="3DB9E76A"/>
    <w:rsid w:val="3DBDBA42"/>
    <w:rsid w:val="3E8DF7C8"/>
    <w:rsid w:val="3EFF5AEF"/>
    <w:rsid w:val="3F17C7E3"/>
    <w:rsid w:val="3F441E59"/>
    <w:rsid w:val="3F52D262"/>
    <w:rsid w:val="3F6A0328"/>
    <w:rsid w:val="3F9D34E6"/>
    <w:rsid w:val="3FD6F61F"/>
    <w:rsid w:val="3FD9D1FC"/>
    <w:rsid w:val="3FDE251B"/>
    <w:rsid w:val="403D67A4"/>
    <w:rsid w:val="4052B34E"/>
    <w:rsid w:val="40B9629D"/>
    <w:rsid w:val="40D831B2"/>
    <w:rsid w:val="412DEAEE"/>
    <w:rsid w:val="4167B146"/>
    <w:rsid w:val="423F6D2D"/>
    <w:rsid w:val="425110AF"/>
    <w:rsid w:val="425F17BF"/>
    <w:rsid w:val="426AC4BD"/>
    <w:rsid w:val="42BC3BB2"/>
    <w:rsid w:val="42D3C2F9"/>
    <w:rsid w:val="43190F5D"/>
    <w:rsid w:val="43913A05"/>
    <w:rsid w:val="43BF8604"/>
    <w:rsid w:val="43C9AFBE"/>
    <w:rsid w:val="4441EF88"/>
    <w:rsid w:val="446CFE7F"/>
    <w:rsid w:val="4489B913"/>
    <w:rsid w:val="44BD5721"/>
    <w:rsid w:val="44C53283"/>
    <w:rsid w:val="4678ECC2"/>
    <w:rsid w:val="46C22EFE"/>
    <w:rsid w:val="46D48414"/>
    <w:rsid w:val="46F9E2C5"/>
    <w:rsid w:val="46FD7C8A"/>
    <w:rsid w:val="476905A5"/>
    <w:rsid w:val="47C26089"/>
    <w:rsid w:val="47E5A946"/>
    <w:rsid w:val="481C5342"/>
    <w:rsid w:val="484F0433"/>
    <w:rsid w:val="485DA8E9"/>
    <w:rsid w:val="4873E7A3"/>
    <w:rsid w:val="487E9139"/>
    <w:rsid w:val="48874641"/>
    <w:rsid w:val="48CA8441"/>
    <w:rsid w:val="48F6FB60"/>
    <w:rsid w:val="491699EC"/>
    <w:rsid w:val="49242A8B"/>
    <w:rsid w:val="493E9F12"/>
    <w:rsid w:val="49469C18"/>
    <w:rsid w:val="4955BCED"/>
    <w:rsid w:val="4957AA9E"/>
    <w:rsid w:val="49AF9963"/>
    <w:rsid w:val="49F52BE7"/>
    <w:rsid w:val="4AA700C9"/>
    <w:rsid w:val="4ACD82D5"/>
    <w:rsid w:val="4B213A9D"/>
    <w:rsid w:val="4B28027A"/>
    <w:rsid w:val="4B371A88"/>
    <w:rsid w:val="4B4FBB05"/>
    <w:rsid w:val="4B53358D"/>
    <w:rsid w:val="4BAAAF73"/>
    <w:rsid w:val="4C025BB1"/>
    <w:rsid w:val="4C67A549"/>
    <w:rsid w:val="4CB5DD96"/>
    <w:rsid w:val="4CCAD7CE"/>
    <w:rsid w:val="4D3E4786"/>
    <w:rsid w:val="4D8F36BB"/>
    <w:rsid w:val="4DA5BBCC"/>
    <w:rsid w:val="4DCD64C0"/>
    <w:rsid w:val="4DD63DBD"/>
    <w:rsid w:val="4DE548D4"/>
    <w:rsid w:val="4E62F7D3"/>
    <w:rsid w:val="4F8D9320"/>
    <w:rsid w:val="4FD71B25"/>
    <w:rsid w:val="500E4307"/>
    <w:rsid w:val="5031722E"/>
    <w:rsid w:val="50483BB1"/>
    <w:rsid w:val="50811703"/>
    <w:rsid w:val="50967FC9"/>
    <w:rsid w:val="50D7FC55"/>
    <w:rsid w:val="5110968F"/>
    <w:rsid w:val="514406E5"/>
    <w:rsid w:val="519AF5AC"/>
    <w:rsid w:val="51F096EE"/>
    <w:rsid w:val="51F419CF"/>
    <w:rsid w:val="51F6365A"/>
    <w:rsid w:val="51F9BC8B"/>
    <w:rsid w:val="52C780FF"/>
    <w:rsid w:val="52F70C91"/>
    <w:rsid w:val="530D44A2"/>
    <w:rsid w:val="53380DBB"/>
    <w:rsid w:val="53C268AF"/>
    <w:rsid w:val="53DD4FEA"/>
    <w:rsid w:val="53FEBE43"/>
    <w:rsid w:val="540E12D8"/>
    <w:rsid w:val="543A3C8D"/>
    <w:rsid w:val="548DFFE8"/>
    <w:rsid w:val="54C7F9A1"/>
    <w:rsid w:val="5508A254"/>
    <w:rsid w:val="550D9BF6"/>
    <w:rsid w:val="5515F3D2"/>
    <w:rsid w:val="5641AFB3"/>
    <w:rsid w:val="564341E6"/>
    <w:rsid w:val="5656255A"/>
    <w:rsid w:val="5657DA7B"/>
    <w:rsid w:val="56B3530E"/>
    <w:rsid w:val="56F24206"/>
    <w:rsid w:val="56F773DE"/>
    <w:rsid w:val="570C042F"/>
    <w:rsid w:val="574384A5"/>
    <w:rsid w:val="5876AF97"/>
    <w:rsid w:val="58791BA9"/>
    <w:rsid w:val="587F671F"/>
    <w:rsid w:val="58C36FD8"/>
    <w:rsid w:val="58D485E8"/>
    <w:rsid w:val="59154352"/>
    <w:rsid w:val="595AC329"/>
    <w:rsid w:val="5961B916"/>
    <w:rsid w:val="59DFAF9A"/>
    <w:rsid w:val="59F7668A"/>
    <w:rsid w:val="5A1134AD"/>
    <w:rsid w:val="5A17123A"/>
    <w:rsid w:val="5A3F9116"/>
    <w:rsid w:val="5A509A70"/>
    <w:rsid w:val="5A8F4B13"/>
    <w:rsid w:val="5ABBD7D2"/>
    <w:rsid w:val="5AEBADCE"/>
    <w:rsid w:val="5B43DCA0"/>
    <w:rsid w:val="5BD86084"/>
    <w:rsid w:val="5BEDCC6A"/>
    <w:rsid w:val="5C24713F"/>
    <w:rsid w:val="5C40C6A5"/>
    <w:rsid w:val="5C4CD847"/>
    <w:rsid w:val="5C8060B6"/>
    <w:rsid w:val="5CCEBA50"/>
    <w:rsid w:val="5D013F9E"/>
    <w:rsid w:val="5D1E174A"/>
    <w:rsid w:val="5D491140"/>
    <w:rsid w:val="5DE16A82"/>
    <w:rsid w:val="5DFB7376"/>
    <w:rsid w:val="5DFF29E0"/>
    <w:rsid w:val="5E1C1605"/>
    <w:rsid w:val="5E1D9A8F"/>
    <w:rsid w:val="5E454D45"/>
    <w:rsid w:val="5E4D258E"/>
    <w:rsid w:val="5EE433FB"/>
    <w:rsid w:val="5F07FC6C"/>
    <w:rsid w:val="5F10F81F"/>
    <w:rsid w:val="5F97836B"/>
    <w:rsid w:val="5FCD0BF3"/>
    <w:rsid w:val="60908F6D"/>
    <w:rsid w:val="60ABB1CF"/>
    <w:rsid w:val="6156A849"/>
    <w:rsid w:val="6159536C"/>
    <w:rsid w:val="616A85B0"/>
    <w:rsid w:val="61B8E01C"/>
    <w:rsid w:val="61CA53C2"/>
    <w:rsid w:val="61EC561A"/>
    <w:rsid w:val="62253F00"/>
    <w:rsid w:val="6243D290"/>
    <w:rsid w:val="625985A3"/>
    <w:rsid w:val="625A93C6"/>
    <w:rsid w:val="633EF2C4"/>
    <w:rsid w:val="63CFC762"/>
    <w:rsid w:val="646FFC91"/>
    <w:rsid w:val="647781EF"/>
    <w:rsid w:val="648CAC6D"/>
    <w:rsid w:val="64AB69A1"/>
    <w:rsid w:val="652F56C7"/>
    <w:rsid w:val="65430683"/>
    <w:rsid w:val="65A0211B"/>
    <w:rsid w:val="65EA17A1"/>
    <w:rsid w:val="65F7F833"/>
    <w:rsid w:val="6601EE87"/>
    <w:rsid w:val="661FE530"/>
    <w:rsid w:val="66251558"/>
    <w:rsid w:val="66453F6C"/>
    <w:rsid w:val="667C6790"/>
    <w:rsid w:val="66A65569"/>
    <w:rsid w:val="670129A0"/>
    <w:rsid w:val="672FEFC6"/>
    <w:rsid w:val="67ADC80B"/>
    <w:rsid w:val="67F753FA"/>
    <w:rsid w:val="67FE051F"/>
    <w:rsid w:val="682A3A5D"/>
    <w:rsid w:val="68427AF8"/>
    <w:rsid w:val="68602C32"/>
    <w:rsid w:val="686A2913"/>
    <w:rsid w:val="68703DC5"/>
    <w:rsid w:val="68901F28"/>
    <w:rsid w:val="68A70E5F"/>
    <w:rsid w:val="68A7BAD1"/>
    <w:rsid w:val="68DF7FC8"/>
    <w:rsid w:val="69049210"/>
    <w:rsid w:val="69055748"/>
    <w:rsid w:val="69B36A4D"/>
    <w:rsid w:val="69C24FA0"/>
    <w:rsid w:val="69E4F8C4"/>
    <w:rsid w:val="69FCFDB2"/>
    <w:rsid w:val="6A08C66E"/>
    <w:rsid w:val="6A4A56C4"/>
    <w:rsid w:val="6A92EBF4"/>
    <w:rsid w:val="6AC0D24E"/>
    <w:rsid w:val="6B3DD56D"/>
    <w:rsid w:val="6B9AE81B"/>
    <w:rsid w:val="6BA43F25"/>
    <w:rsid w:val="6BA99955"/>
    <w:rsid w:val="6C13EA3B"/>
    <w:rsid w:val="6C4684D8"/>
    <w:rsid w:val="6C60BDA8"/>
    <w:rsid w:val="6CFB9F04"/>
    <w:rsid w:val="6D0096A6"/>
    <w:rsid w:val="6D188352"/>
    <w:rsid w:val="6D291021"/>
    <w:rsid w:val="6D5D9EF2"/>
    <w:rsid w:val="6D6348AB"/>
    <w:rsid w:val="6E0BCA58"/>
    <w:rsid w:val="6E27737D"/>
    <w:rsid w:val="6E330B80"/>
    <w:rsid w:val="6EAC14CA"/>
    <w:rsid w:val="6EB051C3"/>
    <w:rsid w:val="6EB4E177"/>
    <w:rsid w:val="6F1AF679"/>
    <w:rsid w:val="6FA859DE"/>
    <w:rsid w:val="700D4441"/>
    <w:rsid w:val="70177F90"/>
    <w:rsid w:val="70389436"/>
    <w:rsid w:val="703B2E51"/>
    <w:rsid w:val="7044F6B5"/>
    <w:rsid w:val="70612821"/>
    <w:rsid w:val="7097650C"/>
    <w:rsid w:val="70E4F558"/>
    <w:rsid w:val="7128EB69"/>
    <w:rsid w:val="71B925AE"/>
    <w:rsid w:val="71E0F026"/>
    <w:rsid w:val="7206127F"/>
    <w:rsid w:val="721C0BBD"/>
    <w:rsid w:val="722A78E8"/>
    <w:rsid w:val="7241DE20"/>
    <w:rsid w:val="7296D11C"/>
    <w:rsid w:val="72AD2400"/>
    <w:rsid w:val="734D5EBA"/>
    <w:rsid w:val="7372D9B5"/>
    <w:rsid w:val="7377AC2E"/>
    <w:rsid w:val="73B0A66D"/>
    <w:rsid w:val="73DD8458"/>
    <w:rsid w:val="7434BB78"/>
    <w:rsid w:val="744B540E"/>
    <w:rsid w:val="745FF197"/>
    <w:rsid w:val="748C01F1"/>
    <w:rsid w:val="749095D3"/>
    <w:rsid w:val="74A34A6E"/>
    <w:rsid w:val="750F0632"/>
    <w:rsid w:val="753A6A19"/>
    <w:rsid w:val="75B3B231"/>
    <w:rsid w:val="7607ED8B"/>
    <w:rsid w:val="763286C3"/>
    <w:rsid w:val="767E6E39"/>
    <w:rsid w:val="769B3A30"/>
    <w:rsid w:val="77261D43"/>
    <w:rsid w:val="7749A484"/>
    <w:rsid w:val="77B5E0AB"/>
    <w:rsid w:val="77ED397C"/>
    <w:rsid w:val="7831226A"/>
    <w:rsid w:val="7853AD57"/>
    <w:rsid w:val="7864F9F3"/>
    <w:rsid w:val="789BBFAE"/>
    <w:rsid w:val="79008F88"/>
    <w:rsid w:val="7904B4FA"/>
    <w:rsid w:val="7905AEB7"/>
    <w:rsid w:val="794133D7"/>
    <w:rsid w:val="79F66564"/>
    <w:rsid w:val="79F6ECBA"/>
    <w:rsid w:val="7A0C90F1"/>
    <w:rsid w:val="7A50547D"/>
    <w:rsid w:val="7A6AB7A7"/>
    <w:rsid w:val="7ABAFE1A"/>
    <w:rsid w:val="7B077D82"/>
    <w:rsid w:val="7BD77D22"/>
    <w:rsid w:val="7BE35AC8"/>
    <w:rsid w:val="7C4A8597"/>
    <w:rsid w:val="7C6EC04E"/>
    <w:rsid w:val="7C8B2DEB"/>
    <w:rsid w:val="7CA57BCB"/>
    <w:rsid w:val="7D0A6E25"/>
    <w:rsid w:val="7D3A5182"/>
    <w:rsid w:val="7D514CA9"/>
    <w:rsid w:val="7D8940D0"/>
    <w:rsid w:val="7E2CC025"/>
    <w:rsid w:val="7E4B2CBC"/>
    <w:rsid w:val="7EAAA20D"/>
    <w:rsid w:val="7ECE6D14"/>
    <w:rsid w:val="7F28EE08"/>
    <w:rsid w:val="7F70C688"/>
    <w:rsid w:val="7F7DB515"/>
    <w:rsid w:val="7F8A97C0"/>
    <w:rsid w:val="7FB09A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89EB4EF8-E421-402A-873D-74357BF8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3773003"/>
    <w:pPr>
      <w:pageBreakBefore/>
      <w:tabs>
        <w:tab w:val="center" w:pos="4513"/>
        <w:tab w:val="right" w:pos="9026"/>
      </w:tabs>
      <w:spacing w:after="480"/>
      <w:outlineLvl w:val="0"/>
    </w:pPr>
    <w:rPr>
      <w:b/>
      <w:bCs/>
      <w:color w:val="4C6968" w:themeColor="accent1"/>
      <w:sz w:val="50"/>
      <w:szCs w:val="50"/>
    </w:rPr>
  </w:style>
  <w:style w:type="paragraph" w:styleId="Heading2">
    <w:name w:val="heading 2"/>
    <w:basedOn w:val="Normal"/>
    <w:next w:val="Normal"/>
    <w:link w:val="Heading2Char"/>
    <w:uiPriority w:val="9"/>
    <w:qFormat/>
    <w:rsid w:val="03773003"/>
    <w:pPr>
      <w:keepNext/>
      <w:spacing w:before="360" w:after="240"/>
      <w:outlineLvl w:val="1"/>
    </w:pPr>
    <w:rPr>
      <w:b/>
      <w:bCs/>
      <w:color w:val="48555E" w:themeColor="text2"/>
      <w:sz w:val="32"/>
      <w:szCs w:val="32"/>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3773003"/>
    <w:pPr>
      <w:keepNext/>
      <w:keepLines/>
      <w:spacing w:before="40" w:after="240"/>
      <w:outlineLvl w:val="4"/>
    </w:pPr>
    <w:rPr>
      <w:rFonts w:eastAsiaTheme="majorEastAsia" w:cstheme="majorBidi"/>
      <w:i/>
      <w:iCs/>
      <w:color w:val="4C6968"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3773003"/>
    <w:rPr>
      <w:b/>
      <w:bCs/>
      <w:color w:val="4C6968" w:themeColor="accent1"/>
      <w:sz w:val="24"/>
      <w:szCs w:val="24"/>
    </w:rPr>
  </w:style>
  <w:style w:type="character" w:customStyle="1" w:styleId="DateChar">
    <w:name w:val="Date Char"/>
    <w:basedOn w:val="DefaultParagraphFont"/>
    <w:link w:val="Date"/>
    <w:uiPriority w:val="99"/>
    <w:rsid w:val="00CA62BF"/>
    <w:rPr>
      <w:rFonts w:ascii="Verdana" w:hAnsi="Verdana"/>
      <w:b/>
      <w:bCs/>
      <w:color w:val="4C6968" w:themeColor="accent1"/>
      <w:sz w:val="24"/>
      <w:szCs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sid w:val="03773003"/>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bCs/>
      <w:color w:val="4C6968" w:themeColor="accent1"/>
      <w:sz w:val="50"/>
      <w:szCs w:val="50"/>
      <w:lang w:eastAsia="en-US"/>
    </w:rPr>
  </w:style>
  <w:style w:type="character" w:customStyle="1" w:styleId="Heading2Char">
    <w:name w:val="Heading 2 Char"/>
    <w:basedOn w:val="DefaultParagraphFont"/>
    <w:link w:val="Heading2"/>
    <w:uiPriority w:val="9"/>
    <w:rsid w:val="003268F7"/>
    <w:rPr>
      <w:rFonts w:ascii="Verdana" w:hAnsi="Verdana"/>
      <w:b/>
      <w:bCs/>
      <w:color w:val="48555E" w:themeColor="text2"/>
      <w:sz w:val="32"/>
      <w:szCs w:val="32"/>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spacing w:after="120"/>
      <w:ind w:left="369" w:hanging="369"/>
    </w:pPr>
  </w:style>
  <w:style w:type="paragraph" w:styleId="ListBullet2">
    <w:name w:val="List Bullet 2"/>
    <w:basedOn w:val="Normal"/>
    <w:uiPriority w:val="99"/>
    <w:unhideWhenUsed/>
    <w:pPr>
      <w:ind w:left="1440" w:hanging="360"/>
    </w:pPr>
  </w:style>
  <w:style w:type="numbering" w:customStyle="1" w:styleId="Attach">
    <w:name w:val="Attach"/>
    <w:basedOn w:val="NoList"/>
    <w:uiPriority w:val="99"/>
    <w:pPr>
      <w:numPr>
        <w:numId w:val="61"/>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iCs/>
      <w:color w:val="4C6968" w:themeColor="accent1"/>
      <w:sz w:val="20"/>
      <w:szCs w:val="20"/>
      <w:lang w:eastAsia="en-US"/>
    </w:rPr>
  </w:style>
  <w:style w:type="paragraph" w:styleId="ListNumber">
    <w:name w:val="List Number"/>
    <w:basedOn w:val="Normal"/>
    <w:uiPriority w:val="99"/>
    <w:qFormat/>
    <w:pPr>
      <w:numPr>
        <w:numId w:val="5"/>
      </w:numPr>
      <w:spacing w:before="120" w:after="120"/>
    </w:pPr>
  </w:style>
  <w:style w:type="paragraph" w:styleId="ListNumber2">
    <w:name w:val="List Number 2"/>
    <w:basedOn w:val="Normal"/>
    <w:uiPriority w:val="99"/>
    <w:rsid w:val="00FE0C2F"/>
    <w:pPr>
      <w:numPr>
        <w:ilvl w:val="1"/>
        <w:numId w:val="5"/>
      </w:numPr>
      <w:spacing w:after="120"/>
      <w:ind w:left="1440" w:hanging="360"/>
    </w:pPr>
    <w:rPr>
      <w:rFonts w:cs="Segoe UI"/>
    </w:rPr>
  </w:style>
  <w:style w:type="paragraph" w:styleId="ListNumber3">
    <w:name w:val="List Number 3"/>
    <w:basedOn w:val="Normal"/>
    <w:uiPriority w:val="99"/>
    <w:rsid w:val="00FE0C2F"/>
    <w:pPr>
      <w:numPr>
        <w:ilvl w:val="2"/>
        <w:numId w:val="5"/>
      </w:numPr>
      <w:spacing w:after="120"/>
      <w:ind w:left="1106" w:hanging="360"/>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3773003"/>
    <w:pPr>
      <w:spacing w:after="0"/>
      <w:contextualSpacing/>
    </w:pPr>
    <w:rPr>
      <w:rFonts w:eastAsiaTheme="majorEastAsia" w:cstheme="majorBidi"/>
      <w:b/>
      <w:bCs/>
      <w:color w:val="FFFFFF"/>
      <w:sz w:val="70"/>
      <w:szCs w:val="70"/>
    </w:rPr>
  </w:style>
  <w:style w:type="character" w:customStyle="1" w:styleId="TitleChar">
    <w:name w:val="Title Char"/>
    <w:basedOn w:val="DefaultParagraphFont"/>
    <w:link w:val="Title"/>
    <w:uiPriority w:val="10"/>
    <w:rsid w:val="00473F5B"/>
    <w:rPr>
      <w:rFonts w:ascii="Verdana" w:eastAsiaTheme="majorEastAsia" w:hAnsi="Verdana" w:cstheme="majorBidi"/>
      <w:b/>
      <w:bCs/>
      <w:color w:val="FFFFFF"/>
      <w:sz w:val="70"/>
      <w:szCs w:val="70"/>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uiPriority w:val="1"/>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3773003"/>
    <w:rPr>
      <w:b/>
      <w:bCs/>
      <w:szCs w:val="20"/>
    </w:rPr>
  </w:style>
  <w:style w:type="character" w:customStyle="1" w:styleId="CommentSubjectChar">
    <w:name w:val="Comment Subject Char"/>
    <w:basedOn w:val="DefaultParagraphFont"/>
    <w:link w:val="CommentSubject"/>
    <w:uiPriority w:val="99"/>
    <w:semiHidden/>
    <w:rsid w:val="00CA62BF"/>
    <w:rPr>
      <w:rFonts w:ascii="Verdana" w:hAnsi="Verdana"/>
      <w:b/>
      <w:bCs/>
      <w:sz w:val="20"/>
      <w:szCs w:val="20"/>
      <w:lang w:eastAsia="en-US"/>
    </w:rPr>
  </w:style>
  <w:style w:type="paragraph" w:styleId="NormalWeb">
    <w:name w:val="Normal (Web)"/>
    <w:basedOn w:val="Normal"/>
    <w:uiPriority w:val="99"/>
    <w:semiHidden/>
    <w:unhideWhenUsed/>
    <w:rsid w:val="03773003"/>
    <w:pPr>
      <w:spacing w:beforeAutospacing="1" w:afterAutospacing="1"/>
    </w:pPr>
    <w:rPr>
      <w:rFonts w:ascii="Times New Roman" w:eastAsia="Times New Roman" w:hAnsi="Times New Roman"/>
      <w:szCs w:val="20"/>
      <w:lang w:eastAsia="en-AU"/>
    </w:rPr>
  </w:style>
  <w:style w:type="paragraph" w:customStyle="1" w:styleId="TableText">
    <w:name w:val="Table Text"/>
    <w:basedOn w:val="Normal"/>
    <w:uiPriority w:val="1"/>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uiPriority w:val="1"/>
    <w:qFormat/>
    <w:rsid w:val="03773003"/>
    <w:pPr>
      <w:spacing w:before="240" w:after="120"/>
    </w:pPr>
    <w:rPr>
      <w:color w:val="4C6968" w:themeColor="accent1"/>
      <w:szCs w:val="20"/>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3773003"/>
    <w:pPr>
      <w:spacing w:before="360" w:after="160"/>
    </w:pPr>
    <w:rPr>
      <w:rFonts w:eastAsiaTheme="minorEastAsia" w:cstheme="minorBidi"/>
      <w:color w:val="FFFFFF"/>
      <w:sz w:val="30"/>
      <w:szCs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z w:val="30"/>
      <w:szCs w:val="30"/>
      <w:lang w:eastAsia="en-US"/>
    </w:rPr>
  </w:style>
  <w:style w:type="paragraph" w:customStyle="1" w:styleId="Author">
    <w:name w:val="Author"/>
    <w:basedOn w:val="Normal"/>
    <w:uiPriority w:val="1"/>
    <w:qFormat/>
    <w:rsid w:val="00E56ACF"/>
    <w:pPr>
      <w:spacing w:before="600" w:after="120"/>
    </w:pPr>
    <w:rPr>
      <w:color w:val="FFFFFF"/>
    </w:rPr>
  </w:style>
  <w:style w:type="paragraph" w:customStyle="1" w:styleId="IntroductionParagraph">
    <w:name w:val="Introduction Paragraph"/>
    <w:basedOn w:val="Normal"/>
    <w:uiPriority w:val="1"/>
    <w:qFormat/>
    <w:rsid w:val="002C07A5"/>
    <w:pPr>
      <w:spacing w:after="360"/>
    </w:pPr>
    <w:rPr>
      <w:b/>
      <w:color w:val="FFFFFF"/>
      <w:sz w:val="28"/>
    </w:rPr>
  </w:style>
  <w:style w:type="paragraph" w:customStyle="1" w:styleId="NormalWhite">
    <w:name w:val="Normal White"/>
    <w:basedOn w:val="Normal"/>
    <w:uiPriority w:val="1"/>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uiPriority w:val="39"/>
    <w:unhideWhenUsed/>
    <w:rsid w:val="03773003"/>
    <w:pPr>
      <w:tabs>
        <w:tab w:val="right" w:leader="dot" w:pos="9628"/>
      </w:tabs>
      <w:spacing w:after="100"/>
      <w:ind w:left="200"/>
    </w:pPr>
    <w:rPr>
      <w:noProof/>
      <w:szCs w:val="20"/>
    </w:rPr>
  </w:style>
  <w:style w:type="paragraph" w:styleId="TOC1">
    <w:name w:val="toc 1"/>
    <w:basedOn w:val="Normal"/>
    <w:next w:val="Normal"/>
    <w:uiPriority w:val="39"/>
    <w:unhideWhenUsed/>
    <w:rsid w:val="03773003"/>
    <w:pPr>
      <w:tabs>
        <w:tab w:val="right" w:leader="dot" w:pos="9628"/>
      </w:tabs>
      <w:spacing w:before="240" w:after="100"/>
    </w:pPr>
    <w:rPr>
      <w:b/>
      <w:bCs/>
      <w:noProof/>
      <w:color w:val="48555E" w:themeColor="text2"/>
      <w:sz w:val="24"/>
      <w:szCs w:val="24"/>
    </w:rPr>
  </w:style>
  <w:style w:type="paragraph" w:styleId="TOC3">
    <w:name w:val="toc 3"/>
    <w:basedOn w:val="Normal"/>
    <w:next w:val="Normal"/>
    <w:uiPriority w:val="39"/>
    <w:unhideWhenUsed/>
    <w:rsid w:val="03773003"/>
    <w:pPr>
      <w:tabs>
        <w:tab w:val="right" w:leader="dot" w:pos="9628"/>
      </w:tabs>
      <w:spacing w:after="100"/>
      <w:ind w:left="400"/>
    </w:pPr>
    <w:rPr>
      <w:noProof/>
      <w:szCs w:val="20"/>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uiPriority w:val="1"/>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3773003"/>
    <w:pPr>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Verdana" w:hAnsi="Verdana"/>
      <w:sz w:val="20"/>
      <w:szCs w:val="20"/>
      <w:lang w:eastAsia="en-US"/>
    </w:rPr>
  </w:style>
  <w:style w:type="paragraph" w:styleId="FootnoteText">
    <w:name w:val="footnote text"/>
    <w:basedOn w:val="Normal"/>
    <w:link w:val="FootnoteTextChar"/>
    <w:uiPriority w:val="99"/>
    <w:semiHidden/>
    <w:unhideWhenUsed/>
    <w:rsid w:val="03773003"/>
    <w:pPr>
      <w:spacing w:after="0"/>
    </w:pPr>
    <w:rPr>
      <w:szCs w:val="20"/>
    </w:rPr>
  </w:style>
  <w:style w:type="paragraph" w:styleId="Revision">
    <w:name w:val="Revision"/>
    <w:hidden/>
    <w:uiPriority w:val="99"/>
    <w:semiHidden/>
    <w:rsid w:val="003A0825"/>
    <w:rPr>
      <w:rFonts w:ascii="Verdana" w:hAnsi="Verdana"/>
      <w:sz w:val="20"/>
      <w:lang w:eastAsia="en-US"/>
    </w:rPr>
  </w:style>
  <w:style w:type="paragraph" w:styleId="Caption">
    <w:name w:val="caption"/>
    <w:basedOn w:val="Normal"/>
    <w:next w:val="Normal"/>
    <w:uiPriority w:val="35"/>
    <w:unhideWhenUsed/>
    <w:qFormat/>
    <w:rsid w:val="00372E1A"/>
    <w:rPr>
      <w:i/>
      <w:iCs/>
      <w:color w:val="48555E" w:themeColor="text2"/>
      <w:sz w:val="18"/>
      <w:szCs w:val="18"/>
    </w:rPr>
  </w:style>
  <w:style w:type="paragraph" w:customStyle="1" w:styleId="pf0">
    <w:name w:val="pf0"/>
    <w:basedOn w:val="Normal"/>
    <w:uiPriority w:val="1"/>
    <w:rsid w:val="03773003"/>
    <w:pPr>
      <w:spacing w:beforeAutospacing="1" w:afterAutospacing="1"/>
    </w:pPr>
    <w:rPr>
      <w:rFonts w:ascii="Times New Roman" w:eastAsia="Times New Roman" w:hAnsi="Times New Roman"/>
      <w:sz w:val="24"/>
      <w:szCs w:val="24"/>
      <w:lang w:eastAsia="en-AU"/>
    </w:rPr>
  </w:style>
  <w:style w:type="character" w:customStyle="1" w:styleId="cf01">
    <w:name w:val="cf01"/>
    <w:basedOn w:val="DefaultParagraphFont"/>
    <w:rsid w:val="000656E2"/>
    <w:rPr>
      <w:rFonts w:ascii="Segoe UI" w:hAnsi="Segoe UI" w:cs="Segoe UI" w:hint="default"/>
      <w:sz w:val="18"/>
      <w:szCs w:val="18"/>
    </w:rPr>
  </w:style>
  <w:style w:type="paragraph" w:styleId="EndnoteText">
    <w:name w:val="endnote text"/>
    <w:basedOn w:val="Normal"/>
    <w:link w:val="EndnoteTextChar"/>
    <w:uiPriority w:val="99"/>
    <w:semiHidden/>
    <w:unhideWhenUsed/>
    <w:rsid w:val="03773003"/>
    <w:pPr>
      <w:spacing w:after="0"/>
    </w:pPr>
    <w:rPr>
      <w:szCs w:val="20"/>
    </w:rPr>
  </w:style>
  <w:style w:type="character" w:customStyle="1" w:styleId="EndnoteTextChar">
    <w:name w:val="Endnote Text Char"/>
    <w:basedOn w:val="DefaultParagraphFont"/>
    <w:link w:val="EndnoteText"/>
    <w:uiPriority w:val="99"/>
    <w:semiHidden/>
    <w:rsid w:val="00E6788B"/>
    <w:rPr>
      <w:rFonts w:ascii="Verdana" w:hAnsi="Verdana"/>
      <w:sz w:val="20"/>
      <w:szCs w:val="20"/>
      <w:lang w:eastAsia="en-US"/>
    </w:rPr>
  </w:style>
  <w:style w:type="character" w:styleId="EndnoteReference">
    <w:name w:val="endnote reference"/>
    <w:basedOn w:val="DefaultParagraphFont"/>
    <w:uiPriority w:val="99"/>
    <w:semiHidden/>
    <w:unhideWhenUsed/>
    <w:rsid w:val="00E6788B"/>
    <w:rPr>
      <w:vertAlign w:val="superscript"/>
    </w:rPr>
  </w:style>
  <w:style w:type="character" w:styleId="Mention">
    <w:name w:val="Mention"/>
    <w:basedOn w:val="DefaultParagraphFont"/>
    <w:uiPriority w:val="99"/>
    <w:unhideWhenUsed/>
    <w:rsid w:val="00857D84"/>
    <w:rPr>
      <w:color w:val="2B579A"/>
      <w:shd w:val="clear" w:color="auto" w:fill="E1DFDD"/>
    </w:rPr>
  </w:style>
  <w:style w:type="paragraph" w:styleId="TableofFigures">
    <w:name w:val="table of figures"/>
    <w:basedOn w:val="Normal"/>
    <w:next w:val="Normal"/>
    <w:uiPriority w:val="99"/>
    <w:unhideWhenUsed/>
    <w:rsid w:val="00B73964"/>
    <w:pPr>
      <w:spacing w:after="0"/>
    </w:pPr>
  </w:style>
  <w:style w:type="paragraph" w:styleId="TOCHeading">
    <w:name w:val="TOC Heading"/>
    <w:basedOn w:val="Heading1"/>
    <w:next w:val="Normal"/>
    <w:uiPriority w:val="39"/>
    <w:unhideWhenUsed/>
    <w:qFormat/>
    <w:rsid w:val="00A37A05"/>
    <w:pPr>
      <w:keepNext/>
      <w:keepLines/>
      <w:pageBreakBefore w:val="0"/>
      <w:tabs>
        <w:tab w:val="clear" w:pos="4513"/>
        <w:tab w:val="clear" w:pos="9026"/>
      </w:tabs>
      <w:spacing w:before="240" w:after="0"/>
      <w:outlineLvl w:val="9"/>
    </w:pPr>
    <w:rPr>
      <w:rFonts w:asciiTheme="majorHAnsi" w:eastAsiaTheme="majorEastAsia" w:hAnsiTheme="majorHAnsi" w:cstheme="majorBidi"/>
      <w:b w:val="0"/>
      <w:color w:val="384E4D"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4284">
      <w:bodyDiv w:val="1"/>
      <w:marLeft w:val="0"/>
      <w:marRight w:val="0"/>
      <w:marTop w:val="0"/>
      <w:marBottom w:val="0"/>
      <w:divBdr>
        <w:top w:val="none" w:sz="0" w:space="0" w:color="auto"/>
        <w:left w:val="none" w:sz="0" w:space="0" w:color="auto"/>
        <w:bottom w:val="none" w:sz="0" w:space="0" w:color="auto"/>
        <w:right w:val="none" w:sz="0" w:space="0" w:color="auto"/>
      </w:divBdr>
    </w:div>
    <w:div w:id="110320150">
      <w:bodyDiv w:val="1"/>
      <w:marLeft w:val="0"/>
      <w:marRight w:val="0"/>
      <w:marTop w:val="0"/>
      <w:marBottom w:val="0"/>
      <w:divBdr>
        <w:top w:val="none" w:sz="0" w:space="0" w:color="auto"/>
        <w:left w:val="none" w:sz="0" w:space="0" w:color="auto"/>
        <w:bottom w:val="none" w:sz="0" w:space="0" w:color="auto"/>
        <w:right w:val="none" w:sz="0" w:space="0" w:color="auto"/>
      </w:divBdr>
    </w:div>
    <w:div w:id="117914820">
      <w:bodyDiv w:val="1"/>
      <w:marLeft w:val="0"/>
      <w:marRight w:val="0"/>
      <w:marTop w:val="0"/>
      <w:marBottom w:val="0"/>
      <w:divBdr>
        <w:top w:val="none" w:sz="0" w:space="0" w:color="auto"/>
        <w:left w:val="none" w:sz="0" w:space="0" w:color="auto"/>
        <w:bottom w:val="none" w:sz="0" w:space="0" w:color="auto"/>
        <w:right w:val="none" w:sz="0" w:space="0" w:color="auto"/>
      </w:divBdr>
    </w:div>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240314">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334919933">
      <w:bodyDiv w:val="1"/>
      <w:marLeft w:val="0"/>
      <w:marRight w:val="0"/>
      <w:marTop w:val="0"/>
      <w:marBottom w:val="0"/>
      <w:divBdr>
        <w:top w:val="none" w:sz="0" w:space="0" w:color="auto"/>
        <w:left w:val="none" w:sz="0" w:space="0" w:color="auto"/>
        <w:bottom w:val="none" w:sz="0" w:space="0" w:color="auto"/>
        <w:right w:val="none" w:sz="0" w:space="0" w:color="auto"/>
      </w:divBdr>
    </w:div>
    <w:div w:id="343898150">
      <w:bodyDiv w:val="1"/>
      <w:marLeft w:val="0"/>
      <w:marRight w:val="0"/>
      <w:marTop w:val="0"/>
      <w:marBottom w:val="0"/>
      <w:divBdr>
        <w:top w:val="none" w:sz="0" w:space="0" w:color="auto"/>
        <w:left w:val="none" w:sz="0" w:space="0" w:color="auto"/>
        <w:bottom w:val="none" w:sz="0" w:space="0" w:color="auto"/>
        <w:right w:val="none" w:sz="0" w:space="0" w:color="auto"/>
      </w:divBdr>
    </w:div>
    <w:div w:id="349718473">
      <w:bodyDiv w:val="1"/>
      <w:marLeft w:val="0"/>
      <w:marRight w:val="0"/>
      <w:marTop w:val="0"/>
      <w:marBottom w:val="0"/>
      <w:divBdr>
        <w:top w:val="none" w:sz="0" w:space="0" w:color="auto"/>
        <w:left w:val="none" w:sz="0" w:space="0" w:color="auto"/>
        <w:bottom w:val="none" w:sz="0" w:space="0" w:color="auto"/>
        <w:right w:val="none" w:sz="0" w:space="0" w:color="auto"/>
      </w:divBdr>
    </w:div>
    <w:div w:id="390813686">
      <w:bodyDiv w:val="1"/>
      <w:marLeft w:val="0"/>
      <w:marRight w:val="0"/>
      <w:marTop w:val="0"/>
      <w:marBottom w:val="0"/>
      <w:divBdr>
        <w:top w:val="none" w:sz="0" w:space="0" w:color="auto"/>
        <w:left w:val="none" w:sz="0" w:space="0" w:color="auto"/>
        <w:bottom w:val="none" w:sz="0" w:space="0" w:color="auto"/>
        <w:right w:val="none" w:sz="0" w:space="0" w:color="auto"/>
      </w:divBdr>
    </w:div>
    <w:div w:id="392047234">
      <w:bodyDiv w:val="1"/>
      <w:marLeft w:val="0"/>
      <w:marRight w:val="0"/>
      <w:marTop w:val="0"/>
      <w:marBottom w:val="0"/>
      <w:divBdr>
        <w:top w:val="none" w:sz="0" w:space="0" w:color="auto"/>
        <w:left w:val="none" w:sz="0" w:space="0" w:color="auto"/>
        <w:bottom w:val="none" w:sz="0" w:space="0" w:color="auto"/>
        <w:right w:val="none" w:sz="0" w:space="0" w:color="auto"/>
      </w:divBdr>
    </w:div>
    <w:div w:id="412093799">
      <w:bodyDiv w:val="1"/>
      <w:marLeft w:val="0"/>
      <w:marRight w:val="0"/>
      <w:marTop w:val="0"/>
      <w:marBottom w:val="0"/>
      <w:divBdr>
        <w:top w:val="none" w:sz="0" w:space="0" w:color="auto"/>
        <w:left w:val="none" w:sz="0" w:space="0" w:color="auto"/>
        <w:bottom w:val="none" w:sz="0" w:space="0" w:color="auto"/>
        <w:right w:val="none" w:sz="0" w:space="0" w:color="auto"/>
      </w:divBdr>
    </w:div>
    <w:div w:id="436297773">
      <w:bodyDiv w:val="1"/>
      <w:marLeft w:val="0"/>
      <w:marRight w:val="0"/>
      <w:marTop w:val="0"/>
      <w:marBottom w:val="0"/>
      <w:divBdr>
        <w:top w:val="none" w:sz="0" w:space="0" w:color="auto"/>
        <w:left w:val="none" w:sz="0" w:space="0" w:color="auto"/>
        <w:bottom w:val="none" w:sz="0" w:space="0" w:color="auto"/>
        <w:right w:val="none" w:sz="0" w:space="0" w:color="auto"/>
      </w:divBdr>
    </w:div>
    <w:div w:id="559362336">
      <w:bodyDiv w:val="1"/>
      <w:marLeft w:val="0"/>
      <w:marRight w:val="0"/>
      <w:marTop w:val="0"/>
      <w:marBottom w:val="0"/>
      <w:divBdr>
        <w:top w:val="none" w:sz="0" w:space="0" w:color="auto"/>
        <w:left w:val="none" w:sz="0" w:space="0" w:color="auto"/>
        <w:bottom w:val="none" w:sz="0" w:space="0" w:color="auto"/>
        <w:right w:val="none" w:sz="0" w:space="0" w:color="auto"/>
      </w:divBdr>
    </w:div>
    <w:div w:id="737824562">
      <w:bodyDiv w:val="1"/>
      <w:marLeft w:val="0"/>
      <w:marRight w:val="0"/>
      <w:marTop w:val="0"/>
      <w:marBottom w:val="0"/>
      <w:divBdr>
        <w:top w:val="none" w:sz="0" w:space="0" w:color="auto"/>
        <w:left w:val="none" w:sz="0" w:space="0" w:color="auto"/>
        <w:bottom w:val="none" w:sz="0" w:space="0" w:color="auto"/>
        <w:right w:val="none" w:sz="0" w:space="0" w:color="auto"/>
      </w:divBdr>
    </w:div>
    <w:div w:id="741636235">
      <w:bodyDiv w:val="1"/>
      <w:marLeft w:val="0"/>
      <w:marRight w:val="0"/>
      <w:marTop w:val="0"/>
      <w:marBottom w:val="0"/>
      <w:divBdr>
        <w:top w:val="none" w:sz="0" w:space="0" w:color="auto"/>
        <w:left w:val="none" w:sz="0" w:space="0" w:color="auto"/>
        <w:bottom w:val="none" w:sz="0" w:space="0" w:color="auto"/>
        <w:right w:val="none" w:sz="0" w:space="0" w:color="auto"/>
      </w:divBdr>
    </w:div>
    <w:div w:id="800196248">
      <w:bodyDiv w:val="1"/>
      <w:marLeft w:val="0"/>
      <w:marRight w:val="0"/>
      <w:marTop w:val="0"/>
      <w:marBottom w:val="0"/>
      <w:divBdr>
        <w:top w:val="none" w:sz="0" w:space="0" w:color="auto"/>
        <w:left w:val="none" w:sz="0" w:space="0" w:color="auto"/>
        <w:bottom w:val="none" w:sz="0" w:space="0" w:color="auto"/>
        <w:right w:val="none" w:sz="0" w:space="0" w:color="auto"/>
      </w:divBdr>
    </w:div>
    <w:div w:id="802697446">
      <w:bodyDiv w:val="1"/>
      <w:marLeft w:val="0"/>
      <w:marRight w:val="0"/>
      <w:marTop w:val="0"/>
      <w:marBottom w:val="0"/>
      <w:divBdr>
        <w:top w:val="none" w:sz="0" w:space="0" w:color="auto"/>
        <w:left w:val="none" w:sz="0" w:space="0" w:color="auto"/>
        <w:bottom w:val="none" w:sz="0" w:space="0" w:color="auto"/>
        <w:right w:val="none" w:sz="0" w:space="0" w:color="auto"/>
      </w:divBdr>
    </w:div>
    <w:div w:id="853227533">
      <w:bodyDiv w:val="1"/>
      <w:marLeft w:val="0"/>
      <w:marRight w:val="0"/>
      <w:marTop w:val="0"/>
      <w:marBottom w:val="0"/>
      <w:divBdr>
        <w:top w:val="none" w:sz="0" w:space="0" w:color="auto"/>
        <w:left w:val="none" w:sz="0" w:space="0" w:color="auto"/>
        <w:bottom w:val="none" w:sz="0" w:space="0" w:color="auto"/>
        <w:right w:val="none" w:sz="0" w:space="0" w:color="auto"/>
      </w:divBdr>
    </w:div>
    <w:div w:id="898057951">
      <w:bodyDiv w:val="1"/>
      <w:marLeft w:val="0"/>
      <w:marRight w:val="0"/>
      <w:marTop w:val="0"/>
      <w:marBottom w:val="0"/>
      <w:divBdr>
        <w:top w:val="none" w:sz="0" w:space="0" w:color="auto"/>
        <w:left w:val="none" w:sz="0" w:space="0" w:color="auto"/>
        <w:bottom w:val="none" w:sz="0" w:space="0" w:color="auto"/>
        <w:right w:val="none" w:sz="0" w:space="0" w:color="auto"/>
      </w:divBdr>
    </w:div>
    <w:div w:id="915288150">
      <w:bodyDiv w:val="1"/>
      <w:marLeft w:val="0"/>
      <w:marRight w:val="0"/>
      <w:marTop w:val="0"/>
      <w:marBottom w:val="0"/>
      <w:divBdr>
        <w:top w:val="none" w:sz="0" w:space="0" w:color="auto"/>
        <w:left w:val="none" w:sz="0" w:space="0" w:color="auto"/>
        <w:bottom w:val="none" w:sz="0" w:space="0" w:color="auto"/>
        <w:right w:val="none" w:sz="0" w:space="0" w:color="auto"/>
      </w:divBdr>
    </w:div>
    <w:div w:id="1021590788">
      <w:bodyDiv w:val="1"/>
      <w:marLeft w:val="0"/>
      <w:marRight w:val="0"/>
      <w:marTop w:val="0"/>
      <w:marBottom w:val="0"/>
      <w:divBdr>
        <w:top w:val="none" w:sz="0" w:space="0" w:color="auto"/>
        <w:left w:val="none" w:sz="0" w:space="0" w:color="auto"/>
        <w:bottom w:val="none" w:sz="0" w:space="0" w:color="auto"/>
        <w:right w:val="none" w:sz="0" w:space="0" w:color="auto"/>
      </w:divBdr>
      <w:divsChild>
        <w:div w:id="196550199">
          <w:blockQuote w:val="1"/>
          <w:marLeft w:val="600"/>
          <w:marRight w:val="0"/>
          <w:marTop w:val="120"/>
          <w:marBottom w:val="120"/>
          <w:divBdr>
            <w:top w:val="none" w:sz="0" w:space="0" w:color="auto"/>
            <w:left w:val="none" w:sz="0" w:space="0" w:color="auto"/>
            <w:bottom w:val="none" w:sz="0" w:space="0" w:color="auto"/>
            <w:right w:val="none" w:sz="0" w:space="0" w:color="auto"/>
          </w:divBdr>
        </w:div>
        <w:div w:id="215162791">
          <w:blockQuote w:val="1"/>
          <w:marLeft w:val="600"/>
          <w:marRight w:val="0"/>
          <w:marTop w:val="120"/>
          <w:marBottom w:val="120"/>
          <w:divBdr>
            <w:top w:val="none" w:sz="0" w:space="0" w:color="auto"/>
            <w:left w:val="none" w:sz="0" w:space="0" w:color="auto"/>
            <w:bottom w:val="none" w:sz="0" w:space="0" w:color="auto"/>
            <w:right w:val="none" w:sz="0" w:space="0" w:color="auto"/>
          </w:divBdr>
        </w:div>
        <w:div w:id="1637833835">
          <w:blockQuote w:val="1"/>
          <w:marLeft w:val="600"/>
          <w:marRight w:val="0"/>
          <w:marTop w:val="120"/>
          <w:marBottom w:val="120"/>
          <w:divBdr>
            <w:top w:val="none" w:sz="0" w:space="0" w:color="auto"/>
            <w:left w:val="none" w:sz="0" w:space="0" w:color="auto"/>
            <w:bottom w:val="none" w:sz="0" w:space="0" w:color="auto"/>
            <w:right w:val="none" w:sz="0" w:space="0" w:color="auto"/>
          </w:divBdr>
        </w:div>
        <w:div w:id="18158785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5664870">
              <w:blockQuote w:val="1"/>
              <w:marLeft w:val="600"/>
              <w:marRight w:val="0"/>
              <w:marTop w:val="120"/>
              <w:marBottom w:val="120"/>
              <w:divBdr>
                <w:top w:val="none" w:sz="0" w:space="0" w:color="auto"/>
                <w:left w:val="none" w:sz="0" w:space="0" w:color="auto"/>
                <w:bottom w:val="none" w:sz="0" w:space="0" w:color="auto"/>
                <w:right w:val="none" w:sz="0" w:space="0" w:color="auto"/>
              </w:divBdr>
            </w:div>
            <w:div w:id="8633260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31422349">
      <w:bodyDiv w:val="1"/>
      <w:marLeft w:val="0"/>
      <w:marRight w:val="0"/>
      <w:marTop w:val="0"/>
      <w:marBottom w:val="0"/>
      <w:divBdr>
        <w:top w:val="none" w:sz="0" w:space="0" w:color="auto"/>
        <w:left w:val="none" w:sz="0" w:space="0" w:color="auto"/>
        <w:bottom w:val="none" w:sz="0" w:space="0" w:color="auto"/>
        <w:right w:val="none" w:sz="0" w:space="0" w:color="auto"/>
      </w:divBdr>
    </w:div>
    <w:div w:id="1039551735">
      <w:bodyDiv w:val="1"/>
      <w:marLeft w:val="0"/>
      <w:marRight w:val="0"/>
      <w:marTop w:val="0"/>
      <w:marBottom w:val="0"/>
      <w:divBdr>
        <w:top w:val="none" w:sz="0" w:space="0" w:color="auto"/>
        <w:left w:val="none" w:sz="0" w:space="0" w:color="auto"/>
        <w:bottom w:val="none" w:sz="0" w:space="0" w:color="auto"/>
        <w:right w:val="none" w:sz="0" w:space="0" w:color="auto"/>
      </w:divBdr>
    </w:div>
    <w:div w:id="1039890605">
      <w:bodyDiv w:val="1"/>
      <w:marLeft w:val="0"/>
      <w:marRight w:val="0"/>
      <w:marTop w:val="0"/>
      <w:marBottom w:val="0"/>
      <w:divBdr>
        <w:top w:val="none" w:sz="0" w:space="0" w:color="auto"/>
        <w:left w:val="none" w:sz="0" w:space="0" w:color="auto"/>
        <w:bottom w:val="none" w:sz="0" w:space="0" w:color="auto"/>
        <w:right w:val="none" w:sz="0" w:space="0" w:color="auto"/>
      </w:divBdr>
    </w:div>
    <w:div w:id="1062942225">
      <w:bodyDiv w:val="1"/>
      <w:marLeft w:val="0"/>
      <w:marRight w:val="0"/>
      <w:marTop w:val="0"/>
      <w:marBottom w:val="0"/>
      <w:divBdr>
        <w:top w:val="none" w:sz="0" w:space="0" w:color="auto"/>
        <w:left w:val="none" w:sz="0" w:space="0" w:color="auto"/>
        <w:bottom w:val="none" w:sz="0" w:space="0" w:color="auto"/>
        <w:right w:val="none" w:sz="0" w:space="0" w:color="auto"/>
      </w:divBdr>
    </w:div>
    <w:div w:id="1137576497">
      <w:bodyDiv w:val="1"/>
      <w:marLeft w:val="0"/>
      <w:marRight w:val="0"/>
      <w:marTop w:val="0"/>
      <w:marBottom w:val="0"/>
      <w:divBdr>
        <w:top w:val="none" w:sz="0" w:space="0" w:color="auto"/>
        <w:left w:val="none" w:sz="0" w:space="0" w:color="auto"/>
        <w:bottom w:val="none" w:sz="0" w:space="0" w:color="auto"/>
        <w:right w:val="none" w:sz="0" w:space="0" w:color="auto"/>
      </w:divBdr>
    </w:div>
    <w:div w:id="1183474186">
      <w:bodyDiv w:val="1"/>
      <w:marLeft w:val="0"/>
      <w:marRight w:val="0"/>
      <w:marTop w:val="0"/>
      <w:marBottom w:val="0"/>
      <w:divBdr>
        <w:top w:val="none" w:sz="0" w:space="0" w:color="auto"/>
        <w:left w:val="none" w:sz="0" w:space="0" w:color="auto"/>
        <w:bottom w:val="none" w:sz="0" w:space="0" w:color="auto"/>
        <w:right w:val="none" w:sz="0" w:space="0" w:color="auto"/>
      </w:divBdr>
    </w:div>
    <w:div w:id="1265309111">
      <w:bodyDiv w:val="1"/>
      <w:marLeft w:val="0"/>
      <w:marRight w:val="0"/>
      <w:marTop w:val="0"/>
      <w:marBottom w:val="0"/>
      <w:divBdr>
        <w:top w:val="none" w:sz="0" w:space="0" w:color="auto"/>
        <w:left w:val="none" w:sz="0" w:space="0" w:color="auto"/>
        <w:bottom w:val="none" w:sz="0" w:space="0" w:color="auto"/>
        <w:right w:val="none" w:sz="0" w:space="0" w:color="auto"/>
      </w:divBdr>
    </w:div>
    <w:div w:id="1267228003">
      <w:bodyDiv w:val="1"/>
      <w:marLeft w:val="0"/>
      <w:marRight w:val="0"/>
      <w:marTop w:val="0"/>
      <w:marBottom w:val="0"/>
      <w:divBdr>
        <w:top w:val="none" w:sz="0" w:space="0" w:color="auto"/>
        <w:left w:val="none" w:sz="0" w:space="0" w:color="auto"/>
        <w:bottom w:val="none" w:sz="0" w:space="0" w:color="auto"/>
        <w:right w:val="none" w:sz="0" w:space="0" w:color="auto"/>
      </w:divBdr>
    </w:div>
    <w:div w:id="1269703560">
      <w:bodyDiv w:val="1"/>
      <w:marLeft w:val="0"/>
      <w:marRight w:val="0"/>
      <w:marTop w:val="0"/>
      <w:marBottom w:val="0"/>
      <w:divBdr>
        <w:top w:val="none" w:sz="0" w:space="0" w:color="auto"/>
        <w:left w:val="none" w:sz="0" w:space="0" w:color="auto"/>
        <w:bottom w:val="none" w:sz="0" w:space="0" w:color="auto"/>
        <w:right w:val="none" w:sz="0" w:space="0" w:color="auto"/>
      </w:divBdr>
    </w:div>
    <w:div w:id="1346129274">
      <w:bodyDiv w:val="1"/>
      <w:marLeft w:val="0"/>
      <w:marRight w:val="0"/>
      <w:marTop w:val="0"/>
      <w:marBottom w:val="0"/>
      <w:divBdr>
        <w:top w:val="none" w:sz="0" w:space="0" w:color="auto"/>
        <w:left w:val="none" w:sz="0" w:space="0" w:color="auto"/>
        <w:bottom w:val="none" w:sz="0" w:space="0" w:color="auto"/>
        <w:right w:val="none" w:sz="0" w:space="0" w:color="auto"/>
      </w:divBdr>
    </w:div>
    <w:div w:id="1353916586">
      <w:bodyDiv w:val="1"/>
      <w:marLeft w:val="0"/>
      <w:marRight w:val="0"/>
      <w:marTop w:val="0"/>
      <w:marBottom w:val="0"/>
      <w:divBdr>
        <w:top w:val="none" w:sz="0" w:space="0" w:color="auto"/>
        <w:left w:val="none" w:sz="0" w:space="0" w:color="auto"/>
        <w:bottom w:val="none" w:sz="0" w:space="0" w:color="auto"/>
        <w:right w:val="none" w:sz="0" w:space="0" w:color="auto"/>
      </w:divBdr>
    </w:div>
    <w:div w:id="1410274570">
      <w:bodyDiv w:val="1"/>
      <w:marLeft w:val="0"/>
      <w:marRight w:val="0"/>
      <w:marTop w:val="0"/>
      <w:marBottom w:val="0"/>
      <w:divBdr>
        <w:top w:val="none" w:sz="0" w:space="0" w:color="auto"/>
        <w:left w:val="none" w:sz="0" w:space="0" w:color="auto"/>
        <w:bottom w:val="none" w:sz="0" w:space="0" w:color="auto"/>
        <w:right w:val="none" w:sz="0" w:space="0" w:color="auto"/>
      </w:divBdr>
    </w:div>
    <w:div w:id="1430926611">
      <w:bodyDiv w:val="1"/>
      <w:marLeft w:val="0"/>
      <w:marRight w:val="0"/>
      <w:marTop w:val="0"/>
      <w:marBottom w:val="0"/>
      <w:divBdr>
        <w:top w:val="none" w:sz="0" w:space="0" w:color="auto"/>
        <w:left w:val="none" w:sz="0" w:space="0" w:color="auto"/>
        <w:bottom w:val="none" w:sz="0" w:space="0" w:color="auto"/>
        <w:right w:val="none" w:sz="0" w:space="0" w:color="auto"/>
      </w:divBdr>
    </w:div>
    <w:div w:id="1441216611">
      <w:bodyDiv w:val="1"/>
      <w:marLeft w:val="0"/>
      <w:marRight w:val="0"/>
      <w:marTop w:val="0"/>
      <w:marBottom w:val="0"/>
      <w:divBdr>
        <w:top w:val="none" w:sz="0" w:space="0" w:color="auto"/>
        <w:left w:val="none" w:sz="0" w:space="0" w:color="auto"/>
        <w:bottom w:val="none" w:sz="0" w:space="0" w:color="auto"/>
        <w:right w:val="none" w:sz="0" w:space="0" w:color="auto"/>
      </w:divBdr>
    </w:div>
    <w:div w:id="1458796944">
      <w:bodyDiv w:val="1"/>
      <w:marLeft w:val="0"/>
      <w:marRight w:val="0"/>
      <w:marTop w:val="0"/>
      <w:marBottom w:val="0"/>
      <w:divBdr>
        <w:top w:val="none" w:sz="0" w:space="0" w:color="auto"/>
        <w:left w:val="none" w:sz="0" w:space="0" w:color="auto"/>
        <w:bottom w:val="none" w:sz="0" w:space="0" w:color="auto"/>
        <w:right w:val="none" w:sz="0" w:space="0" w:color="auto"/>
      </w:divBdr>
    </w:div>
    <w:div w:id="1485048540">
      <w:bodyDiv w:val="1"/>
      <w:marLeft w:val="0"/>
      <w:marRight w:val="0"/>
      <w:marTop w:val="0"/>
      <w:marBottom w:val="0"/>
      <w:divBdr>
        <w:top w:val="none" w:sz="0" w:space="0" w:color="auto"/>
        <w:left w:val="none" w:sz="0" w:space="0" w:color="auto"/>
        <w:bottom w:val="none" w:sz="0" w:space="0" w:color="auto"/>
        <w:right w:val="none" w:sz="0" w:space="0" w:color="auto"/>
      </w:divBdr>
    </w:div>
    <w:div w:id="1513106032">
      <w:bodyDiv w:val="1"/>
      <w:marLeft w:val="0"/>
      <w:marRight w:val="0"/>
      <w:marTop w:val="0"/>
      <w:marBottom w:val="0"/>
      <w:divBdr>
        <w:top w:val="none" w:sz="0" w:space="0" w:color="auto"/>
        <w:left w:val="none" w:sz="0" w:space="0" w:color="auto"/>
        <w:bottom w:val="none" w:sz="0" w:space="0" w:color="auto"/>
        <w:right w:val="none" w:sz="0" w:space="0" w:color="auto"/>
      </w:divBdr>
    </w:div>
    <w:div w:id="1526678322">
      <w:bodyDiv w:val="1"/>
      <w:marLeft w:val="0"/>
      <w:marRight w:val="0"/>
      <w:marTop w:val="0"/>
      <w:marBottom w:val="0"/>
      <w:divBdr>
        <w:top w:val="none" w:sz="0" w:space="0" w:color="auto"/>
        <w:left w:val="none" w:sz="0" w:space="0" w:color="auto"/>
        <w:bottom w:val="none" w:sz="0" w:space="0" w:color="auto"/>
        <w:right w:val="none" w:sz="0" w:space="0" w:color="auto"/>
      </w:divBdr>
    </w:div>
    <w:div w:id="1577546307">
      <w:bodyDiv w:val="1"/>
      <w:marLeft w:val="0"/>
      <w:marRight w:val="0"/>
      <w:marTop w:val="0"/>
      <w:marBottom w:val="0"/>
      <w:divBdr>
        <w:top w:val="none" w:sz="0" w:space="0" w:color="auto"/>
        <w:left w:val="none" w:sz="0" w:space="0" w:color="auto"/>
        <w:bottom w:val="none" w:sz="0" w:space="0" w:color="auto"/>
        <w:right w:val="none" w:sz="0" w:space="0" w:color="auto"/>
      </w:divBdr>
    </w:div>
    <w:div w:id="1581985453">
      <w:bodyDiv w:val="1"/>
      <w:marLeft w:val="0"/>
      <w:marRight w:val="0"/>
      <w:marTop w:val="0"/>
      <w:marBottom w:val="0"/>
      <w:divBdr>
        <w:top w:val="none" w:sz="0" w:space="0" w:color="auto"/>
        <w:left w:val="none" w:sz="0" w:space="0" w:color="auto"/>
        <w:bottom w:val="none" w:sz="0" w:space="0" w:color="auto"/>
        <w:right w:val="none" w:sz="0" w:space="0" w:color="auto"/>
      </w:divBdr>
    </w:div>
    <w:div w:id="1583178314">
      <w:bodyDiv w:val="1"/>
      <w:marLeft w:val="0"/>
      <w:marRight w:val="0"/>
      <w:marTop w:val="0"/>
      <w:marBottom w:val="0"/>
      <w:divBdr>
        <w:top w:val="none" w:sz="0" w:space="0" w:color="auto"/>
        <w:left w:val="none" w:sz="0" w:space="0" w:color="auto"/>
        <w:bottom w:val="none" w:sz="0" w:space="0" w:color="auto"/>
        <w:right w:val="none" w:sz="0" w:space="0" w:color="auto"/>
      </w:divBdr>
    </w:div>
    <w:div w:id="1598907508">
      <w:bodyDiv w:val="1"/>
      <w:marLeft w:val="0"/>
      <w:marRight w:val="0"/>
      <w:marTop w:val="0"/>
      <w:marBottom w:val="0"/>
      <w:divBdr>
        <w:top w:val="none" w:sz="0" w:space="0" w:color="auto"/>
        <w:left w:val="none" w:sz="0" w:space="0" w:color="auto"/>
        <w:bottom w:val="none" w:sz="0" w:space="0" w:color="auto"/>
        <w:right w:val="none" w:sz="0" w:space="0" w:color="auto"/>
      </w:divBdr>
    </w:div>
    <w:div w:id="1619336910">
      <w:bodyDiv w:val="1"/>
      <w:marLeft w:val="0"/>
      <w:marRight w:val="0"/>
      <w:marTop w:val="0"/>
      <w:marBottom w:val="0"/>
      <w:divBdr>
        <w:top w:val="none" w:sz="0" w:space="0" w:color="auto"/>
        <w:left w:val="none" w:sz="0" w:space="0" w:color="auto"/>
        <w:bottom w:val="none" w:sz="0" w:space="0" w:color="auto"/>
        <w:right w:val="none" w:sz="0" w:space="0" w:color="auto"/>
      </w:divBdr>
    </w:div>
    <w:div w:id="1677271633">
      <w:bodyDiv w:val="1"/>
      <w:marLeft w:val="0"/>
      <w:marRight w:val="0"/>
      <w:marTop w:val="0"/>
      <w:marBottom w:val="0"/>
      <w:divBdr>
        <w:top w:val="none" w:sz="0" w:space="0" w:color="auto"/>
        <w:left w:val="none" w:sz="0" w:space="0" w:color="auto"/>
        <w:bottom w:val="none" w:sz="0" w:space="0" w:color="auto"/>
        <w:right w:val="none" w:sz="0" w:space="0" w:color="auto"/>
      </w:divBdr>
    </w:div>
    <w:div w:id="1684167303">
      <w:bodyDiv w:val="1"/>
      <w:marLeft w:val="0"/>
      <w:marRight w:val="0"/>
      <w:marTop w:val="0"/>
      <w:marBottom w:val="0"/>
      <w:divBdr>
        <w:top w:val="none" w:sz="0" w:space="0" w:color="auto"/>
        <w:left w:val="none" w:sz="0" w:space="0" w:color="auto"/>
        <w:bottom w:val="none" w:sz="0" w:space="0" w:color="auto"/>
        <w:right w:val="none" w:sz="0" w:space="0" w:color="auto"/>
      </w:divBdr>
    </w:div>
    <w:div w:id="1696535068">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318202">
      <w:bodyDiv w:val="1"/>
      <w:marLeft w:val="0"/>
      <w:marRight w:val="0"/>
      <w:marTop w:val="0"/>
      <w:marBottom w:val="0"/>
      <w:divBdr>
        <w:top w:val="none" w:sz="0" w:space="0" w:color="auto"/>
        <w:left w:val="none" w:sz="0" w:space="0" w:color="auto"/>
        <w:bottom w:val="none" w:sz="0" w:space="0" w:color="auto"/>
        <w:right w:val="none" w:sz="0" w:space="0" w:color="auto"/>
      </w:divBdr>
    </w:div>
    <w:div w:id="1791969623">
      <w:bodyDiv w:val="1"/>
      <w:marLeft w:val="0"/>
      <w:marRight w:val="0"/>
      <w:marTop w:val="0"/>
      <w:marBottom w:val="0"/>
      <w:divBdr>
        <w:top w:val="none" w:sz="0" w:space="0" w:color="auto"/>
        <w:left w:val="none" w:sz="0" w:space="0" w:color="auto"/>
        <w:bottom w:val="none" w:sz="0" w:space="0" w:color="auto"/>
        <w:right w:val="none" w:sz="0" w:space="0" w:color="auto"/>
      </w:divBdr>
    </w:div>
    <w:div w:id="1834443494">
      <w:bodyDiv w:val="1"/>
      <w:marLeft w:val="0"/>
      <w:marRight w:val="0"/>
      <w:marTop w:val="0"/>
      <w:marBottom w:val="0"/>
      <w:divBdr>
        <w:top w:val="none" w:sz="0" w:space="0" w:color="auto"/>
        <w:left w:val="none" w:sz="0" w:space="0" w:color="auto"/>
        <w:bottom w:val="none" w:sz="0" w:space="0" w:color="auto"/>
        <w:right w:val="none" w:sz="0" w:space="0" w:color="auto"/>
      </w:divBdr>
    </w:div>
    <w:div w:id="1847671853">
      <w:bodyDiv w:val="1"/>
      <w:marLeft w:val="0"/>
      <w:marRight w:val="0"/>
      <w:marTop w:val="0"/>
      <w:marBottom w:val="0"/>
      <w:divBdr>
        <w:top w:val="none" w:sz="0" w:space="0" w:color="auto"/>
        <w:left w:val="none" w:sz="0" w:space="0" w:color="auto"/>
        <w:bottom w:val="none" w:sz="0" w:space="0" w:color="auto"/>
        <w:right w:val="none" w:sz="0" w:space="0" w:color="auto"/>
      </w:divBdr>
    </w:div>
    <w:div w:id="1916157734">
      <w:bodyDiv w:val="1"/>
      <w:marLeft w:val="0"/>
      <w:marRight w:val="0"/>
      <w:marTop w:val="0"/>
      <w:marBottom w:val="0"/>
      <w:divBdr>
        <w:top w:val="none" w:sz="0" w:space="0" w:color="auto"/>
        <w:left w:val="none" w:sz="0" w:space="0" w:color="auto"/>
        <w:bottom w:val="none" w:sz="0" w:space="0" w:color="auto"/>
        <w:right w:val="none" w:sz="0" w:space="0" w:color="auto"/>
      </w:divBdr>
    </w:div>
    <w:div w:id="1942958154">
      <w:bodyDiv w:val="1"/>
      <w:marLeft w:val="0"/>
      <w:marRight w:val="0"/>
      <w:marTop w:val="0"/>
      <w:marBottom w:val="0"/>
      <w:divBdr>
        <w:top w:val="none" w:sz="0" w:space="0" w:color="auto"/>
        <w:left w:val="none" w:sz="0" w:space="0" w:color="auto"/>
        <w:bottom w:val="none" w:sz="0" w:space="0" w:color="auto"/>
        <w:right w:val="none" w:sz="0" w:space="0" w:color="auto"/>
      </w:divBdr>
    </w:div>
    <w:div w:id="1943368811">
      <w:bodyDiv w:val="1"/>
      <w:marLeft w:val="0"/>
      <w:marRight w:val="0"/>
      <w:marTop w:val="0"/>
      <w:marBottom w:val="0"/>
      <w:divBdr>
        <w:top w:val="none" w:sz="0" w:space="0" w:color="auto"/>
        <w:left w:val="none" w:sz="0" w:space="0" w:color="auto"/>
        <w:bottom w:val="none" w:sz="0" w:space="0" w:color="auto"/>
        <w:right w:val="none" w:sz="0" w:space="0" w:color="auto"/>
      </w:divBdr>
    </w:div>
    <w:div w:id="1963807265">
      <w:bodyDiv w:val="1"/>
      <w:marLeft w:val="0"/>
      <w:marRight w:val="0"/>
      <w:marTop w:val="0"/>
      <w:marBottom w:val="0"/>
      <w:divBdr>
        <w:top w:val="none" w:sz="0" w:space="0" w:color="auto"/>
        <w:left w:val="none" w:sz="0" w:space="0" w:color="auto"/>
        <w:bottom w:val="none" w:sz="0" w:space="0" w:color="auto"/>
        <w:right w:val="none" w:sz="0" w:space="0" w:color="auto"/>
      </w:divBdr>
    </w:div>
    <w:div w:id="2098138072">
      <w:bodyDiv w:val="1"/>
      <w:marLeft w:val="0"/>
      <w:marRight w:val="0"/>
      <w:marTop w:val="0"/>
      <w:marBottom w:val="0"/>
      <w:divBdr>
        <w:top w:val="none" w:sz="0" w:space="0" w:color="auto"/>
        <w:left w:val="none" w:sz="0" w:space="0" w:color="auto"/>
        <w:bottom w:val="none" w:sz="0" w:space="0" w:color="auto"/>
        <w:right w:val="none" w:sz="0" w:space="0" w:color="auto"/>
      </w:divBdr>
    </w:div>
    <w:div w:id="2101825765">
      <w:bodyDiv w:val="1"/>
      <w:marLeft w:val="0"/>
      <w:marRight w:val="0"/>
      <w:marTop w:val="0"/>
      <w:marBottom w:val="0"/>
      <w:divBdr>
        <w:top w:val="none" w:sz="0" w:space="0" w:color="auto"/>
        <w:left w:val="none" w:sz="0" w:space="0" w:color="auto"/>
        <w:bottom w:val="none" w:sz="0" w:space="0" w:color="auto"/>
        <w:right w:val="none" w:sz="0" w:space="0" w:color="auto"/>
      </w:divBdr>
    </w:div>
    <w:div w:id="21334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header" Target="header1.xml"/><Relationship Id="rId26" Type="http://schemas.openxmlformats.org/officeDocument/2006/relationships/hyperlink" Target="https://www.nsw.gov.au/departments-and-agencies/dcceew"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hyperlink" Target="https://www.mdba.gov.au/"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contact@igwc.gov.au" TargetMode="External"/><Relationship Id="rId20" Type="http://schemas.openxmlformats.org/officeDocument/2006/relationships/footer" Target="footer1.xml"/><Relationship Id="rId29" Type="http://schemas.openxmlformats.org/officeDocument/2006/relationships/hyperlink" Target="https://www.environment.s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cceew.gov.au/" TargetMode="External"/><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igwc.gov.au/publications/reviews-reports" TargetMode="External"/><Relationship Id="rId23" Type="http://schemas.openxmlformats.org/officeDocument/2006/relationships/footer" Target="footer3.xml"/><Relationship Id="rId28" Type="http://schemas.openxmlformats.org/officeDocument/2006/relationships/hyperlink" Target="https://www.dlgwv.qld.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deeca.vic.gov.au/" TargetMode="External"/><Relationship Id="rId30" Type="http://schemas.openxmlformats.org/officeDocument/2006/relationships/hyperlink" Target="https://www.act.gov.au/environmen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mdba.gov.au/sites/default/files/publications/framework-for-the-2025-basin-plan-evaluation.pdf" TargetMode="External"/><Relationship Id="rId2" Type="http://schemas.openxmlformats.org/officeDocument/2006/relationships/hyperlink" Target="https://www.anao.gov.au/work/performance-audit/strategic-water-purchasing-bridging-the-gap-2023" TargetMode="External"/><Relationship Id="rId1" Type="http://schemas.openxmlformats.org/officeDocument/2006/relationships/hyperlink" Target="https://www.igwc.gov.au/sites/default/files/2022-09/steady-as-it-flows-report.pdf" TargetMode="External"/><Relationship Id="rId6" Type="http://schemas.openxmlformats.org/officeDocument/2006/relationships/hyperlink" Target="https://www.igwc.gov.au/publications/reviews-reports" TargetMode="External"/><Relationship Id="rId5" Type="http://schemas.openxmlformats.org/officeDocument/2006/relationships/hyperlink" Target="https://www.igwc.gov.au/publications/reviews-reports" TargetMode="External"/><Relationship Id="rId4" Type="http://schemas.openxmlformats.org/officeDocument/2006/relationships/hyperlink" Target="https://www.igwc.gov.au/sites/default/files/2024-06/5652-igwc-placemat-2-understanding-audie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216EC-DB41-4290-B348-7119C932A8FE}">
  <ds:schemaRefs>
    <ds:schemaRef ds:uri="a95247a4-6a6b-40fb-87b6-0fb2f012c536"/>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d81c2681-db7b-4a56-9abd-a3238a78f6b2"/>
    <ds:schemaRef ds:uri="http://purl.org/dc/terms/"/>
    <ds:schemaRef ds:uri="3831e8a4-9d05-4fa9-b62b-4dc281877bbf"/>
    <ds:schemaRef ds:uri="05ae9dfb-8234-4dee-b010-b18fc1d24d34"/>
    <ds:schemaRef ds:uri="http://schemas.microsoft.com/sharepoint/v3"/>
    <ds:schemaRef ds:uri="http://purl.org/dc/dcmitype/"/>
  </ds:schemaRefs>
</ds:datastoreItem>
</file>

<file path=customXml/itemProps2.xml><?xml version="1.0" encoding="utf-8"?>
<ds:datastoreItem xmlns:ds="http://schemas.openxmlformats.org/officeDocument/2006/customXml" ds:itemID="{881995EA-D2AE-4C2A-9B32-D36FA04BDEB1}"/>
</file>

<file path=customXml/itemProps3.xml><?xml version="1.0" encoding="utf-8"?>
<ds:datastoreItem xmlns:ds="http://schemas.openxmlformats.org/officeDocument/2006/customXml" ds:itemID="{8B398950-EB20-4468-B638-6765B2EB08A7}">
  <ds:schemaRefs>
    <ds:schemaRef ds:uri="http://schemas.microsoft.com/sharepoint/v3/contenttype/forms"/>
  </ds:schemaRefs>
</ds:datastoreItem>
</file>

<file path=customXml/itemProps4.xml><?xml version="1.0" encoding="utf-8"?>
<ds:datastoreItem xmlns:ds="http://schemas.openxmlformats.org/officeDocument/2006/customXml" ds:itemID="{0AA917BE-C534-4FF0-8360-57A4E96DABAF}">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3163</TotalTime>
  <Pages>22</Pages>
  <Words>6920</Words>
  <Characters>39448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evaluation reporting of environmental outcomes - stocktake report</dc:title>
  <dc:subject/>
  <dc:creator/>
  <cp:keywords/>
  <dc:description/>
  <cp:lastModifiedBy>Mishell YE ZHOU</cp:lastModifiedBy>
  <cp:revision>248</cp:revision>
  <dcterms:created xsi:type="dcterms:W3CDTF">2025-05-25T11:58:00Z</dcterms:created>
  <dcterms:modified xsi:type="dcterms:W3CDTF">2025-06-13T05:37:00Z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ClassificationContentMarkingHeaderText">
    <vt:lpwstr>OFFICIAL</vt:lpwstr>
  </property>
  <property fmtid="{D5CDD505-2E9C-101B-9397-08002B2CF9AE}" pid="4" name="MediaServiceImageTags">
    <vt:lpwstr/>
  </property>
  <property fmtid="{D5CDD505-2E9C-101B-9397-08002B2CF9AE}" pid="5" name="ContentTypeId">
    <vt:lpwstr>0x010100D001B2BE74D025469E1D0E28F10DD2C8</vt:lpwstr>
  </property>
  <property fmtid="{D5CDD505-2E9C-101B-9397-08002B2CF9AE}" pid="6" name="ClassificationContentMarkingHeaderFontProps">
    <vt:lpwstr>#ff0000,12,Calibri</vt:lpwstr>
  </property>
  <property fmtid="{D5CDD505-2E9C-101B-9397-08002B2CF9AE}" pid="7" name="ClassificationContentMarkingFooterShapeIds">
    <vt:lpwstr>27dd4e32,6023818c,1dca80ef,45e0b26c,1bab856,7bf55a97</vt:lpwstr>
  </property>
  <property fmtid="{D5CDD505-2E9C-101B-9397-08002B2CF9AE}" pid="8" name="ClassificationContentMarkingHeaderShapeIds">
    <vt:lpwstr>2df76397,6a3e7bf1,4361ebab,4245bab3,4adbc37a,2bc27194</vt:lpwstr>
  </property>
  <property fmtid="{D5CDD505-2E9C-101B-9397-08002B2CF9AE}" pid="9" name="ClassificationContentMarkingFooterFontProps">
    <vt:lpwstr>#ff0000,12,Calibri</vt:lpwstr>
  </property>
</Properties>
</file>