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2C73F" w14:textId="209F9E56" w:rsidR="00473F5B" w:rsidRDefault="00B41C33" w:rsidP="00473F5B">
      <w:pPr>
        <w:pStyle w:val="Title"/>
      </w:pPr>
      <w:r>
        <w:t>Productivity Commission National Water Reform Inquiry</w:t>
      </w:r>
    </w:p>
    <w:p w14:paraId="6568BD23" w14:textId="7527F3D1" w:rsidR="00473F5B" w:rsidRDefault="00B41C33" w:rsidP="00E56ACF">
      <w:pPr>
        <w:pStyle w:val="Subtitle"/>
      </w:pPr>
      <w:r>
        <w:t>Interim Report</w:t>
      </w:r>
      <w:r w:rsidR="00674478">
        <w:t xml:space="preserve"> Submission</w:t>
      </w:r>
    </w:p>
    <w:p w14:paraId="723B916E" w14:textId="617EAF7F" w:rsidR="00473F5B" w:rsidRPr="00473F5B" w:rsidRDefault="004D7F47" w:rsidP="00E56ACF">
      <w:pPr>
        <w:pStyle w:val="Author"/>
      </w:pPr>
      <w:r w:rsidRPr="00E82B66">
        <w:t>24 April 2024</w:t>
      </w:r>
    </w:p>
    <w:p w14:paraId="07FC3C62" w14:textId="1A99C961" w:rsidR="00473F5B" w:rsidRDefault="00473F5B">
      <w:pPr>
        <w:spacing w:after="0"/>
        <w:rPr>
          <w:b/>
          <w:color w:val="FFFFFF"/>
          <w:sz w:val="60"/>
          <w:szCs w:val="24"/>
        </w:rPr>
      </w:pPr>
      <w:r>
        <w:br w:type="page"/>
      </w:r>
    </w:p>
    <w:p w14:paraId="3481D538" w14:textId="01C53F82" w:rsidR="00473F5B" w:rsidRDefault="00473F5B" w:rsidP="006318A8">
      <w:r>
        <w:lastRenderedPageBreak/>
        <w:br w:type="page"/>
      </w:r>
    </w:p>
    <w:p w14:paraId="75AAC00F" w14:textId="13D05347" w:rsidR="00473F5B" w:rsidRDefault="00473F5B" w:rsidP="00473F5B">
      <w:pPr>
        <w:pStyle w:val="Heading1"/>
      </w:pPr>
      <w:bookmarkStart w:id="0" w:name="_Toc105590117"/>
      <w:bookmarkStart w:id="1" w:name="_Toc105590325"/>
      <w:bookmarkStart w:id="2" w:name="_Toc164235807"/>
      <w:r>
        <w:lastRenderedPageBreak/>
        <w:t>Table of Contents</w:t>
      </w:r>
      <w:bookmarkEnd w:id="0"/>
      <w:bookmarkEnd w:id="1"/>
      <w:bookmarkEnd w:id="2"/>
    </w:p>
    <w:p w14:paraId="7DB5C07A" w14:textId="0E80EDF0" w:rsidR="00D84614" w:rsidRDefault="0066217F">
      <w:pPr>
        <w:pStyle w:val="TOC1"/>
        <w:rPr>
          <w:rFonts w:asciiTheme="minorHAnsi" w:eastAsiaTheme="minorEastAsia" w:hAnsiTheme="minorHAnsi" w:cstheme="minorBidi"/>
          <w:b w:val="0"/>
          <w:color w:val="auto"/>
          <w:kern w:val="2"/>
          <w:sz w:val="22"/>
          <w:lang w:eastAsia="en-AU"/>
          <w14:ligatures w14:val="standardContextual"/>
        </w:rPr>
      </w:pPr>
      <w:r>
        <w:fldChar w:fldCharType="begin"/>
      </w:r>
      <w:r>
        <w:instrText xml:space="preserve"> TOC \o "1-3" \h \z \u </w:instrText>
      </w:r>
      <w:r>
        <w:fldChar w:fldCharType="separate"/>
      </w:r>
      <w:hyperlink w:anchor="_Toc164235807" w:history="1">
        <w:r w:rsidR="00D84614" w:rsidRPr="003E03DA">
          <w:rPr>
            <w:rStyle w:val="Hyperlink"/>
          </w:rPr>
          <w:t>Table of Contents</w:t>
        </w:r>
        <w:r w:rsidR="00D84614">
          <w:rPr>
            <w:webHidden/>
          </w:rPr>
          <w:tab/>
        </w:r>
        <w:r w:rsidR="00D84614">
          <w:rPr>
            <w:webHidden/>
          </w:rPr>
          <w:fldChar w:fldCharType="begin"/>
        </w:r>
        <w:r w:rsidR="00D84614">
          <w:rPr>
            <w:webHidden/>
          </w:rPr>
          <w:instrText xml:space="preserve"> PAGEREF _Toc164235807 \h </w:instrText>
        </w:r>
        <w:r w:rsidR="00D84614">
          <w:rPr>
            <w:webHidden/>
          </w:rPr>
        </w:r>
        <w:r w:rsidR="00D84614">
          <w:rPr>
            <w:webHidden/>
          </w:rPr>
          <w:fldChar w:fldCharType="separate"/>
        </w:r>
        <w:r w:rsidR="00D84614">
          <w:rPr>
            <w:webHidden/>
          </w:rPr>
          <w:t>3</w:t>
        </w:r>
        <w:r w:rsidR="00D84614">
          <w:rPr>
            <w:webHidden/>
          </w:rPr>
          <w:fldChar w:fldCharType="end"/>
        </w:r>
      </w:hyperlink>
    </w:p>
    <w:p w14:paraId="40A5F7E4" w14:textId="57AC5816" w:rsidR="00D84614" w:rsidRDefault="00D84614">
      <w:pPr>
        <w:pStyle w:val="TOC1"/>
        <w:rPr>
          <w:rFonts w:asciiTheme="minorHAnsi" w:eastAsiaTheme="minorEastAsia" w:hAnsiTheme="minorHAnsi" w:cstheme="minorBidi"/>
          <w:b w:val="0"/>
          <w:color w:val="auto"/>
          <w:kern w:val="2"/>
          <w:sz w:val="22"/>
          <w:lang w:eastAsia="en-AU"/>
          <w14:ligatures w14:val="standardContextual"/>
        </w:rPr>
      </w:pPr>
      <w:hyperlink w:anchor="_Toc164235808" w:history="1">
        <w:r w:rsidRPr="003E03DA">
          <w:rPr>
            <w:rStyle w:val="Hyperlink"/>
          </w:rPr>
          <w:t>Introduction</w:t>
        </w:r>
        <w:r>
          <w:rPr>
            <w:webHidden/>
          </w:rPr>
          <w:tab/>
        </w:r>
        <w:r>
          <w:rPr>
            <w:webHidden/>
          </w:rPr>
          <w:fldChar w:fldCharType="begin"/>
        </w:r>
        <w:r>
          <w:rPr>
            <w:webHidden/>
          </w:rPr>
          <w:instrText xml:space="preserve"> PAGEREF _Toc164235808 \h </w:instrText>
        </w:r>
        <w:r>
          <w:rPr>
            <w:webHidden/>
          </w:rPr>
        </w:r>
        <w:r>
          <w:rPr>
            <w:webHidden/>
          </w:rPr>
          <w:fldChar w:fldCharType="separate"/>
        </w:r>
        <w:r>
          <w:rPr>
            <w:webHidden/>
          </w:rPr>
          <w:t>4</w:t>
        </w:r>
        <w:r>
          <w:rPr>
            <w:webHidden/>
          </w:rPr>
          <w:fldChar w:fldCharType="end"/>
        </w:r>
      </w:hyperlink>
    </w:p>
    <w:p w14:paraId="3A23AB23" w14:textId="68E66528" w:rsidR="00D84614" w:rsidRDefault="00D84614">
      <w:pPr>
        <w:pStyle w:val="TOC2"/>
        <w:rPr>
          <w:rFonts w:asciiTheme="minorHAnsi" w:eastAsiaTheme="minorEastAsia" w:hAnsiTheme="minorHAnsi" w:cstheme="minorBidi"/>
          <w:kern w:val="2"/>
          <w:sz w:val="22"/>
          <w:lang w:eastAsia="en-AU"/>
          <w14:ligatures w14:val="standardContextual"/>
        </w:rPr>
      </w:pPr>
      <w:hyperlink w:anchor="_Toc164235809" w:history="1">
        <w:r w:rsidRPr="003E03DA">
          <w:rPr>
            <w:rStyle w:val="Hyperlink"/>
          </w:rPr>
          <w:t>About the Inspector-General of Water Compliance</w:t>
        </w:r>
        <w:r>
          <w:rPr>
            <w:webHidden/>
          </w:rPr>
          <w:tab/>
        </w:r>
        <w:r>
          <w:rPr>
            <w:webHidden/>
          </w:rPr>
          <w:fldChar w:fldCharType="begin"/>
        </w:r>
        <w:r>
          <w:rPr>
            <w:webHidden/>
          </w:rPr>
          <w:instrText xml:space="preserve"> PAGEREF _Toc164235809 \h </w:instrText>
        </w:r>
        <w:r>
          <w:rPr>
            <w:webHidden/>
          </w:rPr>
        </w:r>
        <w:r>
          <w:rPr>
            <w:webHidden/>
          </w:rPr>
          <w:fldChar w:fldCharType="separate"/>
        </w:r>
        <w:r>
          <w:rPr>
            <w:webHidden/>
          </w:rPr>
          <w:t>4</w:t>
        </w:r>
        <w:r>
          <w:rPr>
            <w:webHidden/>
          </w:rPr>
          <w:fldChar w:fldCharType="end"/>
        </w:r>
      </w:hyperlink>
    </w:p>
    <w:p w14:paraId="0569383B" w14:textId="04FB0DAD" w:rsidR="00D84614" w:rsidRDefault="00D84614">
      <w:pPr>
        <w:pStyle w:val="TOC2"/>
        <w:rPr>
          <w:rFonts w:asciiTheme="minorHAnsi" w:eastAsiaTheme="minorEastAsia" w:hAnsiTheme="minorHAnsi" w:cstheme="minorBidi"/>
          <w:kern w:val="2"/>
          <w:sz w:val="22"/>
          <w:lang w:eastAsia="en-AU"/>
          <w14:ligatures w14:val="standardContextual"/>
        </w:rPr>
      </w:pPr>
      <w:hyperlink w:anchor="_Toc164235810" w:history="1">
        <w:r w:rsidRPr="003E03DA">
          <w:rPr>
            <w:rStyle w:val="Hyperlink"/>
          </w:rPr>
          <w:t>Structure of this submission</w:t>
        </w:r>
        <w:r>
          <w:rPr>
            <w:webHidden/>
          </w:rPr>
          <w:tab/>
        </w:r>
        <w:r>
          <w:rPr>
            <w:webHidden/>
          </w:rPr>
          <w:fldChar w:fldCharType="begin"/>
        </w:r>
        <w:r>
          <w:rPr>
            <w:webHidden/>
          </w:rPr>
          <w:instrText xml:space="preserve"> PAGEREF _Toc164235810 \h </w:instrText>
        </w:r>
        <w:r>
          <w:rPr>
            <w:webHidden/>
          </w:rPr>
        </w:r>
        <w:r>
          <w:rPr>
            <w:webHidden/>
          </w:rPr>
          <w:fldChar w:fldCharType="separate"/>
        </w:r>
        <w:r>
          <w:rPr>
            <w:webHidden/>
          </w:rPr>
          <w:t>5</w:t>
        </w:r>
        <w:r>
          <w:rPr>
            <w:webHidden/>
          </w:rPr>
          <w:fldChar w:fldCharType="end"/>
        </w:r>
      </w:hyperlink>
    </w:p>
    <w:p w14:paraId="309EF318" w14:textId="025E7BED" w:rsidR="00D84614" w:rsidRDefault="00D84614">
      <w:pPr>
        <w:pStyle w:val="TOC1"/>
        <w:rPr>
          <w:rFonts w:asciiTheme="minorHAnsi" w:eastAsiaTheme="minorEastAsia" w:hAnsiTheme="minorHAnsi" w:cstheme="minorBidi"/>
          <w:b w:val="0"/>
          <w:color w:val="auto"/>
          <w:kern w:val="2"/>
          <w:sz w:val="22"/>
          <w:lang w:eastAsia="en-AU"/>
          <w14:ligatures w14:val="standardContextual"/>
        </w:rPr>
      </w:pPr>
      <w:hyperlink w:anchor="_Toc164235811" w:history="1">
        <w:r w:rsidRPr="003E03DA">
          <w:rPr>
            <w:rStyle w:val="Hyperlink"/>
          </w:rPr>
          <w:t>Feedback on NWI renewal advice</w:t>
        </w:r>
        <w:r>
          <w:rPr>
            <w:webHidden/>
          </w:rPr>
          <w:tab/>
        </w:r>
        <w:r>
          <w:rPr>
            <w:webHidden/>
          </w:rPr>
          <w:fldChar w:fldCharType="begin"/>
        </w:r>
        <w:r>
          <w:rPr>
            <w:webHidden/>
          </w:rPr>
          <w:instrText xml:space="preserve"> PAGEREF _Toc164235811 \h </w:instrText>
        </w:r>
        <w:r>
          <w:rPr>
            <w:webHidden/>
          </w:rPr>
        </w:r>
        <w:r>
          <w:rPr>
            <w:webHidden/>
          </w:rPr>
          <w:fldChar w:fldCharType="separate"/>
        </w:r>
        <w:r>
          <w:rPr>
            <w:webHidden/>
          </w:rPr>
          <w:t>6</w:t>
        </w:r>
        <w:r>
          <w:rPr>
            <w:webHidden/>
          </w:rPr>
          <w:fldChar w:fldCharType="end"/>
        </w:r>
      </w:hyperlink>
    </w:p>
    <w:p w14:paraId="5CE0BA61" w14:textId="037D0CC9" w:rsidR="00D84614" w:rsidRDefault="00D84614">
      <w:pPr>
        <w:pStyle w:val="TOC2"/>
        <w:rPr>
          <w:rFonts w:asciiTheme="minorHAnsi" w:eastAsiaTheme="minorEastAsia" w:hAnsiTheme="minorHAnsi" w:cstheme="minorBidi"/>
          <w:kern w:val="2"/>
          <w:sz w:val="22"/>
          <w:lang w:eastAsia="en-AU"/>
          <w14:ligatures w14:val="standardContextual"/>
        </w:rPr>
      </w:pPr>
      <w:hyperlink w:anchor="_Toc164235812" w:history="1">
        <w:r w:rsidRPr="003E03DA">
          <w:rPr>
            <w:rStyle w:val="Hyperlink"/>
          </w:rPr>
          <w:t>Building in good governance for a renewed NWI</w:t>
        </w:r>
        <w:r>
          <w:rPr>
            <w:webHidden/>
          </w:rPr>
          <w:tab/>
        </w:r>
        <w:r>
          <w:rPr>
            <w:webHidden/>
          </w:rPr>
          <w:fldChar w:fldCharType="begin"/>
        </w:r>
        <w:r>
          <w:rPr>
            <w:webHidden/>
          </w:rPr>
          <w:instrText xml:space="preserve"> PAGEREF _Toc164235812 \h </w:instrText>
        </w:r>
        <w:r>
          <w:rPr>
            <w:webHidden/>
          </w:rPr>
        </w:r>
        <w:r>
          <w:rPr>
            <w:webHidden/>
          </w:rPr>
          <w:fldChar w:fldCharType="separate"/>
        </w:r>
        <w:r>
          <w:rPr>
            <w:webHidden/>
          </w:rPr>
          <w:t>6</w:t>
        </w:r>
        <w:r>
          <w:rPr>
            <w:webHidden/>
          </w:rPr>
          <w:fldChar w:fldCharType="end"/>
        </w:r>
      </w:hyperlink>
    </w:p>
    <w:p w14:paraId="345B1333" w14:textId="630B91B4" w:rsidR="00D84614" w:rsidRDefault="00D84614">
      <w:pPr>
        <w:pStyle w:val="TOC2"/>
        <w:rPr>
          <w:rFonts w:asciiTheme="minorHAnsi" w:eastAsiaTheme="minorEastAsia" w:hAnsiTheme="minorHAnsi" w:cstheme="minorBidi"/>
          <w:kern w:val="2"/>
          <w:sz w:val="22"/>
          <w:lang w:eastAsia="en-AU"/>
          <w14:ligatures w14:val="standardContextual"/>
        </w:rPr>
      </w:pPr>
      <w:hyperlink w:anchor="_Toc164235813" w:history="1">
        <w:r w:rsidRPr="003E03DA">
          <w:rPr>
            <w:rStyle w:val="Hyperlink"/>
          </w:rPr>
          <w:t>Water resource management – a fit-for-purpose framework</w:t>
        </w:r>
        <w:r>
          <w:rPr>
            <w:webHidden/>
          </w:rPr>
          <w:tab/>
        </w:r>
        <w:r>
          <w:rPr>
            <w:webHidden/>
          </w:rPr>
          <w:fldChar w:fldCharType="begin"/>
        </w:r>
        <w:r>
          <w:rPr>
            <w:webHidden/>
          </w:rPr>
          <w:instrText xml:space="preserve"> PAGEREF _Toc164235813 \h </w:instrText>
        </w:r>
        <w:r>
          <w:rPr>
            <w:webHidden/>
          </w:rPr>
        </w:r>
        <w:r>
          <w:rPr>
            <w:webHidden/>
          </w:rPr>
          <w:fldChar w:fldCharType="separate"/>
        </w:r>
        <w:r>
          <w:rPr>
            <w:webHidden/>
          </w:rPr>
          <w:t>7</w:t>
        </w:r>
        <w:r>
          <w:rPr>
            <w:webHidden/>
          </w:rPr>
          <w:fldChar w:fldCharType="end"/>
        </w:r>
      </w:hyperlink>
    </w:p>
    <w:p w14:paraId="24FC5DF3" w14:textId="4E417538" w:rsidR="00D84614" w:rsidRDefault="00D84614">
      <w:pPr>
        <w:pStyle w:val="TOC2"/>
        <w:rPr>
          <w:rFonts w:asciiTheme="minorHAnsi" w:eastAsiaTheme="minorEastAsia" w:hAnsiTheme="minorHAnsi" w:cstheme="minorBidi"/>
          <w:kern w:val="2"/>
          <w:sz w:val="22"/>
          <w:lang w:eastAsia="en-AU"/>
          <w14:ligatures w14:val="standardContextual"/>
        </w:rPr>
      </w:pPr>
      <w:hyperlink w:anchor="_Toc164235814" w:history="1">
        <w:r w:rsidRPr="003E03DA">
          <w:rPr>
            <w:rStyle w:val="Hyperlink"/>
          </w:rPr>
          <w:t>Water entitlements and planning</w:t>
        </w:r>
        <w:r>
          <w:rPr>
            <w:webHidden/>
          </w:rPr>
          <w:tab/>
        </w:r>
        <w:r>
          <w:rPr>
            <w:webHidden/>
          </w:rPr>
          <w:fldChar w:fldCharType="begin"/>
        </w:r>
        <w:r>
          <w:rPr>
            <w:webHidden/>
          </w:rPr>
          <w:instrText xml:space="preserve"> PAGEREF _Toc164235814 \h </w:instrText>
        </w:r>
        <w:r>
          <w:rPr>
            <w:webHidden/>
          </w:rPr>
        </w:r>
        <w:r>
          <w:rPr>
            <w:webHidden/>
          </w:rPr>
          <w:fldChar w:fldCharType="separate"/>
        </w:r>
        <w:r>
          <w:rPr>
            <w:webHidden/>
          </w:rPr>
          <w:t>7</w:t>
        </w:r>
        <w:r>
          <w:rPr>
            <w:webHidden/>
          </w:rPr>
          <w:fldChar w:fldCharType="end"/>
        </w:r>
      </w:hyperlink>
    </w:p>
    <w:p w14:paraId="00AD05A1" w14:textId="731ECDCE" w:rsidR="00D84614" w:rsidRDefault="00D84614">
      <w:pPr>
        <w:pStyle w:val="TOC2"/>
        <w:rPr>
          <w:rFonts w:asciiTheme="minorHAnsi" w:eastAsiaTheme="minorEastAsia" w:hAnsiTheme="minorHAnsi" w:cstheme="minorBidi"/>
          <w:kern w:val="2"/>
          <w:sz w:val="22"/>
          <w:lang w:eastAsia="en-AU"/>
          <w14:ligatures w14:val="standardContextual"/>
        </w:rPr>
      </w:pPr>
      <w:hyperlink w:anchor="_Toc164235815" w:history="1">
        <w:r w:rsidRPr="003E03DA">
          <w:rPr>
            <w:rStyle w:val="Hyperlink"/>
          </w:rPr>
          <w:t>Water trading and markets</w:t>
        </w:r>
        <w:r>
          <w:rPr>
            <w:webHidden/>
          </w:rPr>
          <w:tab/>
        </w:r>
        <w:r>
          <w:rPr>
            <w:webHidden/>
          </w:rPr>
          <w:fldChar w:fldCharType="begin"/>
        </w:r>
        <w:r>
          <w:rPr>
            <w:webHidden/>
          </w:rPr>
          <w:instrText xml:space="preserve"> PAGEREF _Toc164235815 \h </w:instrText>
        </w:r>
        <w:r>
          <w:rPr>
            <w:webHidden/>
          </w:rPr>
        </w:r>
        <w:r>
          <w:rPr>
            <w:webHidden/>
          </w:rPr>
          <w:fldChar w:fldCharType="separate"/>
        </w:r>
        <w:r>
          <w:rPr>
            <w:webHidden/>
          </w:rPr>
          <w:t>7</w:t>
        </w:r>
        <w:r>
          <w:rPr>
            <w:webHidden/>
          </w:rPr>
          <w:fldChar w:fldCharType="end"/>
        </w:r>
      </w:hyperlink>
    </w:p>
    <w:p w14:paraId="08BD9682" w14:textId="704DEBA5" w:rsidR="00D84614" w:rsidRDefault="00D84614">
      <w:pPr>
        <w:pStyle w:val="TOC2"/>
        <w:rPr>
          <w:rFonts w:asciiTheme="minorHAnsi" w:eastAsiaTheme="minorEastAsia" w:hAnsiTheme="minorHAnsi" w:cstheme="minorBidi"/>
          <w:kern w:val="2"/>
          <w:sz w:val="22"/>
          <w:lang w:eastAsia="en-AU"/>
          <w14:ligatures w14:val="standardContextual"/>
        </w:rPr>
      </w:pPr>
      <w:hyperlink w:anchor="_Toc164235816" w:history="1">
        <w:r w:rsidRPr="003E03DA">
          <w:rPr>
            <w:rStyle w:val="Hyperlink"/>
          </w:rPr>
          <w:t>Environmental management</w:t>
        </w:r>
        <w:r>
          <w:rPr>
            <w:webHidden/>
          </w:rPr>
          <w:tab/>
        </w:r>
        <w:r>
          <w:rPr>
            <w:webHidden/>
          </w:rPr>
          <w:fldChar w:fldCharType="begin"/>
        </w:r>
        <w:r>
          <w:rPr>
            <w:webHidden/>
          </w:rPr>
          <w:instrText xml:space="preserve"> PAGEREF _Toc164235816 \h </w:instrText>
        </w:r>
        <w:r>
          <w:rPr>
            <w:webHidden/>
          </w:rPr>
        </w:r>
        <w:r>
          <w:rPr>
            <w:webHidden/>
          </w:rPr>
          <w:fldChar w:fldCharType="separate"/>
        </w:r>
        <w:r>
          <w:rPr>
            <w:webHidden/>
          </w:rPr>
          <w:t>8</w:t>
        </w:r>
        <w:r>
          <w:rPr>
            <w:webHidden/>
          </w:rPr>
          <w:fldChar w:fldCharType="end"/>
        </w:r>
      </w:hyperlink>
    </w:p>
    <w:p w14:paraId="6C43A25C" w14:textId="53BF901A" w:rsidR="00D84614" w:rsidRDefault="00D84614">
      <w:pPr>
        <w:pStyle w:val="TOC2"/>
        <w:rPr>
          <w:rFonts w:asciiTheme="minorHAnsi" w:eastAsiaTheme="minorEastAsia" w:hAnsiTheme="minorHAnsi" w:cstheme="minorBidi"/>
          <w:kern w:val="2"/>
          <w:sz w:val="22"/>
          <w:lang w:eastAsia="en-AU"/>
          <w14:ligatures w14:val="standardContextual"/>
        </w:rPr>
      </w:pPr>
      <w:hyperlink w:anchor="_Toc164235817" w:history="1">
        <w:r w:rsidRPr="003E03DA">
          <w:rPr>
            <w:rStyle w:val="Hyperlink"/>
          </w:rPr>
          <w:t>Securing Aboriginal and Torres Strait Islander people’s interests in water</w:t>
        </w:r>
        <w:r>
          <w:rPr>
            <w:webHidden/>
          </w:rPr>
          <w:tab/>
        </w:r>
        <w:r>
          <w:rPr>
            <w:webHidden/>
          </w:rPr>
          <w:fldChar w:fldCharType="begin"/>
        </w:r>
        <w:r>
          <w:rPr>
            <w:webHidden/>
          </w:rPr>
          <w:instrText xml:space="preserve"> PAGEREF _Toc164235817 \h </w:instrText>
        </w:r>
        <w:r>
          <w:rPr>
            <w:webHidden/>
          </w:rPr>
        </w:r>
        <w:r>
          <w:rPr>
            <w:webHidden/>
          </w:rPr>
          <w:fldChar w:fldCharType="separate"/>
        </w:r>
        <w:r>
          <w:rPr>
            <w:webHidden/>
          </w:rPr>
          <w:t>8</w:t>
        </w:r>
        <w:r>
          <w:rPr>
            <w:webHidden/>
          </w:rPr>
          <w:fldChar w:fldCharType="end"/>
        </w:r>
      </w:hyperlink>
    </w:p>
    <w:p w14:paraId="79B8A468" w14:textId="4A3A52DF" w:rsidR="00D84614" w:rsidRDefault="00D84614">
      <w:pPr>
        <w:pStyle w:val="TOC2"/>
        <w:rPr>
          <w:rFonts w:asciiTheme="minorHAnsi" w:eastAsiaTheme="minorEastAsia" w:hAnsiTheme="minorHAnsi" w:cstheme="minorBidi"/>
          <w:kern w:val="2"/>
          <w:sz w:val="22"/>
          <w:lang w:eastAsia="en-AU"/>
          <w14:ligatures w14:val="standardContextual"/>
        </w:rPr>
      </w:pPr>
      <w:hyperlink w:anchor="_Toc164235818" w:history="1">
        <w:r w:rsidRPr="003E03DA">
          <w:rPr>
            <w:rStyle w:val="Hyperlink"/>
          </w:rPr>
          <w:t>Ensuring the integrity of water resource management</w:t>
        </w:r>
        <w:r>
          <w:rPr>
            <w:webHidden/>
          </w:rPr>
          <w:tab/>
        </w:r>
        <w:r>
          <w:rPr>
            <w:webHidden/>
          </w:rPr>
          <w:fldChar w:fldCharType="begin"/>
        </w:r>
        <w:r>
          <w:rPr>
            <w:webHidden/>
          </w:rPr>
          <w:instrText xml:space="preserve"> PAGEREF _Toc164235818 \h </w:instrText>
        </w:r>
        <w:r>
          <w:rPr>
            <w:webHidden/>
          </w:rPr>
        </w:r>
        <w:r>
          <w:rPr>
            <w:webHidden/>
          </w:rPr>
          <w:fldChar w:fldCharType="separate"/>
        </w:r>
        <w:r>
          <w:rPr>
            <w:webHidden/>
          </w:rPr>
          <w:t>9</w:t>
        </w:r>
        <w:r>
          <w:rPr>
            <w:webHidden/>
          </w:rPr>
          <w:fldChar w:fldCharType="end"/>
        </w:r>
      </w:hyperlink>
    </w:p>
    <w:p w14:paraId="3B88317A" w14:textId="7C36ADDD" w:rsidR="00D84614" w:rsidRDefault="00D84614">
      <w:pPr>
        <w:pStyle w:val="TOC2"/>
        <w:rPr>
          <w:rFonts w:asciiTheme="minorHAnsi" w:eastAsiaTheme="minorEastAsia" w:hAnsiTheme="minorHAnsi" w:cstheme="minorBidi"/>
          <w:kern w:val="2"/>
          <w:sz w:val="22"/>
          <w:lang w:eastAsia="en-AU"/>
          <w14:ligatures w14:val="standardContextual"/>
        </w:rPr>
      </w:pPr>
      <w:hyperlink w:anchor="_Toc164235819" w:history="1">
        <w:r w:rsidRPr="003E03DA">
          <w:rPr>
            <w:rStyle w:val="Hyperlink"/>
          </w:rPr>
          <w:t>Urban water services</w:t>
        </w:r>
        <w:r>
          <w:rPr>
            <w:webHidden/>
          </w:rPr>
          <w:tab/>
        </w:r>
        <w:r>
          <w:rPr>
            <w:webHidden/>
          </w:rPr>
          <w:fldChar w:fldCharType="begin"/>
        </w:r>
        <w:r>
          <w:rPr>
            <w:webHidden/>
          </w:rPr>
          <w:instrText xml:space="preserve"> PAGEREF _Toc164235819 \h </w:instrText>
        </w:r>
        <w:r>
          <w:rPr>
            <w:webHidden/>
          </w:rPr>
        </w:r>
        <w:r>
          <w:rPr>
            <w:webHidden/>
          </w:rPr>
          <w:fldChar w:fldCharType="separate"/>
        </w:r>
        <w:r>
          <w:rPr>
            <w:webHidden/>
          </w:rPr>
          <w:t>10</w:t>
        </w:r>
        <w:r>
          <w:rPr>
            <w:webHidden/>
          </w:rPr>
          <w:fldChar w:fldCharType="end"/>
        </w:r>
      </w:hyperlink>
    </w:p>
    <w:p w14:paraId="72DEED5C" w14:textId="7E4786F7" w:rsidR="00D84614" w:rsidRDefault="00D84614">
      <w:pPr>
        <w:pStyle w:val="TOC2"/>
        <w:rPr>
          <w:rFonts w:asciiTheme="minorHAnsi" w:eastAsiaTheme="minorEastAsia" w:hAnsiTheme="minorHAnsi" w:cstheme="minorBidi"/>
          <w:kern w:val="2"/>
          <w:sz w:val="22"/>
          <w:lang w:eastAsia="en-AU"/>
          <w14:ligatures w14:val="standardContextual"/>
        </w:rPr>
      </w:pPr>
      <w:hyperlink w:anchor="_Toc164235820" w:history="1">
        <w:r w:rsidRPr="003E03DA">
          <w:rPr>
            <w:rStyle w:val="Hyperlink"/>
          </w:rPr>
          <w:t>Government investment in major water infrastructure</w:t>
        </w:r>
        <w:r>
          <w:rPr>
            <w:webHidden/>
          </w:rPr>
          <w:tab/>
        </w:r>
        <w:r>
          <w:rPr>
            <w:webHidden/>
          </w:rPr>
          <w:fldChar w:fldCharType="begin"/>
        </w:r>
        <w:r>
          <w:rPr>
            <w:webHidden/>
          </w:rPr>
          <w:instrText xml:space="preserve"> PAGEREF _Toc164235820 \h </w:instrText>
        </w:r>
        <w:r>
          <w:rPr>
            <w:webHidden/>
          </w:rPr>
        </w:r>
        <w:r>
          <w:rPr>
            <w:webHidden/>
          </w:rPr>
          <w:fldChar w:fldCharType="separate"/>
        </w:r>
        <w:r>
          <w:rPr>
            <w:webHidden/>
          </w:rPr>
          <w:t>10</w:t>
        </w:r>
        <w:r>
          <w:rPr>
            <w:webHidden/>
          </w:rPr>
          <w:fldChar w:fldCharType="end"/>
        </w:r>
      </w:hyperlink>
    </w:p>
    <w:p w14:paraId="6D44CCAB" w14:textId="7D2057D7" w:rsidR="00D84614" w:rsidRDefault="00D84614">
      <w:pPr>
        <w:pStyle w:val="TOC1"/>
        <w:rPr>
          <w:rFonts w:asciiTheme="minorHAnsi" w:eastAsiaTheme="minorEastAsia" w:hAnsiTheme="minorHAnsi" w:cstheme="minorBidi"/>
          <w:b w:val="0"/>
          <w:color w:val="auto"/>
          <w:kern w:val="2"/>
          <w:sz w:val="22"/>
          <w:lang w:eastAsia="en-AU"/>
          <w14:ligatures w14:val="standardContextual"/>
        </w:rPr>
      </w:pPr>
      <w:hyperlink w:anchor="_Toc164235821" w:history="1">
        <w:r w:rsidRPr="003E03DA">
          <w:rPr>
            <w:rStyle w:val="Hyperlink"/>
          </w:rPr>
          <w:t>Expanding Commonwealth laws</w:t>
        </w:r>
        <w:r>
          <w:rPr>
            <w:webHidden/>
          </w:rPr>
          <w:tab/>
        </w:r>
        <w:r>
          <w:rPr>
            <w:webHidden/>
          </w:rPr>
          <w:fldChar w:fldCharType="begin"/>
        </w:r>
        <w:r>
          <w:rPr>
            <w:webHidden/>
          </w:rPr>
          <w:instrText xml:space="preserve"> PAGEREF _Toc164235821 \h </w:instrText>
        </w:r>
        <w:r>
          <w:rPr>
            <w:webHidden/>
          </w:rPr>
        </w:r>
        <w:r>
          <w:rPr>
            <w:webHidden/>
          </w:rPr>
          <w:fldChar w:fldCharType="separate"/>
        </w:r>
        <w:r>
          <w:rPr>
            <w:webHidden/>
          </w:rPr>
          <w:t>11</w:t>
        </w:r>
        <w:r>
          <w:rPr>
            <w:webHidden/>
          </w:rPr>
          <w:fldChar w:fldCharType="end"/>
        </w:r>
      </w:hyperlink>
    </w:p>
    <w:p w14:paraId="3E591AF5" w14:textId="036CABD8" w:rsidR="001C0F11" w:rsidRDefault="0066217F" w:rsidP="002C07A5">
      <w:r>
        <w:fldChar w:fldCharType="end"/>
      </w:r>
    </w:p>
    <w:p w14:paraId="3AAEBBA7" w14:textId="271951FA" w:rsidR="001C0F11" w:rsidRDefault="001C0F11" w:rsidP="004569A3"/>
    <w:p w14:paraId="25BC3F3D" w14:textId="5C61DABF" w:rsidR="001C0F11" w:rsidRDefault="001C0F11" w:rsidP="004569A3">
      <w:pPr>
        <w:sectPr w:rsidR="001C0F11" w:rsidSect="006346DD">
          <w:headerReference w:type="even" r:id="rId10"/>
          <w:headerReference w:type="default" r:id="rId11"/>
          <w:footerReference w:type="even" r:id="rId12"/>
          <w:footerReference w:type="default" r:id="rId13"/>
          <w:headerReference w:type="first" r:id="rId14"/>
          <w:footerReference w:type="first" r:id="rId15"/>
          <w:pgSz w:w="11906" w:h="16838"/>
          <w:pgMar w:top="1284" w:right="1134" w:bottom="816" w:left="1134" w:header="431" w:footer="999" w:gutter="0"/>
          <w:cols w:space="708"/>
          <w:titlePg/>
          <w:docGrid w:linePitch="360"/>
        </w:sectPr>
      </w:pPr>
    </w:p>
    <w:p w14:paraId="44DAB5FE" w14:textId="120A557D" w:rsidR="00473F5B" w:rsidRDefault="002F4079" w:rsidP="00473F5B">
      <w:pPr>
        <w:pStyle w:val="Heading1"/>
      </w:pPr>
      <w:bookmarkStart w:id="3" w:name="_Toc164235808"/>
      <w:r>
        <w:lastRenderedPageBreak/>
        <w:t>Introduction</w:t>
      </w:r>
      <w:bookmarkEnd w:id="3"/>
    </w:p>
    <w:p w14:paraId="58A88828" w14:textId="0F7E1274" w:rsidR="002F4079" w:rsidRDefault="00D65899" w:rsidP="002F4079">
      <w:r>
        <w:t xml:space="preserve">The 2004 </w:t>
      </w:r>
      <w:r w:rsidRPr="001F7B52">
        <w:rPr>
          <w:i/>
          <w:iCs/>
        </w:rPr>
        <w:t xml:space="preserve">Intergovernmental Agreement </w:t>
      </w:r>
      <w:r w:rsidR="001F7B52" w:rsidRPr="001F7B52">
        <w:rPr>
          <w:i/>
          <w:iCs/>
        </w:rPr>
        <w:t xml:space="preserve">on </w:t>
      </w:r>
      <w:r w:rsidRPr="001F7B52">
        <w:rPr>
          <w:i/>
          <w:iCs/>
        </w:rPr>
        <w:t xml:space="preserve">a </w:t>
      </w:r>
      <w:r w:rsidR="0025034D" w:rsidRPr="001F7B52">
        <w:rPr>
          <w:i/>
          <w:iCs/>
        </w:rPr>
        <w:t>National Water Initiative</w:t>
      </w:r>
      <w:r w:rsidR="001F7B52">
        <w:t xml:space="preserve"> (NWI) is a world-leading </w:t>
      </w:r>
      <w:r w:rsidR="008F73FE">
        <w:t xml:space="preserve">agreement that supports the multi-jurisdictional management of Australia’s scarce water resources. </w:t>
      </w:r>
      <w:r w:rsidR="00B25978">
        <w:t xml:space="preserve">The NWI </w:t>
      </w:r>
      <w:r w:rsidR="00011579">
        <w:t xml:space="preserve">critically </w:t>
      </w:r>
      <w:r w:rsidR="00CD2819">
        <w:t xml:space="preserve">establishes </w:t>
      </w:r>
      <w:r w:rsidR="00CD2819" w:rsidRPr="00CD2819">
        <w:t>joint commitment</w:t>
      </w:r>
      <w:r w:rsidR="00364BCA">
        <w:t>s of all Australian governments</w:t>
      </w:r>
      <w:r w:rsidR="00F22CB4">
        <w:t xml:space="preserve"> to water management </w:t>
      </w:r>
      <w:r w:rsidR="00503ED7">
        <w:t>in the national interest</w:t>
      </w:r>
      <w:r w:rsidR="00E6116C">
        <w:t>.</w:t>
      </w:r>
    </w:p>
    <w:p w14:paraId="61F7BAE9" w14:textId="71D4809F" w:rsidR="00E6116C" w:rsidRDefault="00E6116C" w:rsidP="00A95D54">
      <w:r>
        <w:t>The Inspector-General of Water Compliance welcomes th</w:t>
      </w:r>
      <w:r w:rsidR="003A1170">
        <w:t xml:space="preserve">e opportunity to provide a submission to the Productivity Commission on </w:t>
      </w:r>
      <w:r w:rsidR="00EA003E">
        <w:t xml:space="preserve">the </w:t>
      </w:r>
      <w:r w:rsidR="003A1170">
        <w:t xml:space="preserve">interim report for its </w:t>
      </w:r>
      <w:r w:rsidR="00A95D54" w:rsidRPr="00A95D54">
        <w:rPr>
          <w:i/>
          <w:iCs/>
        </w:rPr>
        <w:t>National Water Reform 2024</w:t>
      </w:r>
      <w:r w:rsidR="00A95D54">
        <w:t xml:space="preserve"> inquiry.</w:t>
      </w:r>
    </w:p>
    <w:p w14:paraId="3F3593D0" w14:textId="3ECB6FB5" w:rsidR="0025034D" w:rsidRDefault="0025034D" w:rsidP="0025034D">
      <w:pPr>
        <w:pStyle w:val="Heading2"/>
      </w:pPr>
      <w:bookmarkStart w:id="4" w:name="_Toc164235809"/>
      <w:r>
        <w:t>About the Inspector-General of Water Compliance</w:t>
      </w:r>
      <w:bookmarkEnd w:id="4"/>
    </w:p>
    <w:p w14:paraId="2FC4739D" w14:textId="4D461F3D" w:rsidR="00E270F7" w:rsidRPr="00E270F7" w:rsidRDefault="002A49D5" w:rsidP="00E270F7">
      <w:r>
        <w:t xml:space="preserve">As an independent statutory office holder, the </w:t>
      </w:r>
      <w:r w:rsidR="00E270F7" w:rsidRPr="00E270F7">
        <w:t xml:space="preserve">Inspector–General of Water Compliance was established to enforce compliance with </w:t>
      </w:r>
      <w:r w:rsidR="00FD5ECD">
        <w:t xml:space="preserve">Commonwealth water </w:t>
      </w:r>
      <w:r w:rsidR="00E270F7" w:rsidRPr="00E270F7">
        <w:t xml:space="preserve">laws and to hold </w:t>
      </w:r>
      <w:r w:rsidR="00B65D06">
        <w:t xml:space="preserve">relevant </w:t>
      </w:r>
      <w:r w:rsidR="00E270F7" w:rsidRPr="00E270F7">
        <w:t xml:space="preserve">governments to account in their management of </w:t>
      </w:r>
      <w:r w:rsidR="00283E56">
        <w:t xml:space="preserve">Murray-Darling </w:t>
      </w:r>
      <w:r w:rsidR="00E270F7" w:rsidRPr="00E270F7">
        <w:t xml:space="preserve">Basin </w:t>
      </w:r>
      <w:r w:rsidR="00283E56">
        <w:t xml:space="preserve">(Basin) </w:t>
      </w:r>
      <w:r w:rsidR="00E270F7" w:rsidRPr="00E270F7">
        <w:t>water resources.</w:t>
      </w:r>
    </w:p>
    <w:p w14:paraId="1E941BAA" w14:textId="224EA0D3" w:rsidR="00E270F7" w:rsidRPr="00E270F7" w:rsidRDefault="00E270F7" w:rsidP="00E270F7">
      <w:r w:rsidRPr="00E270F7">
        <w:t>In this context, the Inspector–General broadly has the roles of:</w:t>
      </w:r>
    </w:p>
    <w:p w14:paraId="32F60321" w14:textId="77777777" w:rsidR="00E270F7" w:rsidRPr="00E270F7" w:rsidRDefault="00E270F7" w:rsidP="00E270F7">
      <w:pPr>
        <w:pStyle w:val="ListBullet"/>
      </w:pPr>
      <w:r w:rsidRPr="00E270F7">
        <w:t>Monitoring and overseeing the performance of functions and exercise of powers by agencies of the Commonwealth</w:t>
      </w:r>
    </w:p>
    <w:p w14:paraId="22E2CF93" w14:textId="77777777" w:rsidR="00E270F7" w:rsidRPr="00E270F7" w:rsidRDefault="00E270F7" w:rsidP="00E270F7">
      <w:pPr>
        <w:pStyle w:val="ListBullet"/>
      </w:pPr>
      <w:r w:rsidRPr="00E270F7">
        <w:t xml:space="preserve">Monitoring and overseeing relevant Commonwealth, and Basin state and territory government agencies’ performance in the management of Basin water resources </w:t>
      </w:r>
    </w:p>
    <w:p w14:paraId="7241F1EC" w14:textId="77777777" w:rsidR="00E270F7" w:rsidRPr="00E270F7" w:rsidRDefault="00E270F7" w:rsidP="00E270F7">
      <w:pPr>
        <w:pStyle w:val="ListBullet"/>
      </w:pPr>
      <w:r w:rsidRPr="00E270F7">
        <w:t>Enforcing compliance with Commonwealth laws that regulate the management of Basin water resources</w:t>
      </w:r>
    </w:p>
    <w:p w14:paraId="66EADB6D" w14:textId="77777777" w:rsidR="00E270F7" w:rsidRPr="00E270F7" w:rsidRDefault="00E270F7" w:rsidP="00E270F7">
      <w:pPr>
        <w:pStyle w:val="ListBullet"/>
      </w:pPr>
      <w:r w:rsidRPr="00E270F7">
        <w:t>Engaging with the Australian community on the management of Basin water resources.</w:t>
      </w:r>
    </w:p>
    <w:p w14:paraId="65A13CD1" w14:textId="77777777" w:rsidR="006B2894" w:rsidRPr="006B2894" w:rsidRDefault="006B2894" w:rsidP="006B2894">
      <w:r w:rsidRPr="006B2894">
        <w:t>In performing the above roles, the Inspector–General is primarily responsible for:</w:t>
      </w:r>
    </w:p>
    <w:p w14:paraId="75A6F8BC" w14:textId="5776D886" w:rsidR="006B2894" w:rsidRPr="006B2894" w:rsidRDefault="006B2894" w:rsidP="006B2894">
      <w:pPr>
        <w:pStyle w:val="ListBullet"/>
      </w:pPr>
      <w:r w:rsidRPr="006B2894">
        <w:t xml:space="preserve">Assessment of compliance with long–term water extraction limits (known as sustainable diversion limits) in Basin catchments </w:t>
      </w:r>
      <w:r w:rsidR="0029693B">
        <w:t xml:space="preserve">under the </w:t>
      </w:r>
      <w:r w:rsidR="0029693B">
        <w:rPr>
          <w:i/>
          <w:iCs/>
        </w:rPr>
        <w:t xml:space="preserve">Water Act 2007 </w:t>
      </w:r>
      <w:r w:rsidR="0029693B">
        <w:t>(Cth) (Water Act)</w:t>
      </w:r>
    </w:p>
    <w:p w14:paraId="21A14A32" w14:textId="77777777" w:rsidR="006B2894" w:rsidRPr="006B2894" w:rsidRDefault="006B2894" w:rsidP="006B2894">
      <w:pPr>
        <w:pStyle w:val="ListBullet"/>
      </w:pPr>
      <w:r w:rsidRPr="006B2894">
        <w:t>Compliance with water resource plans that enable the integrated management of Basin water resources by Commonwealth and Basin State governments</w:t>
      </w:r>
    </w:p>
    <w:p w14:paraId="43A82A6B" w14:textId="7F8A377C" w:rsidR="006B2894" w:rsidRPr="006B2894" w:rsidRDefault="006B2894" w:rsidP="006B2894">
      <w:pPr>
        <w:pStyle w:val="ListBullet"/>
      </w:pPr>
      <w:r w:rsidRPr="006B2894">
        <w:t xml:space="preserve">Enforcement of the </w:t>
      </w:r>
      <w:r w:rsidRPr="006B2894">
        <w:rPr>
          <w:i/>
          <w:iCs/>
        </w:rPr>
        <w:t>Basin Plan 2012</w:t>
      </w:r>
      <w:r w:rsidRPr="006B2894">
        <w:t xml:space="preserve"> </w:t>
      </w:r>
      <w:r w:rsidR="0029693B">
        <w:t xml:space="preserve">(Cth) </w:t>
      </w:r>
      <w:r w:rsidRPr="006B2894">
        <w:t xml:space="preserve">(Basin Plan) water trading rules </w:t>
      </w:r>
    </w:p>
    <w:p w14:paraId="257024F0" w14:textId="77777777" w:rsidR="006B2894" w:rsidRPr="006B2894" w:rsidRDefault="006B2894" w:rsidP="006B2894">
      <w:pPr>
        <w:pStyle w:val="ListBullet"/>
      </w:pPr>
      <w:r w:rsidRPr="006B2894">
        <w:t>Assurance around the enforcement of water laws with respect to the theft of Basin water resources</w:t>
      </w:r>
    </w:p>
    <w:p w14:paraId="5A45CB66" w14:textId="77777777" w:rsidR="006B2894" w:rsidRPr="006B2894" w:rsidRDefault="006B2894" w:rsidP="006B2894">
      <w:pPr>
        <w:pStyle w:val="ListBullet"/>
      </w:pPr>
      <w:r w:rsidRPr="006B2894">
        <w:t>Oversight of the implementation of commitments in intergovernmental agreements that support the effective operation of the Water Act and delivery of the Basin Plan</w:t>
      </w:r>
    </w:p>
    <w:p w14:paraId="4298FB72" w14:textId="77777777" w:rsidR="006B2894" w:rsidRPr="006B2894" w:rsidRDefault="006B2894" w:rsidP="006B2894">
      <w:pPr>
        <w:pStyle w:val="ListBullet"/>
      </w:pPr>
      <w:r w:rsidRPr="006B2894">
        <w:t>Providing accountability for the effectiveness of Commonwealth and Basin States’ performance of their obligations under Part 2 of the Water Act, relating to the management of Basin water resources</w:t>
      </w:r>
    </w:p>
    <w:p w14:paraId="01F313C4" w14:textId="77777777" w:rsidR="006B2894" w:rsidRPr="006B2894" w:rsidRDefault="006B2894" w:rsidP="006B2894">
      <w:pPr>
        <w:pStyle w:val="ListBullet"/>
      </w:pPr>
      <w:r w:rsidRPr="006B2894">
        <w:t>Scrutinising and providing accountability around relevant Commonwealth agency decisions made in performing their functions or exercising powers under Part 2 of the Water Act</w:t>
      </w:r>
    </w:p>
    <w:p w14:paraId="654A0764" w14:textId="068507B0" w:rsidR="006B2894" w:rsidRPr="006B2894" w:rsidRDefault="006B2894" w:rsidP="006B2894">
      <w:pPr>
        <w:pStyle w:val="ListBullet"/>
      </w:pPr>
      <w:r w:rsidRPr="006B2894">
        <w:t xml:space="preserve">Engaging with Australian communities </w:t>
      </w:r>
      <w:r w:rsidR="00AA6D78">
        <w:t xml:space="preserve">by providing assurance </w:t>
      </w:r>
      <w:r w:rsidR="002A3E0D">
        <w:t xml:space="preserve">around </w:t>
      </w:r>
      <w:r w:rsidRPr="006B2894">
        <w:t>the management of Basin water resources.</w:t>
      </w:r>
    </w:p>
    <w:p w14:paraId="640A6237" w14:textId="77777777" w:rsidR="006B2894" w:rsidRPr="006B2894" w:rsidRDefault="006B2894" w:rsidP="006B2894">
      <w:r w:rsidRPr="006B2894">
        <w:t>The Inspector–General is also responsible for enforcing Part 2A of the Water Act, relating to critical human water needs. In accordance with this Part of the Water Act, the Basin Plan sets out the triggers for and processes to follow during times of low water availability.</w:t>
      </w:r>
    </w:p>
    <w:p w14:paraId="611404F0" w14:textId="7A1ABC6E" w:rsidR="006B2894" w:rsidRDefault="00EE45C9" w:rsidP="002F4079">
      <w:r>
        <w:t xml:space="preserve">With respect to the </w:t>
      </w:r>
      <w:r w:rsidR="004151B1">
        <w:t xml:space="preserve">Inspector-General’s function of overseeing intergovernmental agreements, </w:t>
      </w:r>
      <w:r w:rsidR="00D96817">
        <w:t xml:space="preserve">the Inspector-General oversees the NWI, to the extent </w:t>
      </w:r>
      <w:r w:rsidR="00234C9D">
        <w:t>it relates to Basin water resources</w:t>
      </w:r>
      <w:r w:rsidR="00E21093">
        <w:t xml:space="preserve">, </w:t>
      </w:r>
      <w:r w:rsidR="00E21093">
        <w:lastRenderedPageBreak/>
        <w:t>among other agreements</w:t>
      </w:r>
      <w:r w:rsidR="00234C9D">
        <w:t xml:space="preserve">. The NWI is also one of </w:t>
      </w:r>
      <w:r w:rsidR="00860EE2">
        <w:t xml:space="preserve">the </w:t>
      </w:r>
      <w:r w:rsidR="00234C9D">
        <w:t xml:space="preserve">intergovernmental agreements </w:t>
      </w:r>
      <w:r w:rsidR="00860EE2">
        <w:t xml:space="preserve">with commitments </w:t>
      </w:r>
      <w:r w:rsidR="00234C9D">
        <w:t xml:space="preserve">that </w:t>
      </w:r>
      <w:r w:rsidR="00860EE2">
        <w:t xml:space="preserve">underpin </w:t>
      </w:r>
      <w:r w:rsidR="002E49DE">
        <w:t xml:space="preserve">the effective operation, implementation and application of the Commonwealth’s </w:t>
      </w:r>
      <w:r w:rsidR="0023292E">
        <w:t>water laws.</w:t>
      </w:r>
    </w:p>
    <w:p w14:paraId="637410D8" w14:textId="6E643F86" w:rsidR="00010B67" w:rsidRDefault="00010B67" w:rsidP="002F4079">
      <w:r>
        <w:t xml:space="preserve">As such, the Inspector-General is well-placed to provide insights into the </w:t>
      </w:r>
      <w:r w:rsidR="00F16A1F">
        <w:t>NWI and potential reforms through their role in providing assurance around</w:t>
      </w:r>
      <w:r w:rsidR="009B661F">
        <w:t xml:space="preserve"> water management in the Basin and implications for the Commonwealth’s water laws.</w:t>
      </w:r>
      <w:r w:rsidR="0047187D">
        <w:t xml:space="preserve"> Further, the NWI and potential reforms </w:t>
      </w:r>
      <w:r w:rsidR="009E22F5">
        <w:t xml:space="preserve">will </w:t>
      </w:r>
      <w:r w:rsidR="0047187D">
        <w:t>directly affect the Inspector-General’s functions</w:t>
      </w:r>
      <w:r w:rsidR="009E22F5">
        <w:t xml:space="preserve">, which </w:t>
      </w:r>
      <w:r w:rsidR="00D41A78">
        <w:t>are relevant considerations for finalising the final report for the Productivity Commission’s inquiry.</w:t>
      </w:r>
    </w:p>
    <w:p w14:paraId="5E51B0E4" w14:textId="46CD8EB2" w:rsidR="0025034D" w:rsidRDefault="00190FB1" w:rsidP="00190FB1">
      <w:pPr>
        <w:pStyle w:val="Heading2"/>
      </w:pPr>
      <w:bookmarkStart w:id="5" w:name="_Toc164235810"/>
      <w:r>
        <w:t>Structure of this submission</w:t>
      </w:r>
      <w:bookmarkEnd w:id="5"/>
    </w:p>
    <w:p w14:paraId="2201CDE2" w14:textId="2CA7E5E5" w:rsidR="00190FB1" w:rsidRDefault="002F5DA0" w:rsidP="002F4079">
      <w:r>
        <w:t xml:space="preserve">The Inspector-General’s submission is in </w:t>
      </w:r>
      <w:r w:rsidRPr="008E08C9">
        <w:t>two</w:t>
      </w:r>
      <w:r>
        <w:t xml:space="preserve"> parts:</w:t>
      </w:r>
    </w:p>
    <w:p w14:paraId="566B9F22" w14:textId="48D82EE8" w:rsidR="002F5DA0" w:rsidRDefault="002F5DA0" w:rsidP="002F5DA0">
      <w:pPr>
        <w:pStyle w:val="ListNumber"/>
      </w:pPr>
      <w:r>
        <w:t xml:space="preserve">Feedback on the Productivity Commission’s </w:t>
      </w:r>
      <w:r w:rsidR="0091438C">
        <w:t>proposed NWI renewal advice</w:t>
      </w:r>
    </w:p>
    <w:p w14:paraId="2D0ABDD6" w14:textId="725CBB9B" w:rsidR="0091438C" w:rsidRDefault="0091438C" w:rsidP="002F5DA0">
      <w:pPr>
        <w:pStyle w:val="ListNumber"/>
      </w:pPr>
      <w:r>
        <w:t>Observations on u</w:t>
      </w:r>
      <w:r w:rsidRPr="0091438C">
        <w:t>sing Commonwealth water legislation as a framework for guiding national water reform policy</w:t>
      </w:r>
      <w:r>
        <w:t>.</w:t>
      </w:r>
    </w:p>
    <w:p w14:paraId="0E337EC4" w14:textId="5611A903" w:rsidR="002F5DA0" w:rsidRDefault="007771B4" w:rsidP="002F4079">
      <w:r>
        <w:t>The content of the submission draws on the Inspector-General’s experience in performing their functions since 2021</w:t>
      </w:r>
      <w:r w:rsidR="005F3986">
        <w:t xml:space="preserve">. </w:t>
      </w:r>
    </w:p>
    <w:p w14:paraId="10C73030" w14:textId="4D0D4C22" w:rsidR="00666490" w:rsidRDefault="00283E56" w:rsidP="002F4079">
      <w:r>
        <w:t>Given the Inspector-General’s role, t</w:t>
      </w:r>
      <w:r w:rsidR="00666490">
        <w:t xml:space="preserve">his submission </w:t>
      </w:r>
      <w:r w:rsidR="0054277C">
        <w:t xml:space="preserve">provides insights </w:t>
      </w:r>
      <w:r w:rsidR="00D23942">
        <w:t xml:space="preserve">from their role in institutions relating to </w:t>
      </w:r>
      <w:r>
        <w:t>the management of Basin water resources</w:t>
      </w:r>
      <w:r w:rsidR="0054277C">
        <w:t xml:space="preserve">. However, with the challenges facing all Australian governments in the management of water resources in the national interest, these observations </w:t>
      </w:r>
      <w:r w:rsidR="005F6412">
        <w:t xml:space="preserve">may </w:t>
      </w:r>
      <w:r w:rsidR="0054277C">
        <w:t xml:space="preserve">be extrapolated </w:t>
      </w:r>
      <w:r w:rsidR="005F6412">
        <w:t xml:space="preserve">and applied </w:t>
      </w:r>
      <w:r w:rsidR="0054277C">
        <w:t>more broadly.</w:t>
      </w:r>
    </w:p>
    <w:p w14:paraId="0C46F1E8" w14:textId="68E3E25D" w:rsidR="00AF1C14" w:rsidRDefault="008F785A" w:rsidP="008F785A">
      <w:pPr>
        <w:pStyle w:val="Heading1"/>
      </w:pPr>
      <w:bookmarkStart w:id="6" w:name="_Toc164235811"/>
      <w:r>
        <w:lastRenderedPageBreak/>
        <w:t>Feedback on NWI renewal advice</w:t>
      </w:r>
      <w:bookmarkEnd w:id="6"/>
    </w:p>
    <w:p w14:paraId="2681AB85" w14:textId="120B6021" w:rsidR="008F785A" w:rsidRDefault="00FC4C81" w:rsidP="002F4079">
      <w:r>
        <w:t xml:space="preserve">The Inspector-General broadly supports the </w:t>
      </w:r>
      <w:r w:rsidR="001601A0">
        <w:t xml:space="preserve">Productivity </w:t>
      </w:r>
      <w:r w:rsidR="00A82D9B">
        <w:t xml:space="preserve">Commission’s </w:t>
      </w:r>
      <w:r w:rsidR="00C92584">
        <w:t xml:space="preserve">refreshed intent. The Inspector-General especially considers </w:t>
      </w:r>
      <w:r w:rsidR="00E018B0">
        <w:t xml:space="preserve">that the Commission’s modernised goal that extends the existing </w:t>
      </w:r>
      <w:r w:rsidR="001475D3">
        <w:t xml:space="preserve">overarching goal of the NWI, and does not replace it, </w:t>
      </w:r>
      <w:r w:rsidR="00BC7A5C">
        <w:t xml:space="preserve">provides </w:t>
      </w:r>
      <w:r w:rsidR="00885014">
        <w:t xml:space="preserve">needed </w:t>
      </w:r>
      <w:r w:rsidR="00BC7A5C">
        <w:t xml:space="preserve">clarity without losing the critical </w:t>
      </w:r>
      <w:r w:rsidR="00885014">
        <w:t xml:space="preserve">underlying purpose of the NWI. </w:t>
      </w:r>
      <w:r w:rsidR="00A633E2">
        <w:t xml:space="preserve">The Inspector-General notes that the modernised goal would </w:t>
      </w:r>
      <w:r w:rsidR="005C1DFC">
        <w:t xml:space="preserve">provide necessary additional context and authority </w:t>
      </w:r>
      <w:r w:rsidR="00FF57F7">
        <w:t xml:space="preserve">to </w:t>
      </w:r>
      <w:r w:rsidR="00E00B3D">
        <w:t xml:space="preserve">consider and provide assurance around </w:t>
      </w:r>
      <w:r w:rsidR="00666490">
        <w:t>matters affecting water management in the Basin.</w:t>
      </w:r>
    </w:p>
    <w:p w14:paraId="543F6F81" w14:textId="32916ED9" w:rsidR="00FC4C81" w:rsidRDefault="009F23D3" w:rsidP="002F4079">
      <w:r>
        <w:t xml:space="preserve">The remainder of this section focuses on the </w:t>
      </w:r>
      <w:r w:rsidR="001F0F82">
        <w:t>elements of the renewed NWI identified by the Productivity Commission</w:t>
      </w:r>
      <w:r w:rsidR="00E5588C">
        <w:t xml:space="preserve"> that are relevant to the Inspector-General or can usefully be informed by the Inspector-General’s experience</w:t>
      </w:r>
      <w:r w:rsidR="001F0F82">
        <w:t>.</w:t>
      </w:r>
    </w:p>
    <w:p w14:paraId="3C847E6D" w14:textId="4565FEF2" w:rsidR="001F0F82" w:rsidRDefault="000F558D" w:rsidP="000F558D">
      <w:pPr>
        <w:pStyle w:val="Heading2"/>
      </w:pPr>
      <w:bookmarkStart w:id="7" w:name="_Toc164235812"/>
      <w:r w:rsidRPr="000F558D">
        <w:t>Building in good governance for a renewed NWI</w:t>
      </w:r>
      <w:bookmarkEnd w:id="7"/>
    </w:p>
    <w:p w14:paraId="44740796" w14:textId="796EEAEC" w:rsidR="00586385" w:rsidRDefault="0026151D" w:rsidP="00DC0EAD">
      <w:r>
        <w:t xml:space="preserve">The Inspector-General </w:t>
      </w:r>
      <w:r w:rsidR="00FC093C">
        <w:t>strongly supports improving governance arrangements</w:t>
      </w:r>
      <w:r w:rsidR="003E53FA">
        <w:t xml:space="preserve">, as crucial </w:t>
      </w:r>
      <w:r w:rsidR="00BE1C58">
        <w:t xml:space="preserve">to </w:t>
      </w:r>
      <w:r w:rsidR="001274FF">
        <w:t>strengthening the transparency and accountability that underpins governments</w:t>
      </w:r>
      <w:r w:rsidR="003642E1">
        <w:t>’</w:t>
      </w:r>
      <w:r w:rsidR="001274FF">
        <w:t xml:space="preserve"> social licences</w:t>
      </w:r>
      <w:r w:rsidR="003642E1">
        <w:t xml:space="preserve"> to manage water in the national interest. The Inspector-General notes </w:t>
      </w:r>
      <w:r w:rsidR="00586385">
        <w:t>i</w:t>
      </w:r>
      <w:r w:rsidR="00DC0EAD" w:rsidRPr="00DC0EAD">
        <w:t xml:space="preserve">ssues associated with poor accountability have been </w:t>
      </w:r>
      <w:r w:rsidR="00586385">
        <w:t>demonstrate</w:t>
      </w:r>
      <w:r w:rsidR="16489C28">
        <w:t>d</w:t>
      </w:r>
      <w:r w:rsidR="00586385">
        <w:t xml:space="preserve"> </w:t>
      </w:r>
      <w:r w:rsidR="00DC0EAD" w:rsidRPr="00DC0EAD">
        <w:t>over the past six years, including in</w:t>
      </w:r>
      <w:r w:rsidR="00586385">
        <w:t>:</w:t>
      </w:r>
    </w:p>
    <w:p w14:paraId="622D0855" w14:textId="77777777" w:rsidR="00586385" w:rsidRDefault="00586385" w:rsidP="00BC6DB8">
      <w:pPr>
        <w:pStyle w:val="ListBullet"/>
      </w:pPr>
      <w:r>
        <w:t>R</w:t>
      </w:r>
      <w:r w:rsidR="00DC0EAD" w:rsidRPr="00DC0EAD">
        <w:t>esponse to allegations aired in the Four Corner’s program, ‘Pumped’</w:t>
      </w:r>
    </w:p>
    <w:p w14:paraId="5D8B3608" w14:textId="77777777" w:rsidR="00BC6DB8" w:rsidRDefault="00586385" w:rsidP="00BC6DB8">
      <w:pPr>
        <w:pStyle w:val="ListBullet"/>
      </w:pPr>
      <w:r>
        <w:t>M</w:t>
      </w:r>
      <w:r w:rsidR="00DC0EAD" w:rsidRPr="00DC0EAD">
        <w:t>ultiple reviews on water management in the Basin</w:t>
      </w:r>
    </w:p>
    <w:p w14:paraId="6B343FB5" w14:textId="13915C53" w:rsidR="00BC6DB8" w:rsidRDefault="00BC6DB8" w:rsidP="00BC6DB8">
      <w:pPr>
        <w:pStyle w:val="ListBullet"/>
      </w:pPr>
      <w:r>
        <w:t>T</w:t>
      </w:r>
      <w:r w:rsidR="00DC0EAD" w:rsidRPr="00DC0EAD">
        <w:t xml:space="preserve">he Australian Parliament’s consideration of the </w:t>
      </w:r>
      <w:r w:rsidR="00DC0EAD" w:rsidRPr="00DC0EAD">
        <w:rPr>
          <w:i/>
          <w:iCs/>
        </w:rPr>
        <w:t>Water Amendment (Restoring our Rivers) Bill 2023</w:t>
      </w:r>
      <w:r w:rsidR="00DC0EAD" w:rsidRPr="00DC0EAD">
        <w:t xml:space="preserve"> </w:t>
      </w:r>
    </w:p>
    <w:p w14:paraId="44FF4B35" w14:textId="398A8F0C" w:rsidR="00BC6DB8" w:rsidRDefault="002F20C3" w:rsidP="00BC6DB8">
      <w:pPr>
        <w:pStyle w:val="ListBullet"/>
      </w:pPr>
      <w:r>
        <w:t xml:space="preserve">The </w:t>
      </w:r>
      <w:r w:rsidR="00DC0EAD" w:rsidRPr="00DC0EAD">
        <w:t>Productivity Commission 2023 inquiry into Basin Plan implementation</w:t>
      </w:r>
      <w:r w:rsidR="00BC6DB8">
        <w:t>.</w:t>
      </w:r>
    </w:p>
    <w:p w14:paraId="14147BD4" w14:textId="1E5DC68F" w:rsidR="000F558D" w:rsidRDefault="00D03BD1" w:rsidP="002F4079">
      <w:r>
        <w:t xml:space="preserve">This </w:t>
      </w:r>
      <w:r w:rsidR="00DC0EAD" w:rsidRPr="00DC0EAD">
        <w:t>demonstrates accountability remains an enduring problem that is yet to be adequately managed</w:t>
      </w:r>
      <w:r>
        <w:t xml:space="preserve"> and </w:t>
      </w:r>
      <w:r w:rsidR="00093759">
        <w:t>c</w:t>
      </w:r>
      <w:r>
        <w:t>ould, therefore, be a focus</w:t>
      </w:r>
      <w:r w:rsidR="00535525">
        <w:t xml:space="preserve"> of and addressed through a renewed NWI</w:t>
      </w:r>
      <w:r w:rsidR="00DC0EAD" w:rsidRPr="00DC0EAD">
        <w:t xml:space="preserve">. </w:t>
      </w:r>
    </w:p>
    <w:p w14:paraId="5FEAC5D1" w14:textId="7E7E6D00" w:rsidR="00B95E99" w:rsidRDefault="00B95E99" w:rsidP="002F4079">
      <w:r>
        <w:rPr>
          <w:noProof/>
        </w:rPr>
        <mc:AlternateContent>
          <mc:Choice Requires="wps">
            <w:drawing>
              <wp:anchor distT="0" distB="0" distL="114300" distR="114300" simplePos="0" relativeHeight="251658240" behindDoc="0" locked="0" layoutInCell="1" allowOverlap="1" wp14:anchorId="5328A664" wp14:editId="59841AE0">
                <wp:simplePos x="0" y="0"/>
                <wp:positionH relativeFrom="margin">
                  <wp:posOffset>0</wp:posOffset>
                </wp:positionH>
                <wp:positionV relativeFrom="paragraph">
                  <wp:posOffset>0</wp:posOffset>
                </wp:positionV>
                <wp:extent cx="1828800" cy="1828800"/>
                <wp:effectExtent l="0" t="0" r="11430" b="17780"/>
                <wp:wrapSquare wrapText="bothSides"/>
                <wp:docPr id="922515406" name="Text Box 9225154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76BB0B8" w14:textId="3F0975DA" w:rsidR="00B95E99" w:rsidRPr="00A30305" w:rsidRDefault="00B95E99" w:rsidP="004D6945">
                            <w:pPr>
                              <w:spacing w:before="60" w:after="60" w:line="247" w:lineRule="auto"/>
                              <w:rPr>
                                <w:i/>
                                <w:iCs/>
                              </w:rPr>
                            </w:pPr>
                            <w:r w:rsidRPr="00A30305">
                              <w:rPr>
                                <w:i/>
                                <w:iCs/>
                              </w:rPr>
                              <w:t>What is accountability?</w:t>
                            </w:r>
                          </w:p>
                          <w:p w14:paraId="6967587C" w14:textId="545E4429" w:rsidR="00B95E99" w:rsidRDefault="00B95E99" w:rsidP="004D6945">
                            <w:pPr>
                              <w:spacing w:before="60" w:after="60" w:line="247" w:lineRule="auto"/>
                            </w:pPr>
                            <w:r>
                              <w:t>Accountability can be articulated as:</w:t>
                            </w:r>
                          </w:p>
                          <w:p w14:paraId="3CBA7E7D" w14:textId="77777777" w:rsidR="00B95E99" w:rsidRDefault="00B95E99" w:rsidP="004D6945">
                            <w:pPr>
                              <w:pStyle w:val="ListBullet"/>
                              <w:spacing w:before="60" w:after="60" w:line="247" w:lineRule="auto"/>
                            </w:pPr>
                            <w:r>
                              <w:t>To be held responsible for:</w:t>
                            </w:r>
                          </w:p>
                          <w:p w14:paraId="59935B66" w14:textId="77777777" w:rsidR="00B95E99" w:rsidRDefault="00B95E99" w:rsidP="004D6945">
                            <w:pPr>
                              <w:pStyle w:val="ListBullet2"/>
                              <w:spacing w:before="60" w:after="60" w:line="247" w:lineRule="auto"/>
                            </w:pPr>
                            <w:r>
                              <w:t>Decisions made and actions taken</w:t>
                            </w:r>
                          </w:p>
                          <w:p w14:paraId="052637AB" w14:textId="77777777" w:rsidR="00B95E99" w:rsidRDefault="00B95E99" w:rsidP="004D6945">
                            <w:pPr>
                              <w:pStyle w:val="ListBullet2"/>
                              <w:spacing w:before="60" w:after="60" w:line="247" w:lineRule="auto"/>
                            </w:pPr>
                            <w:r>
                              <w:t>Discharging obligations</w:t>
                            </w:r>
                          </w:p>
                          <w:p w14:paraId="263245E8" w14:textId="77777777" w:rsidR="00B95E99" w:rsidRDefault="00B95E99" w:rsidP="004D6945">
                            <w:pPr>
                              <w:pStyle w:val="ListBullet2"/>
                              <w:spacing w:before="60" w:after="60" w:line="247" w:lineRule="auto"/>
                            </w:pPr>
                            <w:r>
                              <w:t>Matters within someone’s power, control or management</w:t>
                            </w:r>
                          </w:p>
                          <w:p w14:paraId="71B0A441" w14:textId="77777777" w:rsidR="00B95E99" w:rsidRDefault="00B95E99" w:rsidP="004D6945">
                            <w:pPr>
                              <w:pStyle w:val="ListBullet"/>
                              <w:spacing w:before="60" w:after="60" w:line="247" w:lineRule="auto"/>
                            </w:pPr>
                            <w:r>
                              <w:t>To explain something.</w:t>
                            </w:r>
                          </w:p>
                          <w:p w14:paraId="209A3CB0" w14:textId="68FB0429" w:rsidR="00B95E99" w:rsidRDefault="00B95E99" w:rsidP="004D6945">
                            <w:pPr>
                              <w:spacing w:before="60" w:after="60" w:line="247" w:lineRule="auto"/>
                            </w:pPr>
                            <w:r>
                              <w:t>In practical terms, effective accountability depends on three things:</w:t>
                            </w:r>
                          </w:p>
                          <w:p w14:paraId="5816F524" w14:textId="0ABF44F5" w:rsidR="00B95E99" w:rsidRDefault="00B95E99" w:rsidP="004D6945">
                            <w:pPr>
                              <w:pStyle w:val="ListNumber"/>
                              <w:spacing w:before="60" w:after="60" w:line="247" w:lineRule="auto"/>
                            </w:pPr>
                            <w:r>
                              <w:t>Clear and unambiguous governance arrangements through the identification and assignment of roles to entities that are responsible for exercising powers, or that control or manage something</w:t>
                            </w:r>
                          </w:p>
                          <w:p w14:paraId="03C751AE" w14:textId="77777777" w:rsidR="00B95E99" w:rsidRDefault="00B95E99" w:rsidP="004D6945">
                            <w:pPr>
                              <w:pStyle w:val="ListNumber"/>
                              <w:spacing w:before="60" w:after="60" w:line="247" w:lineRule="auto"/>
                            </w:pPr>
                            <w:r>
                              <w:t>Specified and consistently applied consequences for failures of relevant entities to perform their responsibilities</w:t>
                            </w:r>
                          </w:p>
                          <w:p w14:paraId="45FB4379" w14:textId="6CEFDD90" w:rsidR="00B95E99" w:rsidRPr="00C823BB" w:rsidRDefault="00B95E99" w:rsidP="004D6945">
                            <w:pPr>
                              <w:pStyle w:val="ListNumber"/>
                              <w:spacing w:before="60" w:after="60" w:line="247" w:lineRule="auto"/>
                            </w:pPr>
                            <w:r>
                              <w:t>Meaningful, visible and accessible reporting on outcomes in areas of responsibility, including effective public communications.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28A664" id="_x0000_t202" coordsize="21600,21600" o:spt="202" path="m,l,21600r21600,l21600,xe">
                <v:stroke joinstyle="miter"/>
                <v:path gradientshapeok="t" o:connecttype="rect"/>
              </v:shapetype>
              <v:shape id="Text Box 922515406"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276BB0B8" w14:textId="3F0975DA" w:rsidR="00B95E99" w:rsidRPr="00A30305" w:rsidRDefault="00B95E99" w:rsidP="004D6945">
                      <w:pPr>
                        <w:spacing w:before="60" w:after="60" w:line="247" w:lineRule="auto"/>
                        <w:rPr>
                          <w:i/>
                          <w:iCs/>
                        </w:rPr>
                      </w:pPr>
                      <w:r w:rsidRPr="00A30305">
                        <w:rPr>
                          <w:i/>
                          <w:iCs/>
                        </w:rPr>
                        <w:t>What is accountability?</w:t>
                      </w:r>
                    </w:p>
                    <w:p w14:paraId="6967587C" w14:textId="545E4429" w:rsidR="00B95E99" w:rsidRDefault="00B95E99" w:rsidP="004D6945">
                      <w:pPr>
                        <w:spacing w:before="60" w:after="60" w:line="247" w:lineRule="auto"/>
                      </w:pPr>
                      <w:r>
                        <w:t>Accountability can be articulated as:</w:t>
                      </w:r>
                    </w:p>
                    <w:p w14:paraId="3CBA7E7D" w14:textId="77777777" w:rsidR="00B95E99" w:rsidRDefault="00B95E99" w:rsidP="004D6945">
                      <w:pPr>
                        <w:pStyle w:val="ListBullet"/>
                        <w:spacing w:before="60" w:after="60" w:line="247" w:lineRule="auto"/>
                      </w:pPr>
                      <w:r>
                        <w:t>To be held responsible for:</w:t>
                      </w:r>
                    </w:p>
                    <w:p w14:paraId="59935B66" w14:textId="77777777" w:rsidR="00B95E99" w:rsidRDefault="00B95E99" w:rsidP="004D6945">
                      <w:pPr>
                        <w:pStyle w:val="ListBullet2"/>
                        <w:spacing w:before="60" w:after="60" w:line="247" w:lineRule="auto"/>
                      </w:pPr>
                      <w:r>
                        <w:t>Decisions made and actions taken</w:t>
                      </w:r>
                    </w:p>
                    <w:p w14:paraId="052637AB" w14:textId="77777777" w:rsidR="00B95E99" w:rsidRDefault="00B95E99" w:rsidP="004D6945">
                      <w:pPr>
                        <w:pStyle w:val="ListBullet2"/>
                        <w:spacing w:before="60" w:after="60" w:line="247" w:lineRule="auto"/>
                      </w:pPr>
                      <w:r>
                        <w:t>Discharging obligations</w:t>
                      </w:r>
                    </w:p>
                    <w:p w14:paraId="263245E8" w14:textId="77777777" w:rsidR="00B95E99" w:rsidRDefault="00B95E99" w:rsidP="004D6945">
                      <w:pPr>
                        <w:pStyle w:val="ListBullet2"/>
                        <w:spacing w:before="60" w:after="60" w:line="247" w:lineRule="auto"/>
                      </w:pPr>
                      <w:r>
                        <w:t>Matters within someone’s power, control or management</w:t>
                      </w:r>
                    </w:p>
                    <w:p w14:paraId="71B0A441" w14:textId="77777777" w:rsidR="00B95E99" w:rsidRDefault="00B95E99" w:rsidP="004D6945">
                      <w:pPr>
                        <w:pStyle w:val="ListBullet"/>
                        <w:spacing w:before="60" w:after="60" w:line="247" w:lineRule="auto"/>
                      </w:pPr>
                      <w:r>
                        <w:t>To explain something.</w:t>
                      </w:r>
                    </w:p>
                    <w:p w14:paraId="209A3CB0" w14:textId="68FB0429" w:rsidR="00B95E99" w:rsidRDefault="00B95E99" w:rsidP="004D6945">
                      <w:pPr>
                        <w:spacing w:before="60" w:after="60" w:line="247" w:lineRule="auto"/>
                      </w:pPr>
                      <w:r>
                        <w:t>In practical terms, effective accountability depends on three things:</w:t>
                      </w:r>
                    </w:p>
                    <w:p w14:paraId="5816F524" w14:textId="0ABF44F5" w:rsidR="00B95E99" w:rsidRDefault="00B95E99" w:rsidP="004D6945">
                      <w:pPr>
                        <w:pStyle w:val="ListNumber"/>
                        <w:spacing w:before="60" w:after="60" w:line="247" w:lineRule="auto"/>
                      </w:pPr>
                      <w:r>
                        <w:t>Clear and unambiguous governance arrangements through the identification and assignment of roles to entities that are responsible for exercising powers, or that control or manage something</w:t>
                      </w:r>
                    </w:p>
                    <w:p w14:paraId="03C751AE" w14:textId="77777777" w:rsidR="00B95E99" w:rsidRDefault="00B95E99" w:rsidP="004D6945">
                      <w:pPr>
                        <w:pStyle w:val="ListNumber"/>
                        <w:spacing w:before="60" w:after="60" w:line="247" w:lineRule="auto"/>
                      </w:pPr>
                      <w:r>
                        <w:t>Specified and consistently applied consequences for failures of relevant entities to perform their responsibilities</w:t>
                      </w:r>
                    </w:p>
                    <w:p w14:paraId="45FB4379" w14:textId="6CEFDD90" w:rsidR="00B95E99" w:rsidRPr="00C823BB" w:rsidRDefault="00B95E99" w:rsidP="004D6945">
                      <w:pPr>
                        <w:pStyle w:val="ListNumber"/>
                        <w:spacing w:before="60" w:after="60" w:line="247" w:lineRule="auto"/>
                      </w:pPr>
                      <w:r>
                        <w:t>Meaningful, visible and accessible reporting on outcomes in areas of responsibility, including effective public communications.</w:t>
                      </w:r>
                    </w:p>
                  </w:txbxContent>
                </v:textbox>
                <w10:wrap type="square" anchorx="margin"/>
              </v:shape>
            </w:pict>
          </mc:Fallback>
        </mc:AlternateContent>
      </w:r>
    </w:p>
    <w:p w14:paraId="7F62C3F5" w14:textId="724B0CB9" w:rsidR="00F17144" w:rsidRDefault="00C85A63" w:rsidP="002F4079">
      <w:r>
        <w:t xml:space="preserve">The Inspector-General also recommends the Productivity Commission review and update </w:t>
      </w:r>
      <w:r w:rsidR="008D47F7">
        <w:t>its renewal advice 4.1 to reflect institutional changes since its 202</w:t>
      </w:r>
      <w:r w:rsidR="004C3E06">
        <w:t>1</w:t>
      </w:r>
      <w:r w:rsidR="008D47F7">
        <w:t xml:space="preserve"> </w:t>
      </w:r>
      <w:r w:rsidR="004C3E06">
        <w:t>inquiry</w:t>
      </w:r>
      <w:r w:rsidR="008D47F7">
        <w:t xml:space="preserve">. Relevantly, this includes </w:t>
      </w:r>
      <w:r w:rsidR="001F3A47">
        <w:t xml:space="preserve">establishment of </w:t>
      </w:r>
      <w:r w:rsidR="008D47F7">
        <w:t xml:space="preserve">the Inspector-General </w:t>
      </w:r>
      <w:r w:rsidR="001F3A47">
        <w:t xml:space="preserve">with a </w:t>
      </w:r>
      <w:r w:rsidR="00E16179">
        <w:t xml:space="preserve">broad role in providing assurance around the management of Basin water resources and </w:t>
      </w:r>
      <w:r w:rsidR="001F3A47">
        <w:t xml:space="preserve">a </w:t>
      </w:r>
      <w:r w:rsidR="00E16179">
        <w:t>specific function of overseeing implementation of certain commitments in the NWI.</w:t>
      </w:r>
      <w:r w:rsidR="00EC3823">
        <w:t xml:space="preserve"> The Inspector-General considers the </w:t>
      </w:r>
      <w:r w:rsidR="00F17144">
        <w:lastRenderedPageBreak/>
        <w:t xml:space="preserve">Productivity Commission’s </w:t>
      </w:r>
      <w:r w:rsidR="00E50132">
        <w:t xml:space="preserve">substantive </w:t>
      </w:r>
      <w:r w:rsidR="00F17144">
        <w:t xml:space="preserve">analysis </w:t>
      </w:r>
      <w:r w:rsidR="00E50132">
        <w:t>in Chapter 1</w:t>
      </w:r>
      <w:r w:rsidR="00F17144">
        <w:t xml:space="preserve"> could also be accordingly updated, including the following relevant sections:</w:t>
      </w:r>
    </w:p>
    <w:p w14:paraId="367F2872" w14:textId="21C8BF33" w:rsidR="00B95E99" w:rsidRDefault="00F17144">
      <w:pPr>
        <w:pStyle w:val="ListBullet"/>
      </w:pPr>
      <w:r>
        <w:t>Ongoing collective oversight of the renewed NWI and its implementation</w:t>
      </w:r>
    </w:p>
    <w:p w14:paraId="384F0B6B" w14:textId="32CB5D66" w:rsidR="00F17144" w:rsidRDefault="00E42CEC">
      <w:pPr>
        <w:pStyle w:val="ListBullet"/>
      </w:pPr>
      <w:r w:rsidRPr="00E42CEC">
        <w:t>Role for Commonwealth leadership</w:t>
      </w:r>
      <w:r w:rsidR="000D1516">
        <w:t>.</w:t>
      </w:r>
    </w:p>
    <w:p w14:paraId="3D764D60" w14:textId="4A154395" w:rsidR="000F558D" w:rsidRDefault="00E5588C" w:rsidP="00E5588C">
      <w:pPr>
        <w:pStyle w:val="Heading2"/>
      </w:pPr>
      <w:bookmarkStart w:id="8" w:name="_Toc164235813"/>
      <w:r w:rsidRPr="00E5588C">
        <w:t>Water resource management – a fit-for-purpose framework</w:t>
      </w:r>
      <w:bookmarkEnd w:id="8"/>
    </w:p>
    <w:p w14:paraId="4EE8A7BE" w14:textId="35089305" w:rsidR="001D4045" w:rsidRDefault="00A9470C" w:rsidP="00A61B42">
      <w:r>
        <w:t xml:space="preserve">The </w:t>
      </w:r>
      <w:r w:rsidR="000B6DBE">
        <w:t xml:space="preserve">Productivity Commission’s 2021 report flagged that </w:t>
      </w:r>
      <w:r w:rsidR="000538AB">
        <w:t>f</w:t>
      </w:r>
      <w:r w:rsidR="000B6DBE" w:rsidRPr="000B6DBE">
        <w:t>or water resource management in a system to be effective, governance, regulatory, operational and informational arrangements need to be fit-for-purpose</w:t>
      </w:r>
      <w:r w:rsidR="000538AB">
        <w:t xml:space="preserve">. The Inspector-General notes that </w:t>
      </w:r>
      <w:r w:rsidR="00637684">
        <w:t xml:space="preserve">the Productivity Commission’s proposal </w:t>
      </w:r>
      <w:r w:rsidR="000538AB">
        <w:t xml:space="preserve">aligns with </w:t>
      </w:r>
      <w:r w:rsidR="00C3010B">
        <w:t xml:space="preserve">individual jurisdictions’ and regulatory agencies’ </w:t>
      </w:r>
      <w:r w:rsidR="00C93CBF">
        <w:t xml:space="preserve">risk-based approach to water regulation. </w:t>
      </w:r>
      <w:r w:rsidR="00080F19">
        <w:t xml:space="preserve">However, </w:t>
      </w:r>
      <w:r w:rsidR="003E61F0">
        <w:t xml:space="preserve">a </w:t>
      </w:r>
      <w:r w:rsidR="00080F19">
        <w:t xml:space="preserve">challenge </w:t>
      </w:r>
      <w:r w:rsidR="003E61F0">
        <w:t xml:space="preserve">remains about the application of such an approach </w:t>
      </w:r>
      <w:r w:rsidR="00FA410C">
        <w:t xml:space="preserve">at regional or national levels, where legislative jurisdiction </w:t>
      </w:r>
      <w:r w:rsidR="001D4045">
        <w:t>constrains regulatory powers, interventions and, therefore, risks that are considered</w:t>
      </w:r>
      <w:r w:rsidR="005C4C4E">
        <w:t xml:space="preserve"> and managed by individual governments</w:t>
      </w:r>
      <w:r w:rsidR="001D4045">
        <w:t>.</w:t>
      </w:r>
    </w:p>
    <w:p w14:paraId="7AFFD75B" w14:textId="35E99BE3" w:rsidR="00CB099B" w:rsidRDefault="001D4045" w:rsidP="002F4079">
      <w:r>
        <w:t xml:space="preserve">The </w:t>
      </w:r>
      <w:r w:rsidR="00F54BD2">
        <w:t xml:space="preserve">Inspector-General considers the </w:t>
      </w:r>
      <w:r>
        <w:t>renewed NWI</w:t>
      </w:r>
      <w:r w:rsidR="005C4C4E">
        <w:t xml:space="preserve"> </w:t>
      </w:r>
      <w:r w:rsidR="00BE2A32">
        <w:t xml:space="preserve">provides an opportunity to establish national </w:t>
      </w:r>
      <w:r w:rsidR="00BE2A32" w:rsidRPr="000B6DBE">
        <w:t>governance, regulatory, operational and informational arrangements</w:t>
      </w:r>
      <w:r w:rsidR="00EB4471">
        <w:t xml:space="preserve">, to complement and, where necessary, </w:t>
      </w:r>
      <w:r w:rsidR="00B60A6E">
        <w:t xml:space="preserve">supplement </w:t>
      </w:r>
      <w:r w:rsidR="00EB4471">
        <w:t xml:space="preserve">individual governments’ </w:t>
      </w:r>
      <w:r w:rsidR="00F54BD2">
        <w:t>arrangements. The Inspector-General recommends the Productivity Commission clarify</w:t>
      </w:r>
      <w:r w:rsidR="0000332E">
        <w:t xml:space="preserve"> how a fit-for-purpose framework could also be applied at a national level</w:t>
      </w:r>
      <w:r w:rsidR="003C48D5">
        <w:t xml:space="preserve"> in support of the modernised goal of the NWI.</w:t>
      </w:r>
    </w:p>
    <w:p w14:paraId="6298D34D" w14:textId="783B3B11" w:rsidR="00E5588C" w:rsidRDefault="009167FC" w:rsidP="009167FC">
      <w:pPr>
        <w:pStyle w:val="Heading2"/>
      </w:pPr>
      <w:bookmarkStart w:id="9" w:name="_Toc164235814"/>
      <w:r w:rsidRPr="000930C4">
        <w:t>Water entitlements and planning</w:t>
      </w:r>
      <w:bookmarkEnd w:id="9"/>
    </w:p>
    <w:p w14:paraId="27B6D0BC" w14:textId="62244E21" w:rsidR="00752AF5" w:rsidRDefault="0000639C" w:rsidP="0033672F">
      <w:pPr>
        <w:rPr>
          <w:lang w:val="x-none"/>
        </w:rPr>
      </w:pPr>
      <w:r>
        <w:rPr>
          <w:lang w:val="x-none"/>
        </w:rPr>
        <w:t xml:space="preserve">The Inspector-General has key responsibilities </w:t>
      </w:r>
      <w:r w:rsidR="004A115A">
        <w:rPr>
          <w:lang w:val="x-none"/>
        </w:rPr>
        <w:t xml:space="preserve">relating to </w:t>
      </w:r>
      <w:r>
        <w:rPr>
          <w:lang w:val="x-none"/>
        </w:rPr>
        <w:t xml:space="preserve">water accounting in the Basin (see section on </w:t>
      </w:r>
      <w:r w:rsidRPr="00822507">
        <w:rPr>
          <w:rStyle w:val="IntenseEmphasis"/>
        </w:rPr>
        <w:fldChar w:fldCharType="begin"/>
      </w:r>
      <w:r w:rsidRPr="00822507">
        <w:rPr>
          <w:rStyle w:val="IntenseEmphasis"/>
        </w:rPr>
        <w:instrText xml:space="preserve"> REF _Ref164161260 \h </w:instrText>
      </w:r>
      <w:r w:rsidR="00822507">
        <w:rPr>
          <w:rStyle w:val="IntenseEmphasis"/>
        </w:rPr>
        <w:instrText xml:space="preserve"> \* MERGEFORMAT </w:instrText>
      </w:r>
      <w:r w:rsidRPr="00822507">
        <w:rPr>
          <w:rStyle w:val="IntenseEmphasis"/>
        </w:rPr>
      </w:r>
      <w:r w:rsidRPr="00822507">
        <w:rPr>
          <w:rStyle w:val="IntenseEmphasis"/>
        </w:rPr>
        <w:fldChar w:fldCharType="separate"/>
      </w:r>
      <w:r w:rsidRPr="001C1A46">
        <w:rPr>
          <w:rStyle w:val="IntenseEmphasis"/>
        </w:rPr>
        <w:t>Ensuring the integrity of water resource management</w:t>
      </w:r>
      <w:r w:rsidRPr="00822507">
        <w:rPr>
          <w:rStyle w:val="IntenseEmphasis"/>
        </w:rPr>
        <w:fldChar w:fldCharType="end"/>
      </w:r>
      <w:r>
        <w:rPr>
          <w:lang w:val="x-none"/>
        </w:rPr>
        <w:t>, below)</w:t>
      </w:r>
      <w:r w:rsidR="003E6D42">
        <w:rPr>
          <w:lang w:val="x-none"/>
        </w:rPr>
        <w:t>, where c</w:t>
      </w:r>
      <w:r w:rsidR="00C419CF">
        <w:rPr>
          <w:lang w:val="x-none"/>
        </w:rPr>
        <w:t xml:space="preserve">omprehensive </w:t>
      </w:r>
      <w:r w:rsidR="00682356">
        <w:rPr>
          <w:lang w:val="x-none"/>
        </w:rPr>
        <w:t>w</w:t>
      </w:r>
      <w:r w:rsidR="00B40419">
        <w:rPr>
          <w:lang w:val="x-none"/>
        </w:rPr>
        <w:t xml:space="preserve">ater accounting arrangements </w:t>
      </w:r>
      <w:r w:rsidR="00682356">
        <w:rPr>
          <w:lang w:val="x-none"/>
        </w:rPr>
        <w:t xml:space="preserve">underpin </w:t>
      </w:r>
      <w:r w:rsidR="00C419CF">
        <w:rPr>
          <w:lang w:val="x-none"/>
        </w:rPr>
        <w:t xml:space="preserve">effective water management </w:t>
      </w:r>
      <w:r w:rsidR="00774A43">
        <w:rPr>
          <w:lang w:val="x-none"/>
        </w:rPr>
        <w:t xml:space="preserve">and compliance </w:t>
      </w:r>
      <w:r w:rsidR="00C419CF">
        <w:rPr>
          <w:lang w:val="x-none"/>
        </w:rPr>
        <w:t xml:space="preserve">arrangements. </w:t>
      </w:r>
      <w:r w:rsidR="00D423C9">
        <w:rPr>
          <w:lang w:val="x-none"/>
        </w:rPr>
        <w:t>Based on this experience, t</w:t>
      </w:r>
      <w:r w:rsidR="00CA7D2B">
        <w:rPr>
          <w:lang w:val="x-none"/>
        </w:rPr>
        <w:t xml:space="preserve">he Inspector-General </w:t>
      </w:r>
      <w:r w:rsidR="0068636B">
        <w:rPr>
          <w:lang w:val="x-none"/>
        </w:rPr>
        <w:t xml:space="preserve">highlights </w:t>
      </w:r>
      <w:r w:rsidR="0030726F">
        <w:rPr>
          <w:lang w:val="x-none"/>
        </w:rPr>
        <w:t xml:space="preserve">the importance for </w:t>
      </w:r>
      <w:r w:rsidR="005C61F9">
        <w:rPr>
          <w:lang w:val="x-none"/>
        </w:rPr>
        <w:t xml:space="preserve">all interception activities </w:t>
      </w:r>
      <w:r w:rsidR="00656098">
        <w:rPr>
          <w:lang w:val="x-none"/>
        </w:rPr>
        <w:t>be</w:t>
      </w:r>
      <w:r w:rsidR="0030726F">
        <w:rPr>
          <w:lang w:val="x-none"/>
        </w:rPr>
        <w:t>ing</w:t>
      </w:r>
      <w:r w:rsidR="00656098">
        <w:rPr>
          <w:lang w:val="x-none"/>
        </w:rPr>
        <w:t xml:space="preserve"> </w:t>
      </w:r>
      <w:r w:rsidR="00A52AC1">
        <w:rPr>
          <w:lang w:val="x-none"/>
        </w:rPr>
        <w:t xml:space="preserve">measured and </w:t>
      </w:r>
      <w:r w:rsidR="00656098">
        <w:rPr>
          <w:lang w:val="x-none"/>
        </w:rPr>
        <w:t>accounted for</w:t>
      </w:r>
      <w:r w:rsidR="00503579">
        <w:rPr>
          <w:lang w:val="x-none"/>
        </w:rPr>
        <w:t xml:space="preserve">, </w:t>
      </w:r>
      <w:r w:rsidR="00A52AC1">
        <w:rPr>
          <w:lang w:val="x-none"/>
        </w:rPr>
        <w:t xml:space="preserve">and </w:t>
      </w:r>
      <w:r w:rsidR="00882A4A">
        <w:rPr>
          <w:lang w:val="x-none"/>
        </w:rPr>
        <w:t>continual improve</w:t>
      </w:r>
      <w:r w:rsidR="0002216E">
        <w:rPr>
          <w:lang w:val="x-none"/>
        </w:rPr>
        <w:t>ments in coverage and accuracy</w:t>
      </w:r>
      <w:r w:rsidR="00882A4A">
        <w:rPr>
          <w:lang w:val="x-none"/>
        </w:rPr>
        <w:t>, regardl</w:t>
      </w:r>
      <w:r w:rsidR="00480BC9">
        <w:rPr>
          <w:lang w:val="x-none"/>
        </w:rPr>
        <w:t>ess</w:t>
      </w:r>
      <w:r w:rsidR="00882A4A">
        <w:rPr>
          <w:lang w:val="x-none"/>
        </w:rPr>
        <w:t xml:space="preserve"> of the </w:t>
      </w:r>
      <w:r w:rsidR="00C7052A">
        <w:rPr>
          <w:lang w:val="x-none"/>
        </w:rPr>
        <w:t>management system adopted by governments</w:t>
      </w:r>
      <w:r w:rsidR="00752AF5">
        <w:rPr>
          <w:lang w:val="x-none"/>
        </w:rPr>
        <w:t>.</w:t>
      </w:r>
    </w:p>
    <w:p w14:paraId="391F08DE" w14:textId="2F933306" w:rsidR="00752AF5" w:rsidRDefault="00752AF5" w:rsidP="46681C5C">
      <w:pPr>
        <w:rPr>
          <w:lang w:val="en-GB"/>
        </w:rPr>
      </w:pPr>
      <w:r w:rsidRPr="46681C5C">
        <w:rPr>
          <w:lang w:val="en-GB"/>
        </w:rPr>
        <w:t xml:space="preserve">As with other elements of the Productivity Commission’s advice, </w:t>
      </w:r>
      <w:r w:rsidR="00C4279B" w:rsidRPr="46681C5C">
        <w:rPr>
          <w:lang w:val="en-GB"/>
        </w:rPr>
        <w:t>there is</w:t>
      </w:r>
      <w:r w:rsidR="000C5A12" w:rsidRPr="46681C5C">
        <w:rPr>
          <w:lang w:val="en-GB"/>
        </w:rPr>
        <w:t xml:space="preserve"> an opportunity to establish more robust governance arrangements</w:t>
      </w:r>
      <w:r w:rsidR="00AC2968" w:rsidRPr="46681C5C">
        <w:rPr>
          <w:lang w:val="en-GB"/>
        </w:rPr>
        <w:t xml:space="preserve"> in the management of water under the renewed NWI</w:t>
      </w:r>
      <w:r w:rsidR="006B2936" w:rsidRPr="46681C5C">
        <w:rPr>
          <w:lang w:val="en-GB"/>
        </w:rPr>
        <w:t>, including in relation to water entitlements and planning</w:t>
      </w:r>
      <w:r w:rsidR="00AC2968" w:rsidRPr="46681C5C">
        <w:rPr>
          <w:lang w:val="en-GB"/>
        </w:rPr>
        <w:t>. These</w:t>
      </w:r>
      <w:r w:rsidR="006B2936" w:rsidRPr="46681C5C">
        <w:rPr>
          <w:lang w:val="en-GB"/>
        </w:rPr>
        <w:t xml:space="preserve"> governance arrangements need to include </w:t>
      </w:r>
      <w:r w:rsidR="00792E3C" w:rsidRPr="46681C5C">
        <w:rPr>
          <w:lang w:val="en-GB"/>
        </w:rPr>
        <w:t>clear assignment of roles and responsibilities, fit-for-purpose reporting</w:t>
      </w:r>
      <w:r w:rsidR="00BA6BBF" w:rsidRPr="46681C5C">
        <w:rPr>
          <w:lang w:val="en-GB"/>
        </w:rPr>
        <w:t>, and effective accountability arrangements.</w:t>
      </w:r>
    </w:p>
    <w:p w14:paraId="3D26F334" w14:textId="0B6B5EA0" w:rsidR="009167FC" w:rsidRDefault="000054F9" w:rsidP="000054F9">
      <w:pPr>
        <w:pStyle w:val="Heading2"/>
      </w:pPr>
      <w:bookmarkStart w:id="10" w:name="_Toc164235815"/>
      <w:r w:rsidRPr="000054F9">
        <w:t>Water trading and markets</w:t>
      </w:r>
      <w:bookmarkEnd w:id="10"/>
    </w:p>
    <w:p w14:paraId="098319FE" w14:textId="77777777" w:rsidR="00240243" w:rsidRDefault="007F6D82" w:rsidP="002F4079">
      <w:r>
        <w:t xml:space="preserve">The Inspector-General is responsible for enforcing the water trading rules set out in the Basin Plan. </w:t>
      </w:r>
      <w:r w:rsidR="002402C2">
        <w:t>The Inspector-General welcomes the Productivity Commission’s renewal advice focused on improving consistency, transparency and efficiency of water trading and markets</w:t>
      </w:r>
      <w:r w:rsidR="00771363">
        <w:t xml:space="preserve">. </w:t>
      </w:r>
    </w:p>
    <w:p w14:paraId="4481A784" w14:textId="1DC64B7D" w:rsidR="000054F9" w:rsidRDefault="00771363" w:rsidP="002F4079">
      <w:r>
        <w:t xml:space="preserve">The Inspector-General’s experiences demonstrate that </w:t>
      </w:r>
      <w:r w:rsidR="00FA77C4">
        <w:t>the quality, consistency, adequacy and timeliness of water market information remain</w:t>
      </w:r>
      <w:r w:rsidR="007A3B13">
        <w:t>s</w:t>
      </w:r>
      <w:r w:rsidR="00FA77C4">
        <w:t xml:space="preserve"> an issue that could be managed through a renewed NWI.</w:t>
      </w:r>
      <w:r w:rsidR="007A3B13">
        <w:t xml:space="preserve"> The Inspector-General </w:t>
      </w:r>
      <w:r w:rsidR="00A52B8C">
        <w:t xml:space="preserve">recommends </w:t>
      </w:r>
      <w:r w:rsidR="007F2E6C">
        <w:t xml:space="preserve">a renewed NWI could </w:t>
      </w:r>
      <w:r w:rsidR="00E84414">
        <w:t xml:space="preserve">also </w:t>
      </w:r>
      <w:r w:rsidR="007F2E6C">
        <w:t xml:space="preserve">include </w:t>
      </w:r>
      <w:r w:rsidR="00A52B8C">
        <w:t xml:space="preserve">governments </w:t>
      </w:r>
      <w:r w:rsidR="00D17B1B">
        <w:t>commit</w:t>
      </w:r>
      <w:r w:rsidR="007F2E6C">
        <w:t>t</w:t>
      </w:r>
      <w:r w:rsidR="00A52B8C">
        <w:t>ing</w:t>
      </w:r>
      <w:r w:rsidR="00D17B1B">
        <w:t xml:space="preserve"> to </w:t>
      </w:r>
      <w:r w:rsidR="00C25477">
        <w:t xml:space="preserve">develop and </w:t>
      </w:r>
      <w:r w:rsidR="00D17B1B">
        <w:t>use</w:t>
      </w:r>
      <w:r w:rsidR="00C25477">
        <w:t xml:space="preserve"> consistent terms and </w:t>
      </w:r>
      <w:r w:rsidR="00932E4A">
        <w:t xml:space="preserve">ways of referring to agencies in reporting water market information, to overcome </w:t>
      </w:r>
      <w:r w:rsidR="00D17B1B">
        <w:t xml:space="preserve">complexities arising through </w:t>
      </w:r>
      <w:r w:rsidR="00272B8B">
        <w:t>different jurisdictional approaches.</w:t>
      </w:r>
    </w:p>
    <w:p w14:paraId="70F9A129" w14:textId="0A151748" w:rsidR="00931EF7" w:rsidRDefault="000054F9" w:rsidP="000054F9">
      <w:pPr>
        <w:pStyle w:val="Heading2"/>
      </w:pPr>
      <w:bookmarkStart w:id="11" w:name="_Toc164235816"/>
      <w:r w:rsidRPr="000054F9">
        <w:lastRenderedPageBreak/>
        <w:t>Environmental management</w:t>
      </w:r>
      <w:bookmarkEnd w:id="11"/>
    </w:p>
    <w:p w14:paraId="13BD1C6D" w14:textId="411BE62E" w:rsidR="000054F9" w:rsidRDefault="006B3E6A" w:rsidP="002F4079">
      <w:r>
        <w:t>The Inspector-General</w:t>
      </w:r>
      <w:r w:rsidR="00D972CE">
        <w:t>’s experiences strongly reinforce the Productivity Commission’s findings.</w:t>
      </w:r>
      <w:r>
        <w:t xml:space="preserve"> </w:t>
      </w:r>
      <w:r w:rsidR="00842A09">
        <w:t xml:space="preserve">The Inspector-General </w:t>
      </w:r>
      <w:r w:rsidR="001C61D5">
        <w:t>agreed to</w:t>
      </w:r>
      <w:r w:rsidR="00842A09">
        <w:t xml:space="preserve"> </w:t>
      </w:r>
      <w:r w:rsidR="001C61D5">
        <w:t xml:space="preserve">consider </w:t>
      </w:r>
      <w:r w:rsidR="00FE7D7B">
        <w:t xml:space="preserve">environmental watering outcomes </w:t>
      </w:r>
      <w:r w:rsidR="00E21212">
        <w:t xml:space="preserve">as a result of </w:t>
      </w:r>
      <w:r w:rsidR="00FE7D7B">
        <w:t xml:space="preserve">the Australian Parliament’s consideration of the </w:t>
      </w:r>
      <w:r w:rsidR="00FE7D7B">
        <w:rPr>
          <w:i/>
          <w:iCs/>
        </w:rPr>
        <w:t>Water Amendments (Restoring our Rivers) Bill 2023</w:t>
      </w:r>
      <w:r w:rsidR="00FE7D7B">
        <w:t xml:space="preserve">. </w:t>
      </w:r>
      <w:r w:rsidR="001A1424">
        <w:t xml:space="preserve">The absence of clearly articulated </w:t>
      </w:r>
      <w:r>
        <w:t xml:space="preserve">outcomes, including indicators, metrics and targets, </w:t>
      </w:r>
      <w:r w:rsidR="00852E9C">
        <w:t xml:space="preserve">makes it </w:t>
      </w:r>
      <w:r w:rsidR="00E37ABD">
        <w:t xml:space="preserve">difficult </w:t>
      </w:r>
      <w:r w:rsidR="00852E9C">
        <w:t xml:space="preserve">to assess environmental water outcomes </w:t>
      </w:r>
      <w:r w:rsidR="006226B2">
        <w:t xml:space="preserve">at </w:t>
      </w:r>
      <w:r w:rsidR="00852E9C">
        <w:t>the Basin</w:t>
      </w:r>
      <w:r w:rsidR="006226B2">
        <w:t xml:space="preserve"> scale</w:t>
      </w:r>
      <w:r w:rsidR="00852E9C">
        <w:t>.</w:t>
      </w:r>
      <w:r w:rsidR="00493D59">
        <w:t xml:space="preserve"> The Inspector-General notes </w:t>
      </w:r>
      <w:r w:rsidR="00741A1D">
        <w:t>this is compounded by the lack of previous reporting</w:t>
      </w:r>
      <w:r w:rsidR="00BF4AD8">
        <w:t xml:space="preserve"> that would allow outcomes to be measured against (i.e., a baseline).</w:t>
      </w:r>
    </w:p>
    <w:p w14:paraId="77B7ACC1" w14:textId="77777777" w:rsidR="007D2C7B" w:rsidRDefault="00BF4AD8" w:rsidP="002F4079">
      <w:r>
        <w:t>The Inspector-General therefore recommends the Productivity Commission</w:t>
      </w:r>
      <w:r w:rsidR="00CD3768">
        <w:t xml:space="preserve"> consider </w:t>
      </w:r>
      <w:r w:rsidR="00E55F82">
        <w:t>also identify</w:t>
      </w:r>
      <w:r w:rsidR="00CD3768">
        <w:t>ing</w:t>
      </w:r>
      <w:r w:rsidR="00E55F82">
        <w:t xml:space="preserve"> the need for</w:t>
      </w:r>
      <w:r w:rsidR="007D2C7B">
        <w:t>:</w:t>
      </w:r>
    </w:p>
    <w:p w14:paraId="7DB30743" w14:textId="5CF45D08" w:rsidR="00F87778" w:rsidRDefault="007D2C7B" w:rsidP="0088104A">
      <w:pPr>
        <w:pStyle w:val="ListBullet"/>
      </w:pPr>
      <w:r>
        <w:t>C</w:t>
      </w:r>
      <w:r w:rsidR="00E55F82">
        <w:t>learly articulated environmental outcome indicators</w:t>
      </w:r>
      <w:r w:rsidR="00801542">
        <w:t xml:space="preserve"> at the Basin scale</w:t>
      </w:r>
    </w:p>
    <w:p w14:paraId="0985FCF5" w14:textId="1AB16D60" w:rsidR="00A76B49" w:rsidRDefault="00F87778" w:rsidP="007D2C7B">
      <w:pPr>
        <w:pStyle w:val="ListBullet"/>
      </w:pPr>
      <w:r>
        <w:t>R</w:t>
      </w:r>
      <w:r w:rsidR="00E55F82">
        <w:t xml:space="preserve">egular </w:t>
      </w:r>
      <w:r>
        <w:t xml:space="preserve">and fit-for-purpose </w:t>
      </w:r>
      <w:r w:rsidR="009E4366">
        <w:t xml:space="preserve">monitoring, evaluation and </w:t>
      </w:r>
      <w:r w:rsidR="00E55F82">
        <w:t>reporting</w:t>
      </w:r>
    </w:p>
    <w:p w14:paraId="47CDB187" w14:textId="0EB0B926" w:rsidR="006E566F" w:rsidRDefault="00AA767D" w:rsidP="00F87778">
      <w:pPr>
        <w:pStyle w:val="ListBullet"/>
      </w:pPr>
      <w:r>
        <w:t xml:space="preserve">Clarifying </w:t>
      </w:r>
      <w:r w:rsidR="00F87778">
        <w:t>the environmental management framework</w:t>
      </w:r>
      <w:r w:rsidR="000C60CD">
        <w:t xml:space="preserve"> and, in particular, </w:t>
      </w:r>
      <w:r w:rsidR="00E129D6">
        <w:t xml:space="preserve">the need for </w:t>
      </w:r>
      <w:r w:rsidR="006E566F">
        <w:t xml:space="preserve">transparent decision-making, and assignment of </w:t>
      </w:r>
      <w:r w:rsidR="000C60CD">
        <w:t>roles and responsibilities</w:t>
      </w:r>
    </w:p>
    <w:p w14:paraId="7FF24A84" w14:textId="1A857185" w:rsidR="00F87778" w:rsidRDefault="0065598E" w:rsidP="00F87778">
      <w:pPr>
        <w:pStyle w:val="ListBullet"/>
      </w:pPr>
      <w:r>
        <w:t xml:space="preserve">Clarifying the </w:t>
      </w:r>
      <w:r w:rsidR="00846056">
        <w:t xml:space="preserve">treatment of environmental water under </w:t>
      </w:r>
      <w:r>
        <w:t xml:space="preserve">relevant </w:t>
      </w:r>
      <w:r w:rsidR="00846056">
        <w:t xml:space="preserve">trading </w:t>
      </w:r>
      <w:r w:rsidR="008E3572">
        <w:t>frameworks</w:t>
      </w:r>
      <w:r w:rsidR="00F956EE">
        <w:t>.</w:t>
      </w:r>
    </w:p>
    <w:p w14:paraId="1F891904" w14:textId="29E95A2E" w:rsidR="00BF4AD8" w:rsidRDefault="008B6B49" w:rsidP="002F4079">
      <w:r>
        <w:t xml:space="preserve">The Inspector-General </w:t>
      </w:r>
      <w:r w:rsidR="00A76B49">
        <w:t xml:space="preserve">also </w:t>
      </w:r>
      <w:r>
        <w:t>considers appropriate</w:t>
      </w:r>
      <w:r w:rsidR="00B57CE9">
        <w:t xml:space="preserve"> governance arrangements</w:t>
      </w:r>
      <w:r w:rsidR="000618A6">
        <w:t xml:space="preserve">, including </w:t>
      </w:r>
      <w:r w:rsidR="0073579E">
        <w:t>clearly assigned roles and responsibilities</w:t>
      </w:r>
      <w:r w:rsidR="00B57CE9">
        <w:t xml:space="preserve"> could facilitate broader public visibility of reported outcomes.</w:t>
      </w:r>
      <w:r w:rsidR="00F956EE">
        <w:t xml:space="preserve"> The Inspector-General notes that the current legislative frameworks do not </w:t>
      </w:r>
      <w:r w:rsidR="005E4D4E">
        <w:t xml:space="preserve">support </w:t>
      </w:r>
      <w:r w:rsidR="003D6F00">
        <w:t>accountability</w:t>
      </w:r>
      <w:r w:rsidR="008F0419">
        <w:t xml:space="preserve"> </w:t>
      </w:r>
      <w:r w:rsidR="000B6150">
        <w:t xml:space="preserve">for </w:t>
      </w:r>
      <w:r w:rsidR="008F0419">
        <w:t>environmental water outcomes</w:t>
      </w:r>
      <w:r w:rsidR="003D6F00">
        <w:t xml:space="preserve"> from a </w:t>
      </w:r>
      <w:r w:rsidR="005E4D4E">
        <w:t>national</w:t>
      </w:r>
      <w:r w:rsidR="003D6F00">
        <w:t xml:space="preserve"> perspective, which </w:t>
      </w:r>
      <w:r w:rsidR="008910D4">
        <w:t>could</w:t>
      </w:r>
      <w:r w:rsidR="008224A3">
        <w:t xml:space="preserve"> </w:t>
      </w:r>
      <w:r w:rsidR="002019A9">
        <w:t xml:space="preserve">be </w:t>
      </w:r>
      <w:r w:rsidR="00783F99">
        <w:t>managed by relevant</w:t>
      </w:r>
      <w:r w:rsidR="006F2E05">
        <w:t xml:space="preserve"> governments through </w:t>
      </w:r>
      <w:r w:rsidR="000F6B64">
        <w:t>the NWI.</w:t>
      </w:r>
      <w:r w:rsidR="00367179">
        <w:t xml:space="preserve"> </w:t>
      </w:r>
      <w:r w:rsidR="005042B0">
        <w:t xml:space="preserve">The need for </w:t>
      </w:r>
      <w:r w:rsidR="00584BBD">
        <w:t xml:space="preserve">improved accountability </w:t>
      </w:r>
      <w:r w:rsidR="001903DB">
        <w:t xml:space="preserve">means </w:t>
      </w:r>
      <w:r w:rsidR="007511A9">
        <w:t xml:space="preserve">there is </w:t>
      </w:r>
      <w:r w:rsidR="003E4563">
        <w:t xml:space="preserve">value in progressing this through the NWI </w:t>
      </w:r>
      <w:r w:rsidR="00726DBD">
        <w:t>instead of or</w:t>
      </w:r>
      <w:r w:rsidR="00A617A1">
        <w:t xml:space="preserve"> </w:t>
      </w:r>
      <w:r w:rsidR="00726DBD">
        <w:t>in advance of legislative reform.</w:t>
      </w:r>
    </w:p>
    <w:p w14:paraId="090E25C6" w14:textId="1AD9E0AE" w:rsidR="000054F9" w:rsidRDefault="005A2156" w:rsidP="005A2156">
      <w:pPr>
        <w:pStyle w:val="Heading2"/>
      </w:pPr>
      <w:bookmarkStart w:id="12" w:name="_Toc164235817"/>
      <w:r>
        <w:t>Securing Aboriginal and Torres Strait Islander people’s interests in water</w:t>
      </w:r>
      <w:bookmarkEnd w:id="12"/>
    </w:p>
    <w:p w14:paraId="7D2127F0" w14:textId="665A504B" w:rsidR="00313BEB" w:rsidRDefault="00313BEB" w:rsidP="00313BEB">
      <w:r>
        <w:t xml:space="preserve">The Basin Plan </w:t>
      </w:r>
      <w:r w:rsidR="002F18AC">
        <w:t xml:space="preserve">supports the </w:t>
      </w:r>
      <w:r>
        <w:t>achieve</w:t>
      </w:r>
      <w:r w:rsidR="002F18AC">
        <w:t>ment</w:t>
      </w:r>
      <w:r w:rsidR="00FD61E1">
        <w:t xml:space="preserve"> of</w:t>
      </w:r>
      <w:r>
        <w:t xml:space="preserve"> </w:t>
      </w:r>
      <w:r w:rsidR="00B26CAB">
        <w:t>A</w:t>
      </w:r>
      <w:r>
        <w:t>boriginal objectives and outcomes that relate to water resources through</w:t>
      </w:r>
      <w:r w:rsidRPr="005E3DBA">
        <w:t xml:space="preserve"> w</w:t>
      </w:r>
      <w:r>
        <w:t xml:space="preserve">ater </w:t>
      </w:r>
      <w:r w:rsidRPr="005E3DBA">
        <w:t>r</w:t>
      </w:r>
      <w:r>
        <w:t xml:space="preserve">esource </w:t>
      </w:r>
      <w:r w:rsidRPr="005E3DBA">
        <w:t>p</w:t>
      </w:r>
      <w:r>
        <w:t>lan</w:t>
      </w:r>
      <w:r w:rsidRPr="005E3DBA">
        <w:t>s</w:t>
      </w:r>
      <w:r w:rsidR="00F52104">
        <w:t>, with specific</w:t>
      </w:r>
      <w:r w:rsidRPr="005E3DBA">
        <w:t xml:space="preserve"> requirements </w:t>
      </w:r>
      <w:r w:rsidR="00F52104">
        <w:t xml:space="preserve">set out in </w:t>
      </w:r>
      <w:r w:rsidRPr="005E3DBA">
        <w:t>Chapter 10, Part 14</w:t>
      </w:r>
      <w:r>
        <w:t xml:space="preserve">. </w:t>
      </w:r>
      <w:r w:rsidRPr="00761BAF">
        <w:t xml:space="preserve">In preparing a </w:t>
      </w:r>
      <w:r w:rsidR="00F91461">
        <w:t>water resource plan</w:t>
      </w:r>
      <w:r w:rsidRPr="00761BAF">
        <w:t xml:space="preserve">, and through consultation with </w:t>
      </w:r>
      <w:r w:rsidRPr="00421967">
        <w:t>Traditional Owners</w:t>
      </w:r>
      <w:r w:rsidRPr="00761BAF">
        <w:t>, Basin State</w:t>
      </w:r>
      <w:r w:rsidR="00F91461">
        <w:t>s</w:t>
      </w:r>
      <w:r w:rsidRPr="00761BAF">
        <w:t xml:space="preserve"> identif</w:t>
      </w:r>
      <w:r w:rsidR="00F91461">
        <w:t>y</w:t>
      </w:r>
      <w:r w:rsidRPr="00761BAF">
        <w:t xml:space="preserve"> opportunities to strengthen the protection of Aboriginal values and uses</w:t>
      </w:r>
      <w:r>
        <w:t xml:space="preserve"> that relate to water resources. However, </w:t>
      </w:r>
      <w:r w:rsidRPr="00E25CA6">
        <w:t>Basin Plan requirement</w:t>
      </w:r>
      <w:r w:rsidR="007130B3">
        <w:t>s</w:t>
      </w:r>
      <w:r w:rsidRPr="00E25CA6">
        <w:t xml:space="preserve"> to ‘have regard to’ these matters can be interpreted in a minimal way, </w:t>
      </w:r>
      <w:r w:rsidR="000C438B">
        <w:t xml:space="preserve">resulting in </w:t>
      </w:r>
      <w:r w:rsidRPr="00E25CA6">
        <w:t>limited accountability</w:t>
      </w:r>
      <w:r w:rsidR="000C438B">
        <w:t xml:space="preserve"> around </w:t>
      </w:r>
      <w:r w:rsidR="008D7BA3">
        <w:t xml:space="preserve">how this consultation is </w:t>
      </w:r>
      <w:r w:rsidR="00EB4E7B">
        <w:t xml:space="preserve">conducted and/or </w:t>
      </w:r>
      <w:r w:rsidR="008D7BA3">
        <w:t>represented in the water resource plan</w:t>
      </w:r>
      <w:r>
        <w:t xml:space="preserve">. </w:t>
      </w:r>
    </w:p>
    <w:p w14:paraId="003D4365" w14:textId="60639942" w:rsidR="0062518A" w:rsidRDefault="003F3F96" w:rsidP="005A2156">
      <w:r>
        <w:t xml:space="preserve">The Inspector-General’s experience in providing oversight around the </w:t>
      </w:r>
      <w:r w:rsidR="004B5B8B">
        <w:t xml:space="preserve">application of the Basin Plan with respect to </w:t>
      </w:r>
      <w:r w:rsidR="005725B0">
        <w:t xml:space="preserve">Indigenous values and uses demonstrates the importance of </w:t>
      </w:r>
      <w:r w:rsidR="005632C6">
        <w:t>articulating</w:t>
      </w:r>
      <w:r w:rsidR="00C17F31">
        <w:t xml:space="preserve"> commitments in a way that ensures these deliver</w:t>
      </w:r>
      <w:r w:rsidR="00F9320F">
        <w:t xml:space="preserve"> the</w:t>
      </w:r>
      <w:r w:rsidR="00C17F31">
        <w:t xml:space="preserve"> intended outcomes. </w:t>
      </w:r>
      <w:r w:rsidR="003132AF">
        <w:t xml:space="preserve">Relevantly, </w:t>
      </w:r>
      <w:r w:rsidR="0037484C">
        <w:t>c</w:t>
      </w:r>
      <w:r w:rsidR="0037484C" w:rsidRPr="00494E60">
        <w:t xml:space="preserve">ommitments </w:t>
      </w:r>
      <w:r w:rsidR="0037484C" w:rsidRPr="005E3DBA">
        <w:t xml:space="preserve">to </w:t>
      </w:r>
      <w:r w:rsidR="0037484C">
        <w:t xml:space="preserve">achieve </w:t>
      </w:r>
      <w:r w:rsidR="00746AAA">
        <w:t>A</w:t>
      </w:r>
      <w:r w:rsidR="0037484C">
        <w:t xml:space="preserve">boriginal objectives and outcomes </w:t>
      </w:r>
      <w:r w:rsidR="00434104">
        <w:t xml:space="preserve">need to be </w:t>
      </w:r>
      <w:r w:rsidR="0037484C" w:rsidRPr="00494E60">
        <w:t>clear, measurable and relevant to the outcomes that are intended to be delivered</w:t>
      </w:r>
      <w:r w:rsidR="00BF32AA">
        <w:t xml:space="preserve">, so these able </w:t>
      </w:r>
      <w:r w:rsidR="006B0F28">
        <w:t xml:space="preserve">to be </w:t>
      </w:r>
      <w:r w:rsidR="0015359E">
        <w:t>monitor</w:t>
      </w:r>
      <w:r w:rsidR="00F35D40">
        <w:t>ed</w:t>
      </w:r>
      <w:r w:rsidR="0015359E">
        <w:t>, report</w:t>
      </w:r>
      <w:r w:rsidR="00F35D40">
        <w:t>ed</w:t>
      </w:r>
      <w:r w:rsidR="0015359E">
        <w:t xml:space="preserve"> and </w:t>
      </w:r>
      <w:r w:rsidR="00F35D40">
        <w:t xml:space="preserve">used to </w:t>
      </w:r>
      <w:r w:rsidR="0015359E">
        <w:t xml:space="preserve">evaluating </w:t>
      </w:r>
      <w:r w:rsidR="00640A4B">
        <w:t xml:space="preserve">the </w:t>
      </w:r>
      <w:r w:rsidR="0015359E">
        <w:t>effectiveness of governments’ efforts.</w:t>
      </w:r>
      <w:r w:rsidR="00BF32AA" w:rsidRPr="00BF32AA">
        <w:t xml:space="preserve"> </w:t>
      </w:r>
    </w:p>
    <w:p w14:paraId="0784A327" w14:textId="67FB70DC" w:rsidR="005A2156" w:rsidRDefault="00BF32AA" w:rsidP="005A2156">
      <w:r>
        <w:t>Furthermore,</w:t>
      </w:r>
      <w:r w:rsidRPr="00494E60">
        <w:t xml:space="preserve"> </w:t>
      </w:r>
      <w:r w:rsidR="0062518A">
        <w:t xml:space="preserve">the Inspector-General’s </w:t>
      </w:r>
      <w:r w:rsidR="000F7FD3">
        <w:t xml:space="preserve">network of field officers across the Basin provides insights on </w:t>
      </w:r>
      <w:r w:rsidR="001C316B">
        <w:t xml:space="preserve">governments’ engagement and collaboration with </w:t>
      </w:r>
      <w:r w:rsidR="00E54AB1">
        <w:t xml:space="preserve">First Nations on Aboriginal interests in water. </w:t>
      </w:r>
      <w:r w:rsidR="00746AAA">
        <w:t>T</w:t>
      </w:r>
      <w:r w:rsidR="00E54AB1">
        <w:t>he Inspector-General</w:t>
      </w:r>
      <w:r w:rsidR="00A102C0">
        <w:t xml:space="preserve"> recommends </w:t>
      </w:r>
      <w:r>
        <w:t>a</w:t>
      </w:r>
      <w:r w:rsidRPr="00B36337">
        <w:t xml:space="preserve">ny reporting and evaluation framework for First Nations engagement in water planning processes should be developed with First Nations people to ensure that the framework is fit for purpose, outlines what is going to </w:t>
      </w:r>
      <w:r w:rsidR="00F0294E">
        <w:t xml:space="preserve">be </w:t>
      </w:r>
      <w:r w:rsidRPr="00B36337">
        <w:t>monitored and how, and has clearly defined mechanisms and timeframes</w:t>
      </w:r>
      <w:r>
        <w:t xml:space="preserve">. </w:t>
      </w:r>
    </w:p>
    <w:p w14:paraId="3B6F2530" w14:textId="7D386608" w:rsidR="005A2156" w:rsidRDefault="00C66FF5" w:rsidP="00C66FF5">
      <w:pPr>
        <w:pStyle w:val="Heading2"/>
      </w:pPr>
      <w:bookmarkStart w:id="13" w:name="_Ref164161260"/>
      <w:bookmarkStart w:id="14" w:name="_Toc164235818"/>
      <w:r w:rsidRPr="00C66FF5">
        <w:lastRenderedPageBreak/>
        <w:t>Ensuring the integrity of water resource management</w:t>
      </w:r>
      <w:bookmarkEnd w:id="13"/>
      <w:bookmarkEnd w:id="14"/>
    </w:p>
    <w:p w14:paraId="16EF08A7" w14:textId="59C69D86" w:rsidR="00C66FF5" w:rsidRDefault="004F7E7E" w:rsidP="005A2156">
      <w:r>
        <w:t xml:space="preserve">As a Commonwealth integrity agency under the </w:t>
      </w:r>
      <w:r>
        <w:rPr>
          <w:i/>
          <w:iCs/>
        </w:rPr>
        <w:t>National Anti-Corruption Commission Act 2022</w:t>
      </w:r>
      <w:r w:rsidR="008E08C9">
        <w:t xml:space="preserve"> (Cth), the Inspector-General </w:t>
      </w:r>
      <w:r w:rsidR="008347DE">
        <w:t xml:space="preserve">strongly supports </w:t>
      </w:r>
      <w:r w:rsidR="005D76F7">
        <w:t xml:space="preserve">the effectiveness of arrangements to ensure (and assure) that the letter and intent of laws and relevant agreements are being delivered. </w:t>
      </w:r>
      <w:r w:rsidR="00B36047">
        <w:t>As such, the Inspector-General</w:t>
      </w:r>
      <w:r w:rsidR="00DC7AAE">
        <w:t>’s experiences in performing their various roles and responsibilities</w:t>
      </w:r>
      <w:r w:rsidR="00E5580C">
        <w:t xml:space="preserve"> provides insights into what could usefully be </w:t>
      </w:r>
      <w:r w:rsidR="007D3A5D">
        <w:t xml:space="preserve">captured </w:t>
      </w:r>
      <w:r w:rsidR="00E5580C">
        <w:t xml:space="preserve">in </w:t>
      </w:r>
      <w:r w:rsidR="007D3A5D">
        <w:t xml:space="preserve">the </w:t>
      </w:r>
      <w:r w:rsidR="00E5580C">
        <w:t>renewed NWI.</w:t>
      </w:r>
    </w:p>
    <w:p w14:paraId="5F9ED4F3" w14:textId="1EE2F486" w:rsidR="007D3A5D" w:rsidRDefault="007D3A5D" w:rsidP="005A2156">
      <w:r>
        <w:t>Under the Water Act, responsibilities for annual water accounting are split between:</w:t>
      </w:r>
    </w:p>
    <w:p w14:paraId="3011F469" w14:textId="7C930456" w:rsidR="007D3A5D" w:rsidRDefault="007D3A5D" w:rsidP="007D3A5D">
      <w:pPr>
        <w:pStyle w:val="ListBullet"/>
      </w:pPr>
      <w:r>
        <w:t xml:space="preserve">Basin States, who are responsible for providing </w:t>
      </w:r>
      <w:r w:rsidR="00735D6C">
        <w:t xml:space="preserve">water take data, information affecting the availability of water and </w:t>
      </w:r>
      <w:r w:rsidR="001F6D04">
        <w:t>statements of compliance against sustainable diversion limits</w:t>
      </w:r>
    </w:p>
    <w:p w14:paraId="223A4F56" w14:textId="2BC735FB" w:rsidR="001F6D04" w:rsidRDefault="001F6D04" w:rsidP="007D3A5D">
      <w:pPr>
        <w:pStyle w:val="ListBullet"/>
      </w:pPr>
      <w:r>
        <w:t>The Murray-Darling Basin Authority, which is responsible for maintaining register</w:t>
      </w:r>
      <w:r w:rsidR="0013509C">
        <w:t>s</w:t>
      </w:r>
      <w:r>
        <w:t xml:space="preserve"> of take</w:t>
      </w:r>
    </w:p>
    <w:p w14:paraId="265EC192" w14:textId="4D3B4BB4" w:rsidR="001F6D04" w:rsidRDefault="001F6D04" w:rsidP="007D3A5D">
      <w:pPr>
        <w:pStyle w:val="ListBullet"/>
      </w:pPr>
      <w:r>
        <w:t xml:space="preserve">The Inspector-General, who is responsible for </w:t>
      </w:r>
      <w:r w:rsidR="00415962">
        <w:t>determining compliance with sustainable diversion limits.</w:t>
      </w:r>
    </w:p>
    <w:p w14:paraId="7ACC5B1F" w14:textId="46225FC8" w:rsidR="0098523B" w:rsidRDefault="00E155D3" w:rsidP="005A2156">
      <w:r>
        <w:t>T</w:t>
      </w:r>
      <w:r w:rsidR="00415962">
        <w:t>he Inspector-General is also responsible for</w:t>
      </w:r>
      <w:r w:rsidR="0098523B">
        <w:t>:</w:t>
      </w:r>
    </w:p>
    <w:p w14:paraId="5A433492" w14:textId="1E439C38" w:rsidR="007D3A5D" w:rsidRDefault="0098523B" w:rsidP="0098523B">
      <w:pPr>
        <w:pStyle w:val="ListBullet"/>
      </w:pPr>
      <w:r>
        <w:t>E</w:t>
      </w:r>
      <w:r w:rsidR="00415962">
        <w:t xml:space="preserve">nforcing compliance with water accounting obligations and the accounting framework </w:t>
      </w:r>
      <w:r w:rsidR="006849E8">
        <w:t xml:space="preserve">of </w:t>
      </w:r>
      <w:r w:rsidR="00415962">
        <w:t>the Basin Plan</w:t>
      </w:r>
      <w:r w:rsidR="00962D16">
        <w:t xml:space="preserve"> and given effect through water resource plans</w:t>
      </w:r>
    </w:p>
    <w:p w14:paraId="5ACA8911" w14:textId="6F683404" w:rsidR="0098523B" w:rsidRDefault="00426C3F" w:rsidP="0098523B">
      <w:pPr>
        <w:pStyle w:val="ListBullet"/>
      </w:pPr>
      <w:r>
        <w:t xml:space="preserve">Monitoring and overseeing performance of obligations under </w:t>
      </w:r>
      <w:r w:rsidR="00896173">
        <w:t xml:space="preserve">certain parts of </w:t>
      </w:r>
      <w:r>
        <w:t xml:space="preserve">the Water Act and </w:t>
      </w:r>
      <w:r w:rsidR="00896173">
        <w:t xml:space="preserve">the entirety of the </w:t>
      </w:r>
      <w:r>
        <w:t>Basin Plan</w:t>
      </w:r>
      <w:r w:rsidR="003A1E21">
        <w:t xml:space="preserve"> and water resource plans</w:t>
      </w:r>
    </w:p>
    <w:p w14:paraId="2C89F178" w14:textId="0540B1BD" w:rsidR="00896173" w:rsidRDefault="00896173" w:rsidP="0098523B">
      <w:pPr>
        <w:pStyle w:val="ListBullet"/>
      </w:pPr>
      <w:r>
        <w:t xml:space="preserve">Monitoring and overseeing implementation of commitments in certain intergovernmental agreements, including </w:t>
      </w:r>
      <w:r w:rsidR="001B7D97">
        <w:t>agreements designed to supplement or support the operation of the Water Act.</w:t>
      </w:r>
    </w:p>
    <w:p w14:paraId="265CD558" w14:textId="460DE7FB" w:rsidR="004B5B75" w:rsidRDefault="00501B37" w:rsidP="001B7D97">
      <w:r>
        <w:t>All of the above</w:t>
      </w:r>
      <w:r w:rsidR="006A1DA9">
        <w:t>, in combination,</w:t>
      </w:r>
      <w:r>
        <w:t xml:space="preserve"> are</w:t>
      </w:r>
      <w:r w:rsidR="006A1DA9">
        <w:t xml:space="preserve"> intended to provide assurance around the </w:t>
      </w:r>
      <w:r w:rsidR="00D16C36">
        <w:t xml:space="preserve">integrity in the operation of the Water Act, Basin Plan and associated intergovernmental agreements. </w:t>
      </w:r>
      <w:r w:rsidR="00F84F2D">
        <w:t>However,</w:t>
      </w:r>
      <w:r w:rsidR="00842F55">
        <w:t xml:space="preserve"> the water accounting arrangements </w:t>
      </w:r>
      <w:r w:rsidR="00D47C70">
        <w:t xml:space="preserve">and Basin Plan reporting arrangements do not </w:t>
      </w:r>
      <w:r w:rsidR="0070117F">
        <w:t>result in the generation and publication of all the information relevant to these matters</w:t>
      </w:r>
      <w:r w:rsidR="00CE3F46">
        <w:t>. Further,</w:t>
      </w:r>
      <w:r w:rsidR="004B3C55">
        <w:t xml:space="preserve"> where information is published, it is often </w:t>
      </w:r>
      <w:r w:rsidR="00CE3F46">
        <w:t xml:space="preserve">provided in a way that </w:t>
      </w:r>
      <w:r w:rsidR="00F17FFC">
        <w:t>does not allow for Basin-wide comparisons or is not meaningful or readily understandable, due to the complexities of multi-jurisdictional</w:t>
      </w:r>
      <w:r w:rsidR="004B5B75">
        <w:t xml:space="preserve"> management arrangements.</w:t>
      </w:r>
      <w:r w:rsidR="00222E61">
        <w:t xml:space="preserve"> The range of reports</w:t>
      </w:r>
      <w:r w:rsidR="00EF4F79">
        <w:t xml:space="preserve"> </w:t>
      </w:r>
      <w:r w:rsidR="001D34F2">
        <w:t xml:space="preserve">also </w:t>
      </w:r>
      <w:r w:rsidR="00EF4F79">
        <w:t>creates confusion around how information provided for one purpose relates to other reports</w:t>
      </w:r>
      <w:r w:rsidR="00C62872">
        <w:t xml:space="preserve"> prepared for other purposes</w:t>
      </w:r>
      <w:r w:rsidR="00120690">
        <w:t>.</w:t>
      </w:r>
    </w:p>
    <w:p w14:paraId="70DCD4BC" w14:textId="4DC21F39" w:rsidR="00656EB5" w:rsidRDefault="004B5B75" w:rsidP="001B7D97">
      <w:r>
        <w:t xml:space="preserve">The Inspector-General is working with Basin State agencies to improve the quality, consistency, accessibility and relevance of </w:t>
      </w:r>
      <w:r w:rsidR="00661CDD">
        <w:t xml:space="preserve">information provided in relation to metering and measurement </w:t>
      </w:r>
      <w:r w:rsidR="007372B2">
        <w:t xml:space="preserve">of water take </w:t>
      </w:r>
      <w:r w:rsidR="00661CDD">
        <w:t>and water compliance performance.</w:t>
      </w:r>
      <w:r w:rsidR="00F84F2D">
        <w:t xml:space="preserve"> </w:t>
      </w:r>
      <w:r w:rsidR="001A631E">
        <w:t>However</w:t>
      </w:r>
      <w:r w:rsidR="00656EB5">
        <w:t>, t</w:t>
      </w:r>
      <w:r w:rsidR="00656EB5" w:rsidRPr="00656EB5">
        <w:t xml:space="preserve">here </w:t>
      </w:r>
      <w:r w:rsidR="00DF2DD6">
        <w:t xml:space="preserve">remains </w:t>
      </w:r>
      <w:r w:rsidR="00656EB5" w:rsidRPr="00656EB5">
        <w:t xml:space="preserve">a need for transparency and accountability </w:t>
      </w:r>
      <w:r w:rsidR="00D86B96">
        <w:t xml:space="preserve">around </w:t>
      </w:r>
      <w:r w:rsidR="00656EB5" w:rsidRPr="00656EB5">
        <w:t>the source</w:t>
      </w:r>
      <w:r w:rsidR="006C5A46">
        <w:t>, quality</w:t>
      </w:r>
      <w:r w:rsidR="00656EB5" w:rsidRPr="00656EB5">
        <w:t xml:space="preserve"> and context of </w:t>
      </w:r>
      <w:r w:rsidR="00487F88">
        <w:t xml:space="preserve">information provided in </w:t>
      </w:r>
      <w:r w:rsidR="00656EB5" w:rsidRPr="00656EB5">
        <w:t>water account</w:t>
      </w:r>
      <w:r w:rsidR="00487F88">
        <w:t xml:space="preserve">ing to </w:t>
      </w:r>
      <w:r w:rsidR="00656EB5" w:rsidRPr="00656EB5">
        <w:t>strengthen the integrity of water use info</w:t>
      </w:r>
      <w:r w:rsidR="00487F88">
        <w:t>rmation</w:t>
      </w:r>
      <w:r w:rsidR="00656EB5" w:rsidRPr="00656EB5">
        <w:t xml:space="preserve"> and water management.</w:t>
      </w:r>
    </w:p>
    <w:p w14:paraId="01B6F2FE" w14:textId="4063A8F9" w:rsidR="001B7D97" w:rsidRDefault="00487F88" w:rsidP="001B7D97">
      <w:r>
        <w:t>T</w:t>
      </w:r>
      <w:r w:rsidR="00F84F2D">
        <w:t xml:space="preserve">here </w:t>
      </w:r>
      <w:r>
        <w:t xml:space="preserve">also </w:t>
      </w:r>
      <w:r w:rsidR="00FF6F89">
        <w:t xml:space="preserve">remain gaps around other relevant information that </w:t>
      </w:r>
      <w:r w:rsidR="00EF4F97">
        <w:t xml:space="preserve">provides evidence of </w:t>
      </w:r>
      <w:r w:rsidR="00F84F2D">
        <w:t xml:space="preserve">challenges </w:t>
      </w:r>
      <w:r w:rsidR="00A24CEE">
        <w:t xml:space="preserve">in </w:t>
      </w:r>
      <w:r w:rsidR="00EF4F97">
        <w:t xml:space="preserve">the Inspector-General </w:t>
      </w:r>
      <w:r w:rsidR="00A24CEE">
        <w:t xml:space="preserve">performing </w:t>
      </w:r>
      <w:r w:rsidR="00EF4F97">
        <w:t xml:space="preserve">their responsibilities </w:t>
      </w:r>
      <w:r w:rsidR="00A24CEE">
        <w:t xml:space="preserve">that </w:t>
      </w:r>
      <w:r w:rsidR="0060093C">
        <w:t xml:space="preserve">have implications for the effectiveness of a renewed </w:t>
      </w:r>
      <w:r w:rsidR="008F3BF3">
        <w:t>NWI. These challenges could be managed by:</w:t>
      </w:r>
    </w:p>
    <w:p w14:paraId="265C073A" w14:textId="4FF19716" w:rsidR="00EA3A5A" w:rsidRDefault="000B2B2D" w:rsidP="00CD5C6E">
      <w:pPr>
        <w:pStyle w:val="ListBullet"/>
      </w:pPr>
      <w:r>
        <w:t xml:space="preserve">Recognising that the </w:t>
      </w:r>
      <w:r w:rsidR="00A729CA">
        <w:t xml:space="preserve">information </w:t>
      </w:r>
      <w:r>
        <w:t>reporting</w:t>
      </w:r>
      <w:r w:rsidR="00EA3A5A">
        <w:t>, including, and in addition to,</w:t>
      </w:r>
      <w:r>
        <w:t xml:space="preserve"> under legislation</w:t>
      </w:r>
      <w:r w:rsidR="00A729CA">
        <w:t>,</w:t>
      </w:r>
      <w:r>
        <w:t xml:space="preserve"> </w:t>
      </w:r>
      <w:r w:rsidR="00CF79C4">
        <w:t xml:space="preserve">are not set and forget, and should be periodically reviewed and updated to ensure the information provided is relevant, </w:t>
      </w:r>
      <w:r w:rsidR="000F07A8">
        <w:t xml:space="preserve">reliable, </w:t>
      </w:r>
      <w:r w:rsidR="00CF79C4">
        <w:t>adequate, consistent and timely</w:t>
      </w:r>
    </w:p>
    <w:p w14:paraId="148C4001" w14:textId="1253CA50" w:rsidR="00726CD2" w:rsidRDefault="009848C3" w:rsidP="00CD5C6E">
      <w:pPr>
        <w:pStyle w:val="ListBullet"/>
      </w:pPr>
      <w:r>
        <w:t xml:space="preserve">The </w:t>
      </w:r>
      <w:r w:rsidR="00EA3A5A">
        <w:t xml:space="preserve">need to provide clarity around </w:t>
      </w:r>
      <w:r w:rsidR="00A87AC8">
        <w:t xml:space="preserve">information </w:t>
      </w:r>
      <w:r w:rsidR="00EA3A5A">
        <w:t>commitments and governance</w:t>
      </w:r>
      <w:r w:rsidR="000F07A8">
        <w:t xml:space="preserve"> arrangements</w:t>
      </w:r>
      <w:r w:rsidR="00EA3A5A">
        <w:t>, for example,</w:t>
      </w:r>
      <w:r w:rsidR="00E26DC1">
        <w:t xml:space="preserve"> what </w:t>
      </w:r>
      <w:r w:rsidR="0066367D">
        <w:t xml:space="preserve">information </w:t>
      </w:r>
      <w:r w:rsidR="00E26DC1">
        <w:t xml:space="preserve">has been committed </w:t>
      </w:r>
      <w:r w:rsidR="0066367D">
        <w:t>to be provided</w:t>
      </w:r>
      <w:r w:rsidR="00A94FE3">
        <w:t>, in what frequency</w:t>
      </w:r>
      <w:r w:rsidR="00A87AC8">
        <w:t>, for what purpose(s),</w:t>
      </w:r>
      <w:r w:rsidR="00A94FE3">
        <w:t xml:space="preserve"> and to whom</w:t>
      </w:r>
    </w:p>
    <w:p w14:paraId="13F19C4D" w14:textId="0FF02F7C" w:rsidR="003231CE" w:rsidRDefault="00F626F7" w:rsidP="00CD5C6E">
      <w:pPr>
        <w:pStyle w:val="ListBullet"/>
      </w:pPr>
      <w:r>
        <w:t>Gaps in a</w:t>
      </w:r>
      <w:r w:rsidR="00CE1CC9">
        <w:t>ccurate m</w:t>
      </w:r>
      <w:r w:rsidR="00DE5A99">
        <w:t xml:space="preserve">easurement of water take remains an </w:t>
      </w:r>
      <w:r w:rsidR="00E6567C">
        <w:t xml:space="preserve">enduring risk to </w:t>
      </w:r>
      <w:r w:rsidR="00CE1CC9">
        <w:t xml:space="preserve">the </w:t>
      </w:r>
      <w:r w:rsidR="00E6567C">
        <w:t>effectiveness of water management under the Water Act</w:t>
      </w:r>
      <w:r w:rsidR="002E214A">
        <w:t xml:space="preserve"> that </w:t>
      </w:r>
      <w:r w:rsidR="00464BE9">
        <w:t xml:space="preserve">has been subject to previous commitments and public funding to manage </w:t>
      </w:r>
      <w:r w:rsidR="009D5889">
        <w:t xml:space="preserve">and, as such, </w:t>
      </w:r>
      <w:r w:rsidR="00BB4D4C">
        <w:t xml:space="preserve">needs to </w:t>
      </w:r>
      <w:r w:rsidR="009D5889">
        <w:t xml:space="preserve">be </w:t>
      </w:r>
      <w:r w:rsidR="00461CEE">
        <w:t xml:space="preserve">prioritised as an area for </w:t>
      </w:r>
      <w:r w:rsidR="005770B3">
        <w:t>action</w:t>
      </w:r>
    </w:p>
    <w:p w14:paraId="55363D02" w14:textId="6D1945DA" w:rsidR="009848C3" w:rsidRDefault="003231CE" w:rsidP="00CD5C6E">
      <w:pPr>
        <w:pStyle w:val="ListBullet"/>
      </w:pPr>
      <w:r>
        <w:lastRenderedPageBreak/>
        <w:t xml:space="preserve">Improving the transparency around </w:t>
      </w:r>
      <w:r w:rsidR="0022073C">
        <w:t>information that is provided for water accounting purposes,</w:t>
      </w:r>
      <w:r w:rsidR="00D91849">
        <w:t xml:space="preserve"> </w:t>
      </w:r>
      <w:r w:rsidR="00C81F9F">
        <w:t>including the source of the information and any factors that could affect the reliability of that information</w:t>
      </w:r>
      <w:r w:rsidR="005770B3">
        <w:t>.</w:t>
      </w:r>
    </w:p>
    <w:p w14:paraId="6AE9AB30" w14:textId="480F3EFB" w:rsidR="00C66FF5" w:rsidRDefault="00562452" w:rsidP="00562452">
      <w:pPr>
        <w:pStyle w:val="Heading2"/>
      </w:pPr>
      <w:bookmarkStart w:id="15" w:name="_Toc164235819"/>
      <w:r w:rsidRPr="00562452">
        <w:t>Urban water services</w:t>
      </w:r>
      <w:bookmarkEnd w:id="15"/>
    </w:p>
    <w:p w14:paraId="10F2DF0B" w14:textId="63054B41" w:rsidR="00562452" w:rsidRDefault="00342E80" w:rsidP="005A2156">
      <w:r>
        <w:t xml:space="preserve">Under the Water Act, the Inspector-General has been delegated by Basin States certain powers with respect to critical human water needs. In addition, the Inspector-General </w:t>
      </w:r>
      <w:r w:rsidR="00BC32A2">
        <w:t xml:space="preserve">may provide assurance with regard to urban water services </w:t>
      </w:r>
      <w:r w:rsidR="003270E3">
        <w:t xml:space="preserve">that relate to Basin water resources and are </w:t>
      </w:r>
      <w:r w:rsidR="000B46DD">
        <w:t xml:space="preserve">covered under the NWI. </w:t>
      </w:r>
    </w:p>
    <w:p w14:paraId="2A8D3C6C" w14:textId="0CF624BF" w:rsidR="004C3BF3" w:rsidRDefault="000B46DD" w:rsidP="002F5184">
      <w:r>
        <w:t xml:space="preserve">The Inspector-General </w:t>
      </w:r>
      <w:r w:rsidR="00C13B64">
        <w:t xml:space="preserve">recognises </w:t>
      </w:r>
      <w:r>
        <w:t>that</w:t>
      </w:r>
      <w:r w:rsidR="00C505F5">
        <w:t xml:space="preserve"> access to safe, reliable water for human consumption in </w:t>
      </w:r>
      <w:r w:rsidR="00C13B64">
        <w:t>regional areas is going to be more challenging with a changing climate. As such, there is likely to be a strong interest in understanding the outcomes</w:t>
      </w:r>
      <w:r w:rsidR="00FF3631">
        <w:t xml:space="preserve"> for communities in </w:t>
      </w:r>
      <w:r w:rsidR="00F30DF1">
        <w:t xml:space="preserve">regional </w:t>
      </w:r>
      <w:r w:rsidR="00FF3631">
        <w:t xml:space="preserve">areas. </w:t>
      </w:r>
    </w:p>
    <w:p w14:paraId="41DB8AB1" w14:textId="5EA5CD46" w:rsidR="002F5184" w:rsidRDefault="00FF3631" w:rsidP="002F5184">
      <w:r>
        <w:t xml:space="preserve">Similar to environmental outcomes, </w:t>
      </w:r>
      <w:r w:rsidR="002F5184">
        <w:t>the Inspector-General recommends the Productivity Commission</w:t>
      </w:r>
      <w:r w:rsidR="00F30DF1">
        <w:t xml:space="preserve"> </w:t>
      </w:r>
      <w:r w:rsidR="002F5184">
        <w:t xml:space="preserve">also identify the need for clearly articulated indicators and regular reporting against those indicators. The Inspector-General considers appropriate governance arrangements </w:t>
      </w:r>
      <w:r w:rsidR="004C3BF3">
        <w:t>w</w:t>
      </w:r>
      <w:r w:rsidR="002F5184">
        <w:t>ould facilitate broader public visibility of reported outcomes.</w:t>
      </w:r>
    </w:p>
    <w:p w14:paraId="3B9AE3CF" w14:textId="42F4E59C" w:rsidR="000E52E7" w:rsidRDefault="0066157E" w:rsidP="0066157E">
      <w:pPr>
        <w:pStyle w:val="Heading2"/>
      </w:pPr>
      <w:bookmarkStart w:id="16" w:name="_Toc164235820"/>
      <w:r w:rsidRPr="0066157E">
        <w:t>Government investment in major water infrastructure</w:t>
      </w:r>
      <w:bookmarkEnd w:id="16"/>
    </w:p>
    <w:p w14:paraId="7253A423" w14:textId="34AA8ECC" w:rsidR="00BD7888" w:rsidRDefault="00443F90" w:rsidP="005A2156">
      <w:r>
        <w:t xml:space="preserve">Under the Water Act, the Inspector-General is responsible for overseeing the implementation of commitments in certain funding agreements between the Commonwealth and Basin State governments. </w:t>
      </w:r>
      <w:r w:rsidR="006D7F6E" w:rsidRPr="00E37ABD">
        <w:t xml:space="preserve">In </w:t>
      </w:r>
      <w:r w:rsidR="00E27DF4" w:rsidRPr="00E37ABD">
        <w:t xml:space="preserve">2022-23 </w:t>
      </w:r>
      <w:r w:rsidR="006D7F6E" w:rsidRPr="00E37ABD">
        <w:t xml:space="preserve">the Inspector-General </w:t>
      </w:r>
      <w:r w:rsidR="003267E7">
        <w:t>r</w:t>
      </w:r>
      <w:r w:rsidR="006D7F6E" w:rsidRPr="00E37ABD">
        <w:t>eview</w:t>
      </w:r>
      <w:r w:rsidR="00052711">
        <w:t>ed</w:t>
      </w:r>
      <w:r w:rsidR="003267E7" w:rsidRPr="003267E7">
        <w:t xml:space="preserve"> </w:t>
      </w:r>
      <w:r w:rsidR="000A1006">
        <w:t>the transparency</w:t>
      </w:r>
      <w:r w:rsidR="006D7F6E" w:rsidRPr="00E37ABD">
        <w:t xml:space="preserve"> </w:t>
      </w:r>
      <w:r w:rsidR="00052711">
        <w:t>of</w:t>
      </w:r>
      <w:r w:rsidR="004F5D81">
        <w:t xml:space="preserve"> the </w:t>
      </w:r>
      <w:r w:rsidR="006D7F6E" w:rsidRPr="00E37ABD">
        <w:t>$13 billion</w:t>
      </w:r>
      <w:r w:rsidR="006D7F6E">
        <w:t xml:space="preserve"> </w:t>
      </w:r>
      <w:r w:rsidR="000F4343">
        <w:t>in</w:t>
      </w:r>
      <w:r w:rsidR="004F5D81">
        <w:t xml:space="preserve"> Commonwealth expenditure</w:t>
      </w:r>
      <w:r w:rsidR="006D7F6E" w:rsidRPr="00E37ABD">
        <w:t xml:space="preserve"> </w:t>
      </w:r>
      <w:r w:rsidR="00C57D6A">
        <w:t>associated with</w:t>
      </w:r>
      <w:r w:rsidR="00E27DF4" w:rsidRPr="00E37ABD">
        <w:t xml:space="preserve"> the Basin Plan.</w:t>
      </w:r>
      <w:r w:rsidR="00AD0AF8" w:rsidRPr="0003505E">
        <w:rPr>
          <w:rFonts w:eastAsiaTheme="minorEastAsia" w:cs="Segoe UI"/>
          <w:szCs w:val="20"/>
          <w:lang w:eastAsia="en-GB"/>
        </w:rPr>
        <w:t xml:space="preserve"> </w:t>
      </w:r>
      <w:r w:rsidR="005837DD">
        <w:t>This review revealed insufficient</w:t>
      </w:r>
      <w:r w:rsidR="00AD0AF8">
        <w:t xml:space="preserve"> </w:t>
      </w:r>
      <w:r w:rsidR="00C521CB">
        <w:t>public</w:t>
      </w:r>
      <w:r w:rsidR="00AD0AF8" w:rsidRPr="00E37ABD">
        <w:t xml:space="preserve"> information </w:t>
      </w:r>
      <w:r w:rsidR="001A635C" w:rsidRPr="001A635C">
        <w:t>on how the funds were allocated, what specific outcomes were achieved, and how much of the budget remained unspent</w:t>
      </w:r>
      <w:r w:rsidR="004D788A" w:rsidRPr="00E37ABD">
        <w:t>.</w:t>
      </w:r>
      <w:r>
        <w:t xml:space="preserve"> </w:t>
      </w:r>
    </w:p>
    <w:p w14:paraId="1485D803" w14:textId="5B77C058" w:rsidR="0066157E" w:rsidRDefault="008D23E5" w:rsidP="005A2156">
      <w:r>
        <w:t xml:space="preserve">In light of this </w:t>
      </w:r>
      <w:r w:rsidR="00E91C82">
        <w:t>work</w:t>
      </w:r>
      <w:r>
        <w:t xml:space="preserve">, the Inspector-General recommends that the renewed NWI </w:t>
      </w:r>
      <w:r w:rsidR="003D6BD3">
        <w:t xml:space="preserve">could </w:t>
      </w:r>
      <w:r>
        <w:t xml:space="preserve">also include establishing project delivery metrics to facilitate </w:t>
      </w:r>
      <w:r w:rsidR="00C120A7">
        <w:t xml:space="preserve">governments’ </w:t>
      </w:r>
      <w:r w:rsidR="00090FAE">
        <w:t>timely</w:t>
      </w:r>
      <w:r w:rsidR="00DE798D">
        <w:t xml:space="preserve"> </w:t>
      </w:r>
      <w:r w:rsidR="00C120A7">
        <w:t xml:space="preserve">tracking and public </w:t>
      </w:r>
      <w:r w:rsidR="00DE798D">
        <w:t>reporting</w:t>
      </w:r>
      <w:r w:rsidR="00221224">
        <w:t>,</w:t>
      </w:r>
      <w:r w:rsidR="00DE798D">
        <w:t xml:space="preserve"> to improve the </w:t>
      </w:r>
      <w:r w:rsidR="00C120A7">
        <w:t>visibility</w:t>
      </w:r>
      <w:r w:rsidR="00221224">
        <w:t>,</w:t>
      </w:r>
      <w:r w:rsidR="00C120A7">
        <w:t xml:space="preserve"> of </w:t>
      </w:r>
      <w:r w:rsidR="00E8230A">
        <w:t xml:space="preserve">government </w:t>
      </w:r>
      <w:r w:rsidR="008A73F4">
        <w:t xml:space="preserve">funded </w:t>
      </w:r>
      <w:r w:rsidR="00C120A7">
        <w:t>infrastructure progress.</w:t>
      </w:r>
    </w:p>
    <w:p w14:paraId="5DBA1239" w14:textId="112B8732" w:rsidR="008F785A" w:rsidRDefault="004E5C56" w:rsidP="00C00F5D">
      <w:pPr>
        <w:pStyle w:val="Heading1"/>
      </w:pPr>
      <w:bookmarkStart w:id="17" w:name="_Toc164235821"/>
      <w:r>
        <w:lastRenderedPageBreak/>
        <w:t xml:space="preserve">Expanding </w:t>
      </w:r>
      <w:r w:rsidR="00AE49D0">
        <w:t>Commonwealth laws</w:t>
      </w:r>
      <w:bookmarkEnd w:id="17"/>
    </w:p>
    <w:p w14:paraId="2622FAA8" w14:textId="78595B05" w:rsidR="00AE49D0" w:rsidRDefault="00FA5ABA" w:rsidP="002F4079">
      <w:r>
        <w:t xml:space="preserve">The Inspector-General notes the Productivity Commission </w:t>
      </w:r>
      <w:r w:rsidR="004E5C56">
        <w:t xml:space="preserve">will provide advice on the potential utilisation of the Commonwealth water laws as a framework for guiding national water reform policy. The Inspector-General offers the following observations </w:t>
      </w:r>
      <w:r w:rsidR="00E40F69">
        <w:t xml:space="preserve">to </w:t>
      </w:r>
      <w:r w:rsidR="005F2BAE">
        <w:t xml:space="preserve">inform the Productivity Commission in </w:t>
      </w:r>
      <w:r w:rsidR="00AE49D0">
        <w:t>developing this advice.</w:t>
      </w:r>
    </w:p>
    <w:p w14:paraId="2A96D508" w14:textId="342599BD" w:rsidR="006C50D0" w:rsidRDefault="00471E2B" w:rsidP="002F4079">
      <w:r>
        <w:t xml:space="preserve">The Commonwealth water laws are national laws, which means they are capable of </w:t>
      </w:r>
      <w:r w:rsidR="00B21BEB">
        <w:t xml:space="preserve">applying across jurisdictions or to provide regulatory frameworks to support the </w:t>
      </w:r>
      <w:r w:rsidR="00435012">
        <w:t>deliver</w:t>
      </w:r>
      <w:r w:rsidR="00D746BC">
        <w:t>y of</w:t>
      </w:r>
      <w:r w:rsidR="00435012">
        <w:t xml:space="preserve"> </w:t>
      </w:r>
      <w:r w:rsidR="00B21BEB">
        <w:t>national interest</w:t>
      </w:r>
      <w:r w:rsidR="00435012">
        <w:t xml:space="preserve"> water management outcomes</w:t>
      </w:r>
      <w:r w:rsidR="00B21BEB">
        <w:t xml:space="preserve">. </w:t>
      </w:r>
      <w:r w:rsidR="00FA5ABA">
        <w:t xml:space="preserve">However, </w:t>
      </w:r>
      <w:r w:rsidR="007C285C">
        <w:t xml:space="preserve">the </w:t>
      </w:r>
      <w:r w:rsidR="00FA5ABA">
        <w:t xml:space="preserve">constitutional split in powers between </w:t>
      </w:r>
      <w:r w:rsidR="00B8076A">
        <w:t xml:space="preserve">states and the Commonwealth means these laws </w:t>
      </w:r>
      <w:r w:rsidR="007C285C">
        <w:t xml:space="preserve">will still </w:t>
      </w:r>
      <w:r w:rsidR="00B8076A">
        <w:t>need to be supported by intergovernmental agreements</w:t>
      </w:r>
      <w:r w:rsidR="002D1BBC">
        <w:t>, to ensure the efficacy of the Commonwealth’s legislative framework.</w:t>
      </w:r>
      <w:r w:rsidR="00E10F00">
        <w:t xml:space="preserve"> </w:t>
      </w:r>
    </w:p>
    <w:p w14:paraId="583D82A6" w14:textId="0C3522A6" w:rsidR="00E10F00" w:rsidRDefault="00E10F00" w:rsidP="002F4079">
      <w:r>
        <w:t xml:space="preserve">To maintain the integrity of national water reforms where </w:t>
      </w:r>
      <w:r w:rsidR="00EC18B7">
        <w:t xml:space="preserve">implemented through a combination of legislation and intergovernmental agreements, the Inspector-General recommends ensuring </w:t>
      </w:r>
      <w:r w:rsidR="002B7974">
        <w:t xml:space="preserve">that issues of governance, accountability and consequence are clearly set out </w:t>
      </w:r>
      <w:r w:rsidR="00773FDA">
        <w:t xml:space="preserve">and </w:t>
      </w:r>
      <w:r w:rsidR="002A07E1">
        <w:t>in</w:t>
      </w:r>
      <w:r w:rsidR="00773FDA">
        <w:t xml:space="preserve"> a way that is able to be </w:t>
      </w:r>
      <w:r w:rsidR="002B7974">
        <w:t>enforced</w:t>
      </w:r>
      <w:r w:rsidR="00832E55">
        <w:t xml:space="preserve">. </w:t>
      </w:r>
      <w:r w:rsidR="009D2557">
        <w:t>This would include, among other things</w:t>
      </w:r>
      <w:r w:rsidR="00832E55">
        <w:t>:</w:t>
      </w:r>
    </w:p>
    <w:p w14:paraId="77B60815" w14:textId="7751C1AB" w:rsidR="00832E55" w:rsidRDefault="00832E55" w:rsidP="00832E55">
      <w:pPr>
        <w:pStyle w:val="ListBullet"/>
      </w:pPr>
      <w:r>
        <w:t>Roles and responsibilities are clearly assigned</w:t>
      </w:r>
      <w:r w:rsidR="004D7B95">
        <w:t xml:space="preserve">, </w:t>
      </w:r>
      <w:r w:rsidR="002844C5">
        <w:t>preferably</w:t>
      </w:r>
      <w:r w:rsidR="004D7B95">
        <w:t xml:space="preserve"> to the relevant </w:t>
      </w:r>
      <w:r w:rsidR="00AD41EE">
        <w:t>officeholder</w:t>
      </w:r>
      <w:r w:rsidR="004D7B95">
        <w:t xml:space="preserve"> or agency </w:t>
      </w:r>
      <w:r w:rsidR="00D85CD3">
        <w:t>which is responsible</w:t>
      </w:r>
      <w:r w:rsidR="004E0964">
        <w:t xml:space="preserve"> for a decision</w:t>
      </w:r>
      <w:r w:rsidR="00D85CD3">
        <w:t xml:space="preserve">, </w:t>
      </w:r>
      <w:r w:rsidR="004E0964">
        <w:t xml:space="preserve">or which </w:t>
      </w:r>
      <w:r w:rsidR="00D85CD3">
        <w:t xml:space="preserve">owns or </w:t>
      </w:r>
      <w:r w:rsidR="004E0964">
        <w:t xml:space="preserve">controls </w:t>
      </w:r>
      <w:r w:rsidR="002A58A9">
        <w:t>a process</w:t>
      </w:r>
      <w:r w:rsidR="004D7B95">
        <w:t>, as appropriate</w:t>
      </w:r>
    </w:p>
    <w:p w14:paraId="63854668" w14:textId="53CA718B" w:rsidR="002A58A9" w:rsidRDefault="002A58A9" w:rsidP="00832E55">
      <w:pPr>
        <w:pStyle w:val="ListBullet"/>
      </w:pPr>
      <w:r>
        <w:t xml:space="preserve">Commitments are clear, </w:t>
      </w:r>
      <w:r w:rsidR="00E653BE">
        <w:t>measurable and relevant</w:t>
      </w:r>
      <w:r w:rsidR="00AF221A">
        <w:t xml:space="preserve"> to the outcomes that are intended to be delivered</w:t>
      </w:r>
      <w:r w:rsidR="00F549B1">
        <w:t xml:space="preserve">; language such as </w:t>
      </w:r>
      <w:r w:rsidR="00E471CD" w:rsidRPr="00E471CD">
        <w:t>facilitate, consider, collaborate, work with</w:t>
      </w:r>
      <w:r w:rsidR="00E471CD">
        <w:t>,</w:t>
      </w:r>
      <w:r w:rsidR="00E471CD" w:rsidRPr="00E471CD">
        <w:t xml:space="preserve"> optimise</w:t>
      </w:r>
      <w:r w:rsidR="00E471CD">
        <w:t xml:space="preserve">, etc. should be avoided or </w:t>
      </w:r>
      <w:r w:rsidR="001F331E">
        <w:t>supplemented</w:t>
      </w:r>
      <w:r w:rsidR="002844C5">
        <w:t xml:space="preserve"> </w:t>
      </w:r>
      <w:r w:rsidR="00E471CD">
        <w:t>by</w:t>
      </w:r>
      <w:r w:rsidR="00D515BE">
        <w:t xml:space="preserve"> appropriate</w:t>
      </w:r>
      <w:r w:rsidR="00007B90">
        <w:t xml:space="preserve"> associated</w:t>
      </w:r>
      <w:r w:rsidR="00E471CD">
        <w:t xml:space="preserve"> </w:t>
      </w:r>
      <w:r w:rsidR="00674340">
        <w:t>metrics</w:t>
      </w:r>
    </w:p>
    <w:p w14:paraId="2ABCD4A2" w14:textId="4CA7111C" w:rsidR="00AF221A" w:rsidRDefault="00255B73" w:rsidP="00832E55">
      <w:pPr>
        <w:pStyle w:val="ListBullet"/>
      </w:pPr>
      <w:r>
        <w:t xml:space="preserve">Commitments </w:t>
      </w:r>
      <w:r w:rsidR="00FE0F5E">
        <w:t>c</w:t>
      </w:r>
      <w:r>
        <w:t xml:space="preserve">ould </w:t>
      </w:r>
      <w:r w:rsidR="001A4811">
        <w:t xml:space="preserve">expressly cover, among other things, </w:t>
      </w:r>
      <w:r w:rsidR="00EE2F53">
        <w:t>p</w:t>
      </w:r>
      <w:r w:rsidR="005335E2">
        <w:t>rovision of information</w:t>
      </w:r>
      <w:r>
        <w:t>, including content, timing</w:t>
      </w:r>
      <w:r w:rsidR="00EE2F53">
        <w:t>,</w:t>
      </w:r>
      <w:r>
        <w:t xml:space="preserve"> </w:t>
      </w:r>
      <w:r w:rsidR="00236B0A">
        <w:t xml:space="preserve">purposes, </w:t>
      </w:r>
      <w:r>
        <w:t>to whom</w:t>
      </w:r>
      <w:r w:rsidR="00236B0A">
        <w:t xml:space="preserve"> the information is provided, </w:t>
      </w:r>
      <w:r w:rsidR="00DA6FBC">
        <w:t>management</w:t>
      </w:r>
      <w:r w:rsidR="00EE2F53">
        <w:t xml:space="preserve">, and processes to follow when reviewing and updating information provision </w:t>
      </w:r>
      <w:r w:rsidR="00A851F2">
        <w:t>requirements</w:t>
      </w:r>
    </w:p>
    <w:p w14:paraId="04F0C426" w14:textId="2C547B2C" w:rsidR="0087131D" w:rsidRDefault="0087131D" w:rsidP="00832E55">
      <w:pPr>
        <w:pStyle w:val="ListBullet"/>
      </w:pPr>
      <w:r>
        <w:t>An appropriately independe</w:t>
      </w:r>
      <w:r w:rsidR="000C6C28">
        <w:t xml:space="preserve">nt </w:t>
      </w:r>
      <w:r>
        <w:t xml:space="preserve">agency </w:t>
      </w:r>
      <w:r w:rsidR="006468FF">
        <w:t xml:space="preserve">with </w:t>
      </w:r>
      <w:r w:rsidR="000C6C28">
        <w:t>responsibilities for oversight and assurance</w:t>
      </w:r>
      <w:r w:rsidR="006468FF">
        <w:t xml:space="preserve"> under both legislation and agreements</w:t>
      </w:r>
      <w:r w:rsidR="000C6C28">
        <w:t xml:space="preserve">, with </w:t>
      </w:r>
      <w:r w:rsidR="00B5791A">
        <w:t xml:space="preserve">associated </w:t>
      </w:r>
      <w:r w:rsidR="000C6C28">
        <w:t xml:space="preserve">powers </w:t>
      </w:r>
      <w:r w:rsidR="00B5791A">
        <w:t>that reflect the nature of its role</w:t>
      </w:r>
      <w:r w:rsidR="006468FF">
        <w:t>s and responsibilities</w:t>
      </w:r>
    </w:p>
    <w:p w14:paraId="54125445" w14:textId="1CC1DB0D" w:rsidR="0069040C" w:rsidRDefault="00EC4B73" w:rsidP="00832E55">
      <w:pPr>
        <w:pStyle w:val="ListBullet"/>
      </w:pPr>
      <w:r>
        <w:t>Establishing proportionate c</w:t>
      </w:r>
      <w:r w:rsidR="0069040C">
        <w:t xml:space="preserve">onsequences, and avenues for enforcing those consequences, where </w:t>
      </w:r>
      <w:r w:rsidR="00E55723">
        <w:t>commitments are not implemented, are not implemented in a timely way</w:t>
      </w:r>
      <w:r w:rsidR="004E582E">
        <w:t>,</w:t>
      </w:r>
      <w:r w:rsidR="00E55723">
        <w:t xml:space="preserve"> or are implemented in a way that is contrary to the intended outcome.</w:t>
      </w:r>
    </w:p>
    <w:p w14:paraId="416E3467" w14:textId="3405E46E" w:rsidR="000C58A9" w:rsidRDefault="00010795" w:rsidP="002F4079">
      <w:r>
        <w:t xml:space="preserve">Where this </w:t>
      </w:r>
      <w:r w:rsidR="00C73BB9">
        <w:t>is inconsistent with</w:t>
      </w:r>
      <w:r w:rsidR="002A596D">
        <w:t xml:space="preserve"> </w:t>
      </w:r>
      <w:r>
        <w:t>existing frameworks, for example the Federal Financial Relations arrangements, an alternate fit-for-purpose mechanism may be req</w:t>
      </w:r>
      <w:r w:rsidR="00C73BB9">
        <w:t>uired to be developed.</w:t>
      </w:r>
    </w:p>
    <w:p w14:paraId="55757F77" w14:textId="0EE9FBD1" w:rsidR="006A6318" w:rsidRDefault="00303B92" w:rsidP="002F4079">
      <w:r>
        <w:t xml:space="preserve">The Inspector-General also </w:t>
      </w:r>
      <w:r w:rsidR="009D2557">
        <w:t>recommends adopting a principles-based</w:t>
      </w:r>
      <w:r w:rsidR="00CD7DA0">
        <w:t xml:space="preserve"> </w:t>
      </w:r>
      <w:r w:rsidR="009D2557">
        <w:t xml:space="preserve">and outcomes focused approach to drafting. </w:t>
      </w:r>
      <w:r w:rsidR="00E16937">
        <w:t xml:space="preserve">This could manage the risk of unintended consequences associated with prescriptive </w:t>
      </w:r>
      <w:r w:rsidR="00914E57">
        <w:t>legislation</w:t>
      </w:r>
      <w:r w:rsidR="00E16937">
        <w:t xml:space="preserve">, particularly where there is a need to manage jurisdictional differences and </w:t>
      </w:r>
      <w:r w:rsidR="001108A9">
        <w:t>maintain a flexible and adaptive regulatory regime.</w:t>
      </w:r>
      <w:r w:rsidR="00CD7DA0">
        <w:t xml:space="preserve"> </w:t>
      </w:r>
    </w:p>
    <w:p w14:paraId="2F6DB55A" w14:textId="51E3CCBF" w:rsidR="00832E55" w:rsidRPr="002F4079" w:rsidRDefault="006924AA" w:rsidP="002F4079">
      <w:r>
        <w:t>As a substantive</w:t>
      </w:r>
      <w:r w:rsidR="00C06930">
        <w:t xml:space="preserve"> reform, with potential national interest implications, it </w:t>
      </w:r>
      <w:r w:rsidR="004E582E">
        <w:t xml:space="preserve">would </w:t>
      </w:r>
      <w:r w:rsidR="00C06930">
        <w:t xml:space="preserve">be crucial that the associated policy is developed in accordance with </w:t>
      </w:r>
      <w:r w:rsidR="006E5182">
        <w:t xml:space="preserve">and give effect to </w:t>
      </w:r>
      <w:r w:rsidR="00C06930">
        <w:t>best practice principles</w:t>
      </w:r>
      <w:r w:rsidR="00216710">
        <w:t xml:space="preserve">. </w:t>
      </w:r>
      <w:r w:rsidR="00680752">
        <w:t xml:space="preserve">These principles </w:t>
      </w:r>
      <w:r w:rsidR="00E70DCD">
        <w:t xml:space="preserve">are </w:t>
      </w:r>
      <w:r w:rsidR="00680752">
        <w:t>environmental, economic, social, cultural</w:t>
      </w:r>
      <w:r w:rsidR="004D5CB6">
        <w:t xml:space="preserve">, </w:t>
      </w:r>
      <w:r w:rsidR="008E4D26">
        <w:t xml:space="preserve">and legal </w:t>
      </w:r>
      <w:r w:rsidR="004D5CB6">
        <w:t xml:space="preserve">in nature, and the development of the policy </w:t>
      </w:r>
      <w:r w:rsidR="00276097">
        <w:t xml:space="preserve">needs to </w:t>
      </w:r>
      <w:r w:rsidR="004D5CB6">
        <w:t xml:space="preserve">be supported with access to </w:t>
      </w:r>
      <w:r w:rsidR="008E4D26">
        <w:t xml:space="preserve">relevant capabilities and expertise. </w:t>
      </w:r>
      <w:r w:rsidR="00850A56">
        <w:t>Confidence in the process</w:t>
      </w:r>
      <w:r w:rsidR="006F3C67">
        <w:t xml:space="preserve">, and </w:t>
      </w:r>
      <w:r w:rsidR="007C6180">
        <w:t>perceptions around the rigour of the outcomes,</w:t>
      </w:r>
      <w:r w:rsidR="00850A56">
        <w:t xml:space="preserve"> will also be largely driven by the public’s ability to participate in</w:t>
      </w:r>
      <w:r w:rsidR="00884E2C">
        <w:t>,</w:t>
      </w:r>
      <w:r w:rsidR="00850A56">
        <w:t xml:space="preserve"> and </w:t>
      </w:r>
      <w:r w:rsidR="0034211E">
        <w:t>be seen to inform</w:t>
      </w:r>
      <w:r w:rsidR="00884E2C">
        <w:t>,</w:t>
      </w:r>
      <w:r w:rsidR="0034211E">
        <w:t xml:space="preserve"> the policy development process.</w:t>
      </w:r>
      <w:r w:rsidR="0028214B">
        <w:t xml:space="preserve"> </w:t>
      </w:r>
    </w:p>
    <w:sectPr w:rsidR="00832E55" w:rsidRPr="002F4079" w:rsidSect="006346DD">
      <w:headerReference w:type="even" r:id="rId16"/>
      <w:headerReference w:type="default" r:id="rId17"/>
      <w:footerReference w:type="even" r:id="rId18"/>
      <w:footerReference w:type="default" r:id="rId19"/>
      <w:headerReference w:type="first" r:id="rId20"/>
      <w:footerReference w:type="first" r:id="rId21"/>
      <w:pgSz w:w="11906" w:h="16838"/>
      <w:pgMar w:top="1284" w:right="1134" w:bottom="816" w:left="1134" w:header="425" w:footer="9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93B58" w14:textId="77777777" w:rsidR="00F04887" w:rsidRDefault="00F04887">
      <w:r>
        <w:separator/>
      </w:r>
    </w:p>
  </w:endnote>
  <w:endnote w:type="continuationSeparator" w:id="0">
    <w:p w14:paraId="571E0E7B" w14:textId="77777777" w:rsidR="00F04887" w:rsidRDefault="00F04887">
      <w:r>
        <w:continuationSeparator/>
      </w:r>
    </w:p>
  </w:endnote>
  <w:endnote w:type="continuationNotice" w:id="1">
    <w:p w14:paraId="26F14041" w14:textId="77777777" w:rsidR="00F04887" w:rsidRDefault="00F048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82A3" w14:textId="518F6564" w:rsidR="00D65899" w:rsidRDefault="00570304">
    <w:pPr>
      <w:pStyle w:val="Footer"/>
    </w:pPr>
    <w:r>
      <w:rPr>
        <w:noProof/>
      </w:rPr>
      <mc:AlternateContent>
        <mc:Choice Requires="wps">
          <w:drawing>
            <wp:anchor distT="0" distB="0" distL="0" distR="0" simplePos="0" relativeHeight="251666944" behindDoc="0" locked="0" layoutInCell="1" allowOverlap="1" wp14:anchorId="05318FF0" wp14:editId="70D9DA98">
              <wp:simplePos x="635" y="635"/>
              <wp:positionH relativeFrom="page">
                <wp:align>center</wp:align>
              </wp:positionH>
              <wp:positionV relativeFrom="page">
                <wp:align>bottom</wp:align>
              </wp:positionV>
              <wp:extent cx="551815" cy="376555"/>
              <wp:effectExtent l="0" t="0" r="635" b="0"/>
              <wp:wrapNone/>
              <wp:docPr id="188445497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0101F2B" w14:textId="558863FA"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18FF0" id="_x0000_t202" coordsize="21600,21600" o:spt="202" path="m,l,21600r21600,l21600,xe">
              <v:stroke joinstyle="miter"/>
              <v:path gradientshapeok="t" o:connecttype="rect"/>
            </v:shapetype>
            <v:shape id="Text Box 8" o:spid="_x0000_s1029" type="#_x0000_t202" alt="OFFICIAL" style="position:absolute;margin-left:0;margin-top:0;width:43.45pt;height:29.6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0101F2B" w14:textId="558863FA"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37AE6" w14:textId="5D317B27" w:rsidR="0046450A" w:rsidRPr="00473F5B" w:rsidRDefault="00570304" w:rsidP="00473F5B">
    <w:pPr>
      <w:pStyle w:val="Footer"/>
      <w:tabs>
        <w:tab w:val="clear" w:pos="4513"/>
        <w:tab w:val="clear" w:pos="9026"/>
        <w:tab w:val="right" w:pos="9638"/>
      </w:tabs>
    </w:pPr>
    <w:r>
      <w:rPr>
        <w:noProof/>
      </w:rPr>
      <mc:AlternateContent>
        <mc:Choice Requires="wps">
          <w:drawing>
            <wp:anchor distT="0" distB="0" distL="0" distR="0" simplePos="0" relativeHeight="251667968" behindDoc="0" locked="0" layoutInCell="1" allowOverlap="1" wp14:anchorId="4E4E72FD" wp14:editId="28316C22">
              <wp:simplePos x="635" y="635"/>
              <wp:positionH relativeFrom="page">
                <wp:align>center</wp:align>
              </wp:positionH>
              <wp:positionV relativeFrom="page">
                <wp:align>bottom</wp:align>
              </wp:positionV>
              <wp:extent cx="551815" cy="376555"/>
              <wp:effectExtent l="0" t="0" r="635" b="0"/>
              <wp:wrapNone/>
              <wp:docPr id="195979383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AFE14E" w14:textId="1F6337E4"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4E72FD" id="_x0000_t202" coordsize="21600,21600" o:spt="202" path="m,l,21600r21600,l21600,xe">
              <v:stroke joinstyle="miter"/>
              <v:path gradientshapeok="t" o:connecttype="rect"/>
            </v:shapetype>
            <v:shape id="Text Box 9" o:spid="_x0000_s1030" type="#_x0000_t202" alt="OFFICIAL" style="position:absolute;margin-left:0;margin-top:0;width:43.45pt;height:29.6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DAFE14E" w14:textId="1F6337E4"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v:textbox>
              <w10:wrap anchorx="page" anchory="page"/>
            </v:shape>
          </w:pict>
        </mc:Fallback>
      </mc:AlternateContent>
    </w:r>
    <w:r w:rsidR="00473F5B">
      <w:t>Inspector-General of Water Compliance</w:t>
    </w:r>
    <w:r w:rsidR="00473F5B">
      <w:tab/>
    </w:r>
    <w:r w:rsidR="00473F5B">
      <w:fldChar w:fldCharType="begin"/>
    </w:r>
    <w:r w:rsidR="00473F5B">
      <w:instrText xml:space="preserve"> PAGE   \* MERGEFORMAT </w:instrText>
    </w:r>
    <w:r w:rsidR="00473F5B">
      <w:fldChar w:fldCharType="separate"/>
    </w:r>
    <w:r w:rsidR="00473F5B">
      <w:t>2</w:t>
    </w:r>
    <w:r w:rsidR="00473F5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2873" w14:textId="3404A6FF" w:rsidR="009F0367" w:rsidRPr="002C07A5" w:rsidRDefault="00570304" w:rsidP="002C07A5">
    <w:pPr>
      <w:pStyle w:val="Footer"/>
      <w:tabs>
        <w:tab w:val="clear" w:pos="4513"/>
        <w:tab w:val="clear" w:pos="9026"/>
        <w:tab w:val="right" w:pos="9638"/>
      </w:tabs>
      <w:rPr>
        <w:color w:val="FFFFFF"/>
      </w:rPr>
    </w:pPr>
    <w:r>
      <w:rPr>
        <w:noProof/>
        <w:color w:val="FFFFFF"/>
      </w:rPr>
      <mc:AlternateContent>
        <mc:Choice Requires="wps">
          <w:drawing>
            <wp:anchor distT="0" distB="0" distL="0" distR="0" simplePos="0" relativeHeight="251665920" behindDoc="0" locked="0" layoutInCell="1" allowOverlap="1" wp14:anchorId="318746E0" wp14:editId="3E185404">
              <wp:simplePos x="722811" y="9936480"/>
              <wp:positionH relativeFrom="page">
                <wp:align>center</wp:align>
              </wp:positionH>
              <wp:positionV relativeFrom="page">
                <wp:align>bottom</wp:align>
              </wp:positionV>
              <wp:extent cx="551815" cy="376555"/>
              <wp:effectExtent l="0" t="0" r="635" b="0"/>
              <wp:wrapNone/>
              <wp:docPr id="23965011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748B41D" w14:textId="5B328510"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8746E0" id="_x0000_t202" coordsize="21600,21600" o:spt="202" path="m,l,21600r21600,l21600,xe">
              <v:stroke joinstyle="miter"/>
              <v:path gradientshapeok="t" o:connecttype="rect"/>
            </v:shapetype>
            <v:shape id="Text Box 7" o:spid="_x0000_s1032" type="#_x0000_t202" alt="OFFICIAL" style="position:absolute;margin-left:0;margin-top:0;width:43.45pt;height:29.6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748B41D" w14:textId="5B328510"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BFE3" w14:textId="0F466770" w:rsidR="00570304" w:rsidRDefault="00570304">
    <w:pPr>
      <w:pStyle w:val="Footer"/>
    </w:pPr>
    <w:r>
      <w:rPr>
        <w:noProof/>
      </w:rPr>
      <mc:AlternateContent>
        <mc:Choice Requires="wps">
          <w:drawing>
            <wp:anchor distT="0" distB="0" distL="0" distR="0" simplePos="0" relativeHeight="251670016" behindDoc="0" locked="0" layoutInCell="1" allowOverlap="1" wp14:anchorId="1AFADD6D" wp14:editId="75D5C643">
              <wp:simplePos x="635" y="635"/>
              <wp:positionH relativeFrom="page">
                <wp:align>center</wp:align>
              </wp:positionH>
              <wp:positionV relativeFrom="page">
                <wp:align>bottom</wp:align>
              </wp:positionV>
              <wp:extent cx="551815" cy="376555"/>
              <wp:effectExtent l="0" t="0" r="635" b="0"/>
              <wp:wrapNone/>
              <wp:docPr id="22909825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89D510" w14:textId="26BF9005"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FADD6D" id="_x0000_t202" coordsize="21600,21600" o:spt="202" path="m,l,21600r21600,l21600,xe">
              <v:stroke joinstyle="miter"/>
              <v:path gradientshapeok="t" o:connecttype="rect"/>
            </v:shapetype>
            <v:shape id="Text Box 11" o:spid="_x0000_s1035" type="#_x0000_t202" alt="OFFICIAL" style="position:absolute;margin-left:0;margin-top:0;width:43.45pt;height:29.6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489D510" w14:textId="26BF9005"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6E7B" w14:textId="48E858E6" w:rsidR="00570304" w:rsidRDefault="00570304">
    <w:pPr>
      <w:pStyle w:val="Footer"/>
    </w:pPr>
    <w:r>
      <w:rPr>
        <w:noProof/>
      </w:rPr>
      <mc:AlternateContent>
        <mc:Choice Requires="wps">
          <w:drawing>
            <wp:anchor distT="0" distB="0" distL="0" distR="0" simplePos="0" relativeHeight="251671040" behindDoc="0" locked="0" layoutInCell="1" allowOverlap="1" wp14:anchorId="14A75C34" wp14:editId="563B88CE">
              <wp:simplePos x="635" y="635"/>
              <wp:positionH relativeFrom="page">
                <wp:align>center</wp:align>
              </wp:positionH>
              <wp:positionV relativeFrom="page">
                <wp:align>bottom</wp:align>
              </wp:positionV>
              <wp:extent cx="551815" cy="376555"/>
              <wp:effectExtent l="0" t="0" r="635" b="0"/>
              <wp:wrapNone/>
              <wp:docPr id="13971902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4DA3577" w14:textId="224206C6"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A75C34" id="_x0000_t202" coordsize="21600,21600" o:spt="202" path="m,l,21600r21600,l21600,xe">
              <v:stroke joinstyle="miter"/>
              <v:path gradientshapeok="t" o:connecttype="rect"/>
            </v:shapetype>
            <v:shape id="Text Box 12" o:spid="_x0000_s1036" type="#_x0000_t202" alt="OFFICIAL" style="position:absolute;margin-left:0;margin-top:0;width:43.45pt;height:29.6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4DA3577" w14:textId="224206C6"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E4A9C" w14:textId="372940D7" w:rsidR="00B25458" w:rsidRPr="002C07A5" w:rsidRDefault="00570304" w:rsidP="002C07A5">
    <w:pPr>
      <w:pStyle w:val="Footer"/>
      <w:tabs>
        <w:tab w:val="clear" w:pos="4513"/>
        <w:tab w:val="clear" w:pos="9026"/>
        <w:tab w:val="right" w:pos="9638"/>
      </w:tabs>
      <w:rPr>
        <w:color w:val="FFFFFF"/>
      </w:rPr>
    </w:pPr>
    <w:r>
      <w:rPr>
        <w:noProof/>
        <w:color w:val="FFFFFF"/>
      </w:rPr>
      <mc:AlternateContent>
        <mc:Choice Requires="wps">
          <w:drawing>
            <wp:anchor distT="0" distB="0" distL="0" distR="0" simplePos="0" relativeHeight="251668992" behindDoc="0" locked="0" layoutInCell="1" allowOverlap="1" wp14:anchorId="44A9468E" wp14:editId="215E145E">
              <wp:simplePos x="635" y="635"/>
              <wp:positionH relativeFrom="page">
                <wp:align>center</wp:align>
              </wp:positionH>
              <wp:positionV relativeFrom="page">
                <wp:align>bottom</wp:align>
              </wp:positionV>
              <wp:extent cx="551815" cy="376555"/>
              <wp:effectExtent l="0" t="0" r="635" b="0"/>
              <wp:wrapNone/>
              <wp:docPr id="7764314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2A74681" w14:textId="4648B32E"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A9468E" id="_x0000_t202" coordsize="21600,21600" o:spt="202" path="m,l,21600r21600,l21600,xe">
              <v:stroke joinstyle="miter"/>
              <v:path gradientshapeok="t" o:connecttype="rect"/>
            </v:shapetype>
            <v:shape id="Text Box 10" o:spid="_x0000_s1038" type="#_x0000_t202" alt="OFFICIAL" style="position:absolute;margin-left:0;margin-top:0;width:43.45pt;height:29.6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fill o:detectmouseclick="t"/>
              <v:textbox style="mso-fit-shape-to-text:t" inset="0,0,0,15pt">
                <w:txbxContent>
                  <w:p w14:paraId="62A74681" w14:textId="4648B32E"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v:textbox>
              <w10:wrap anchorx="page" anchory="page"/>
            </v:shape>
          </w:pict>
        </mc:Fallback>
      </mc:AlternateContent>
    </w:r>
    <w:r w:rsidR="00B25458" w:rsidRPr="002C07A5">
      <w:rPr>
        <w:color w:val="FFFFFF"/>
      </w:rPr>
      <w:t>Inspector-General of Water Compliance</w:t>
    </w:r>
    <w:r w:rsidR="00B25458" w:rsidRPr="002C07A5">
      <w:rPr>
        <w:color w:val="FFFFFF"/>
      </w:rPr>
      <w:tab/>
    </w:r>
    <w:r w:rsidR="00B25458" w:rsidRPr="002C07A5">
      <w:rPr>
        <w:color w:val="FFFFFF"/>
      </w:rPr>
      <w:fldChar w:fldCharType="begin"/>
    </w:r>
    <w:r w:rsidR="00B25458" w:rsidRPr="002C07A5">
      <w:rPr>
        <w:color w:val="FFFFFF"/>
      </w:rPr>
      <w:instrText xml:space="preserve"> PAGE   \* MERGEFORMAT </w:instrText>
    </w:r>
    <w:r w:rsidR="00B25458" w:rsidRPr="002C07A5">
      <w:rPr>
        <w:color w:val="FFFFFF"/>
      </w:rPr>
      <w:fldChar w:fldCharType="separate"/>
    </w:r>
    <w:r w:rsidR="00B25458" w:rsidRPr="002C07A5">
      <w:rPr>
        <w:color w:val="FFFFFF"/>
      </w:rPr>
      <w:t>3</w:t>
    </w:r>
    <w:r w:rsidR="00B25458" w:rsidRPr="002C07A5">
      <w:rPr>
        <w:noProof/>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D6343" w14:textId="77777777" w:rsidR="00F04887" w:rsidRDefault="00F04887">
      <w:r>
        <w:separator/>
      </w:r>
    </w:p>
  </w:footnote>
  <w:footnote w:type="continuationSeparator" w:id="0">
    <w:p w14:paraId="079FB866" w14:textId="77777777" w:rsidR="00F04887" w:rsidRDefault="00F04887">
      <w:r>
        <w:continuationSeparator/>
      </w:r>
    </w:p>
  </w:footnote>
  <w:footnote w:type="continuationNotice" w:id="1">
    <w:p w14:paraId="49AE65B1" w14:textId="77777777" w:rsidR="00F04887" w:rsidRDefault="00F048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30A71" w14:textId="456558B0" w:rsidR="00D65899" w:rsidRDefault="00570304">
    <w:pPr>
      <w:pStyle w:val="Header"/>
    </w:pPr>
    <w:r>
      <w:rPr>
        <w:noProof/>
      </w:rPr>
      <mc:AlternateContent>
        <mc:Choice Requires="wps">
          <w:drawing>
            <wp:anchor distT="0" distB="0" distL="0" distR="0" simplePos="0" relativeHeight="251660800" behindDoc="0" locked="0" layoutInCell="1" allowOverlap="1" wp14:anchorId="5C082D81" wp14:editId="77FE88D9">
              <wp:simplePos x="635" y="635"/>
              <wp:positionH relativeFrom="page">
                <wp:align>center</wp:align>
              </wp:positionH>
              <wp:positionV relativeFrom="page">
                <wp:align>top</wp:align>
              </wp:positionV>
              <wp:extent cx="551815" cy="376555"/>
              <wp:effectExtent l="0" t="0" r="635" b="4445"/>
              <wp:wrapNone/>
              <wp:docPr id="2730256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40D0EE" w14:textId="599C0F21"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082D81" id="_x0000_t202" coordsize="21600,21600" o:spt="202" path="m,l,21600r21600,l21600,xe">
              <v:stroke joinstyle="miter"/>
              <v:path gradientshapeok="t" o:connecttype="rect"/>
            </v:shapetype>
            <v:shape id="Text Box 2" o:spid="_x0000_s1027" type="#_x0000_t202" alt="OFFICIAL" style="position:absolute;margin-left:0;margin-top:0;width:43.45pt;height:29.6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2840D0EE" w14:textId="599C0F21"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F934" w14:textId="51A83148" w:rsidR="00CD346C" w:rsidRDefault="00570304">
    <w:pPr>
      <w:pStyle w:val="Header"/>
    </w:pPr>
    <w:r>
      <w:rPr>
        <w:noProof/>
      </w:rPr>
      <mc:AlternateContent>
        <mc:Choice Requires="wps">
          <w:drawing>
            <wp:anchor distT="0" distB="0" distL="0" distR="0" simplePos="0" relativeHeight="251661824" behindDoc="0" locked="0" layoutInCell="1" allowOverlap="1" wp14:anchorId="3C776827" wp14:editId="4ECC09E1">
              <wp:simplePos x="635" y="635"/>
              <wp:positionH relativeFrom="page">
                <wp:align>center</wp:align>
              </wp:positionH>
              <wp:positionV relativeFrom="page">
                <wp:align>top</wp:align>
              </wp:positionV>
              <wp:extent cx="551815" cy="376555"/>
              <wp:effectExtent l="0" t="0" r="635" b="4445"/>
              <wp:wrapNone/>
              <wp:docPr id="16556189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C9B0A7" w14:textId="058AE27E"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776827" id="_x0000_t202" coordsize="21600,21600" o:spt="202" path="m,l,21600r21600,l21600,xe">
              <v:stroke joinstyle="miter"/>
              <v:path gradientshapeok="t" o:connecttype="rect"/>
            </v:shapetype>
            <v:shape id="Text Box 3" o:spid="_x0000_s1028" type="#_x0000_t202" alt="OFFICIAL" style="position:absolute;margin-left:0;margin-top:0;width:43.45pt;height:29.6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65C9B0A7" w14:textId="058AE27E"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v:textbox>
              <w10:wrap anchorx="page" anchory="page"/>
            </v:shape>
          </w:pict>
        </mc:Fallback>
      </mc:AlternateContent>
    </w:r>
    <w:r w:rsidR="003A39E1">
      <w:rPr>
        <w:noProof/>
      </w:rPr>
      <w:drawing>
        <wp:anchor distT="0" distB="0" distL="114300" distR="114300" simplePos="0" relativeHeight="251658752" behindDoc="1" locked="0" layoutInCell="1" allowOverlap="1" wp14:anchorId="63EDE2AD" wp14:editId="59B97309">
          <wp:simplePos x="0" y="0"/>
          <wp:positionH relativeFrom="column">
            <wp:posOffset>2410460</wp:posOffset>
          </wp:positionH>
          <wp:positionV relativeFrom="paragraph">
            <wp:posOffset>1670050</wp:posOffset>
          </wp:positionV>
          <wp:extent cx="7150048" cy="8866060"/>
          <wp:effectExtent l="0" t="0" r="63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7150048" cy="886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986A" w14:textId="4DD4BBF5" w:rsidR="00473F5B" w:rsidRDefault="00570304" w:rsidP="005C5D99">
    <w:r>
      <w:rPr>
        <w:noProof/>
      </w:rPr>
      <mc:AlternateContent>
        <mc:Choice Requires="wps">
          <w:drawing>
            <wp:anchor distT="0" distB="0" distL="0" distR="0" simplePos="0" relativeHeight="251659776" behindDoc="0" locked="0" layoutInCell="1" allowOverlap="1" wp14:anchorId="753B80E4" wp14:editId="70903C92">
              <wp:simplePos x="722811" y="278674"/>
              <wp:positionH relativeFrom="page">
                <wp:align>center</wp:align>
              </wp:positionH>
              <wp:positionV relativeFrom="page">
                <wp:align>top</wp:align>
              </wp:positionV>
              <wp:extent cx="551815" cy="376555"/>
              <wp:effectExtent l="0" t="0" r="635" b="4445"/>
              <wp:wrapNone/>
              <wp:docPr id="108346802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7DFB9F7" w14:textId="2CEDF580"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3B80E4" id="_x0000_t202" coordsize="21600,21600" o:spt="202" path="m,l,21600r21600,l21600,xe">
              <v:stroke joinstyle="miter"/>
              <v:path gradientshapeok="t" o:connecttype="rect"/>
            </v:shapetype>
            <v:shape id="Text Box 1" o:spid="_x0000_s1031" type="#_x0000_t202" alt="OFFICIAL" style="position:absolute;margin-left:0;margin-top:0;width:43.45pt;height:29.6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07DFB9F7" w14:textId="2CEDF580"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v:textbox>
              <w10:wrap anchorx="page" anchory="page"/>
            </v:shape>
          </w:pict>
        </mc:Fallback>
      </mc:AlternateContent>
    </w:r>
    <w:r w:rsidR="00473F5B" w:rsidRPr="003A6733">
      <w:rPr>
        <w:noProof/>
      </w:rPr>
      <w:drawing>
        <wp:anchor distT="0" distB="0" distL="114300" distR="114300" simplePos="0" relativeHeight="251655680" behindDoc="1" locked="0" layoutInCell="1" allowOverlap="1" wp14:anchorId="1BD1B32C" wp14:editId="438CC30A">
          <wp:simplePos x="0" y="0"/>
          <wp:positionH relativeFrom="column">
            <wp:posOffset>-732790</wp:posOffset>
          </wp:positionH>
          <wp:positionV relativeFrom="paragraph">
            <wp:posOffset>-339725</wp:posOffset>
          </wp:positionV>
          <wp:extent cx="7597588" cy="10751549"/>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7588" cy="10751549"/>
                  </a:xfrm>
                  <a:prstGeom prst="rect">
                    <a:avLst/>
                  </a:prstGeom>
                </pic:spPr>
              </pic:pic>
            </a:graphicData>
          </a:graphic>
          <wp14:sizeRelH relativeFrom="page">
            <wp14:pctWidth>0</wp14:pctWidth>
          </wp14:sizeRelH>
          <wp14:sizeRelV relativeFrom="page">
            <wp14:pctHeight>0</wp14:pctHeight>
          </wp14:sizeRelV>
        </wp:anchor>
      </w:drawing>
    </w:r>
  </w:p>
  <w:p w14:paraId="252C6567" w14:textId="7641654D" w:rsidR="00473F5B" w:rsidRDefault="00473F5B" w:rsidP="005C5D99"/>
  <w:p w14:paraId="73BFFFC6" w14:textId="7FF26F01" w:rsidR="00473F5B" w:rsidRDefault="00473F5B" w:rsidP="005C5D99"/>
  <w:p w14:paraId="2EDDB6F7" w14:textId="635470C0" w:rsidR="00473F5B" w:rsidRDefault="00473F5B" w:rsidP="005C5D99"/>
  <w:p w14:paraId="2683189A" w14:textId="4C5888D5" w:rsidR="00473F5B" w:rsidRDefault="00473F5B" w:rsidP="005C5D99"/>
  <w:p w14:paraId="3A0EC190" w14:textId="1CADC713" w:rsidR="00473F5B" w:rsidRDefault="00473F5B" w:rsidP="005C5D99"/>
  <w:p w14:paraId="0B4BD0BB" w14:textId="77777777" w:rsidR="00473F5B" w:rsidRDefault="00473F5B" w:rsidP="005C5D99"/>
  <w:p w14:paraId="5DA02233" w14:textId="5CAEC33F" w:rsidR="001345C9" w:rsidRDefault="001345C9" w:rsidP="005C5D99"/>
  <w:p w14:paraId="79B3195C" w14:textId="30DA5E69" w:rsidR="00617D03" w:rsidRPr="00DC6237" w:rsidRDefault="001345C9" w:rsidP="00071327">
    <w:pPr>
      <w:rPr>
        <w:color w:val="00B050"/>
      </w:rPr>
    </w:pPr>
    <w:r>
      <w:rPr>
        <w:noProof/>
      </w:rPr>
      <w:drawing>
        <wp:anchor distT="0" distB="0" distL="114300" distR="114300" simplePos="0" relativeHeight="251656704" behindDoc="1" locked="0" layoutInCell="1" allowOverlap="1" wp14:anchorId="5FA9B021" wp14:editId="0A233E56">
          <wp:simplePos x="0" y="0"/>
          <wp:positionH relativeFrom="page">
            <wp:posOffset>622300</wp:posOffset>
          </wp:positionH>
          <wp:positionV relativeFrom="page">
            <wp:posOffset>546100</wp:posOffset>
          </wp:positionV>
          <wp:extent cx="3600450" cy="1040130"/>
          <wp:effectExtent l="0" t="0" r="0" b="0"/>
          <wp:wrapNone/>
          <wp:docPr id="6"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1460E" w14:textId="60D9A4E7" w:rsidR="00570304" w:rsidRDefault="00570304">
    <w:pPr>
      <w:pStyle w:val="Header"/>
    </w:pPr>
    <w:r>
      <w:rPr>
        <w:noProof/>
      </w:rPr>
      <mc:AlternateContent>
        <mc:Choice Requires="wps">
          <w:drawing>
            <wp:anchor distT="0" distB="0" distL="0" distR="0" simplePos="0" relativeHeight="251663872" behindDoc="0" locked="0" layoutInCell="1" allowOverlap="1" wp14:anchorId="18982443" wp14:editId="01EFF46B">
              <wp:simplePos x="635" y="635"/>
              <wp:positionH relativeFrom="page">
                <wp:align>center</wp:align>
              </wp:positionH>
              <wp:positionV relativeFrom="page">
                <wp:align>top</wp:align>
              </wp:positionV>
              <wp:extent cx="551815" cy="376555"/>
              <wp:effectExtent l="0" t="0" r="635" b="4445"/>
              <wp:wrapNone/>
              <wp:docPr id="135619848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9B578B2" w14:textId="61E40FBE"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982443" id="_x0000_t202" coordsize="21600,21600" o:spt="202" path="m,l,21600r21600,l21600,xe">
              <v:stroke joinstyle="miter"/>
              <v:path gradientshapeok="t" o:connecttype="rect"/>
            </v:shapetype>
            <v:shape id="Text Box 5" o:spid="_x0000_s1033" type="#_x0000_t202" alt="OFFICIAL" style="position:absolute;margin-left:0;margin-top:0;width:43.45pt;height:29.6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19B578B2" w14:textId="61E40FBE"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F561" w14:textId="38B21AC8" w:rsidR="00570304" w:rsidRDefault="00570304">
    <w:pPr>
      <w:pStyle w:val="Header"/>
    </w:pPr>
    <w:r>
      <w:rPr>
        <w:noProof/>
      </w:rPr>
      <mc:AlternateContent>
        <mc:Choice Requires="wps">
          <w:drawing>
            <wp:anchor distT="0" distB="0" distL="0" distR="0" simplePos="0" relativeHeight="251664896" behindDoc="0" locked="0" layoutInCell="1" allowOverlap="1" wp14:anchorId="23BA31B1" wp14:editId="5EBE82C1">
              <wp:simplePos x="635" y="635"/>
              <wp:positionH relativeFrom="page">
                <wp:align>center</wp:align>
              </wp:positionH>
              <wp:positionV relativeFrom="page">
                <wp:align>top</wp:align>
              </wp:positionV>
              <wp:extent cx="551815" cy="376555"/>
              <wp:effectExtent l="0" t="0" r="635" b="4445"/>
              <wp:wrapNone/>
              <wp:docPr id="63157561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2E2730" w14:textId="74A229C3"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BA31B1" id="_x0000_t202" coordsize="21600,21600" o:spt="202" path="m,l,21600r21600,l21600,xe">
              <v:stroke joinstyle="miter"/>
              <v:path gradientshapeok="t" o:connecttype="rect"/>
            </v:shapetype>
            <v:shape id="Text Box 6" o:spid="_x0000_s1034" type="#_x0000_t202" alt="OFFICIAL" style="position:absolute;margin-left:0;margin-top:0;width:43.45pt;height:29.65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B2E2730" w14:textId="74A229C3"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FD6C" w14:textId="1FDB55DE" w:rsidR="002C07A5" w:rsidRPr="00DC6237" w:rsidRDefault="00570304" w:rsidP="00071327">
    <w:pPr>
      <w:rPr>
        <w:color w:val="00B050"/>
      </w:rPr>
    </w:pPr>
    <w:r>
      <w:rPr>
        <w:noProof/>
        <w:color w:val="00B050"/>
      </w:rPr>
      <mc:AlternateContent>
        <mc:Choice Requires="wps">
          <w:drawing>
            <wp:anchor distT="0" distB="0" distL="0" distR="0" simplePos="0" relativeHeight="251662848" behindDoc="0" locked="0" layoutInCell="1" allowOverlap="1" wp14:anchorId="3C79DD9F" wp14:editId="7F3B2181">
              <wp:simplePos x="635" y="635"/>
              <wp:positionH relativeFrom="page">
                <wp:align>center</wp:align>
              </wp:positionH>
              <wp:positionV relativeFrom="page">
                <wp:align>top</wp:align>
              </wp:positionV>
              <wp:extent cx="551815" cy="376555"/>
              <wp:effectExtent l="0" t="0" r="635" b="4445"/>
              <wp:wrapNone/>
              <wp:docPr id="58789569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724563" w14:textId="47DCEBF6"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79DD9F" id="_x0000_t202" coordsize="21600,21600" o:spt="202" path="m,l,21600r21600,l21600,xe">
              <v:stroke joinstyle="miter"/>
              <v:path gradientshapeok="t" o:connecttype="rect"/>
            </v:shapetype>
            <v:shape id="Text Box 4" o:spid="_x0000_s1037" type="#_x0000_t202" alt="OFFICIAL" style="position:absolute;margin-left:0;margin-top:0;width:43.45pt;height:29.6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fill o:detectmouseclick="t"/>
              <v:textbox style="mso-fit-shape-to-text:t" inset="0,15pt,0,0">
                <w:txbxContent>
                  <w:p w14:paraId="71724563" w14:textId="47DCEBF6" w:rsidR="00570304" w:rsidRPr="00570304" w:rsidRDefault="00570304" w:rsidP="00570304">
                    <w:pPr>
                      <w:spacing w:after="0"/>
                      <w:rPr>
                        <w:rFonts w:ascii="Calibri" w:hAnsi="Calibri" w:cs="Calibri"/>
                        <w:noProof/>
                        <w:color w:val="FF0000"/>
                        <w:sz w:val="24"/>
                        <w:szCs w:val="24"/>
                      </w:rPr>
                    </w:pPr>
                    <w:r w:rsidRPr="00570304">
                      <w:rPr>
                        <w:rFonts w:ascii="Calibri" w:hAnsi="Calibri" w:cs="Calibri"/>
                        <w:noProof/>
                        <w:color w:val="FF0000"/>
                        <w:sz w:val="24"/>
                        <w:szCs w:val="24"/>
                      </w:rPr>
                      <w:t>OFFICIAL</w:t>
                    </w:r>
                  </w:p>
                </w:txbxContent>
              </v:textbox>
              <w10:wrap anchorx="page" anchory="page"/>
            </v:shape>
          </w:pict>
        </mc:Fallback>
      </mc:AlternateContent>
    </w:r>
    <w:r w:rsidR="002C07A5">
      <w:rPr>
        <w:noProof/>
        <w:color w:val="00B050"/>
      </w:rPr>
      <w:drawing>
        <wp:anchor distT="0" distB="0" distL="114300" distR="114300" simplePos="0" relativeHeight="251657728" behindDoc="1" locked="0" layoutInCell="1" allowOverlap="1" wp14:anchorId="45037C59" wp14:editId="051B2BB5">
          <wp:simplePos x="0" y="0"/>
          <wp:positionH relativeFrom="column">
            <wp:posOffset>-746984</wp:posOffset>
          </wp:positionH>
          <wp:positionV relativeFrom="paragraph">
            <wp:posOffset>-256428</wp:posOffset>
          </wp:positionV>
          <wp:extent cx="7570694" cy="10713498"/>
          <wp:effectExtent l="0" t="0" r="0" b="571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0648" cy="107275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873422421">
    <w:abstractNumId w:val="4"/>
  </w:num>
  <w:num w:numId="2" w16cid:durableId="1369183811">
    <w:abstractNumId w:val="0"/>
  </w:num>
  <w:num w:numId="3" w16cid:durableId="1296981726">
    <w:abstractNumId w:val="2"/>
  </w:num>
  <w:num w:numId="4" w16cid:durableId="521748715">
    <w:abstractNumId w:val="1"/>
  </w:num>
  <w:num w:numId="5" w16cid:durableId="73278004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GridLight"/>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32E2"/>
    <w:rsid w:val="0000332E"/>
    <w:rsid w:val="000054F9"/>
    <w:rsid w:val="00005919"/>
    <w:rsid w:val="0000639C"/>
    <w:rsid w:val="000067E3"/>
    <w:rsid w:val="0000793A"/>
    <w:rsid w:val="00007B90"/>
    <w:rsid w:val="00007DE1"/>
    <w:rsid w:val="00010795"/>
    <w:rsid w:val="00010B67"/>
    <w:rsid w:val="00011579"/>
    <w:rsid w:val="000131EE"/>
    <w:rsid w:val="000140C6"/>
    <w:rsid w:val="0002216E"/>
    <w:rsid w:val="00025E42"/>
    <w:rsid w:val="0003076A"/>
    <w:rsid w:val="00032DE7"/>
    <w:rsid w:val="00033203"/>
    <w:rsid w:val="0003505E"/>
    <w:rsid w:val="0003578C"/>
    <w:rsid w:val="000439B5"/>
    <w:rsid w:val="00045BF7"/>
    <w:rsid w:val="000504F5"/>
    <w:rsid w:val="000514BD"/>
    <w:rsid w:val="000518FA"/>
    <w:rsid w:val="00052379"/>
    <w:rsid w:val="00052711"/>
    <w:rsid w:val="000538AB"/>
    <w:rsid w:val="000547B3"/>
    <w:rsid w:val="00055130"/>
    <w:rsid w:val="00055589"/>
    <w:rsid w:val="00056807"/>
    <w:rsid w:val="00056DBE"/>
    <w:rsid w:val="000601C6"/>
    <w:rsid w:val="000613B1"/>
    <w:rsid w:val="000618A6"/>
    <w:rsid w:val="00065307"/>
    <w:rsid w:val="0006569D"/>
    <w:rsid w:val="00065792"/>
    <w:rsid w:val="00071327"/>
    <w:rsid w:val="00073A4F"/>
    <w:rsid w:val="0007735C"/>
    <w:rsid w:val="00077D72"/>
    <w:rsid w:val="00080F19"/>
    <w:rsid w:val="000821FE"/>
    <w:rsid w:val="00082E59"/>
    <w:rsid w:val="00083D79"/>
    <w:rsid w:val="00085FC4"/>
    <w:rsid w:val="000873FE"/>
    <w:rsid w:val="00090893"/>
    <w:rsid w:val="00090FAE"/>
    <w:rsid w:val="00091B06"/>
    <w:rsid w:val="00092FBD"/>
    <w:rsid w:val="000930C4"/>
    <w:rsid w:val="000932AB"/>
    <w:rsid w:val="00093759"/>
    <w:rsid w:val="000A0CBC"/>
    <w:rsid w:val="000A1006"/>
    <w:rsid w:val="000B19AB"/>
    <w:rsid w:val="000B2B2D"/>
    <w:rsid w:val="000B3E1A"/>
    <w:rsid w:val="000B46DD"/>
    <w:rsid w:val="000B5FEB"/>
    <w:rsid w:val="000B6150"/>
    <w:rsid w:val="000B6DBE"/>
    <w:rsid w:val="000B7027"/>
    <w:rsid w:val="000C2FC5"/>
    <w:rsid w:val="000C438B"/>
    <w:rsid w:val="000C58A9"/>
    <w:rsid w:val="000C5A12"/>
    <w:rsid w:val="000C60CD"/>
    <w:rsid w:val="000C698F"/>
    <w:rsid w:val="000C6C28"/>
    <w:rsid w:val="000D06D9"/>
    <w:rsid w:val="000D1516"/>
    <w:rsid w:val="000D1751"/>
    <w:rsid w:val="000D4E45"/>
    <w:rsid w:val="000E0CF2"/>
    <w:rsid w:val="000E137C"/>
    <w:rsid w:val="000E18B8"/>
    <w:rsid w:val="000E472E"/>
    <w:rsid w:val="000E4BB8"/>
    <w:rsid w:val="000E52E7"/>
    <w:rsid w:val="000E5C12"/>
    <w:rsid w:val="000E64C8"/>
    <w:rsid w:val="000F07A8"/>
    <w:rsid w:val="000F34A3"/>
    <w:rsid w:val="000F4343"/>
    <w:rsid w:val="000F558D"/>
    <w:rsid w:val="000F55E7"/>
    <w:rsid w:val="000F6B64"/>
    <w:rsid w:val="000F6F44"/>
    <w:rsid w:val="000F7FD3"/>
    <w:rsid w:val="00105B46"/>
    <w:rsid w:val="001108A9"/>
    <w:rsid w:val="001140DE"/>
    <w:rsid w:val="00114BA0"/>
    <w:rsid w:val="00116019"/>
    <w:rsid w:val="00120690"/>
    <w:rsid w:val="00121644"/>
    <w:rsid w:val="001244B7"/>
    <w:rsid w:val="001274FF"/>
    <w:rsid w:val="00127AF0"/>
    <w:rsid w:val="00131528"/>
    <w:rsid w:val="00132A28"/>
    <w:rsid w:val="00133A3A"/>
    <w:rsid w:val="001345C9"/>
    <w:rsid w:val="0013509C"/>
    <w:rsid w:val="00136361"/>
    <w:rsid w:val="0014041D"/>
    <w:rsid w:val="00140DA9"/>
    <w:rsid w:val="0014137C"/>
    <w:rsid w:val="0014182C"/>
    <w:rsid w:val="00141A07"/>
    <w:rsid w:val="0014235B"/>
    <w:rsid w:val="00142E0B"/>
    <w:rsid w:val="001451F7"/>
    <w:rsid w:val="00145C1F"/>
    <w:rsid w:val="001475D3"/>
    <w:rsid w:val="0015359E"/>
    <w:rsid w:val="00156132"/>
    <w:rsid w:val="0015695F"/>
    <w:rsid w:val="00157A0A"/>
    <w:rsid w:val="001601A0"/>
    <w:rsid w:val="00160937"/>
    <w:rsid w:val="00160E00"/>
    <w:rsid w:val="00161DB6"/>
    <w:rsid w:val="001634EC"/>
    <w:rsid w:val="001706D2"/>
    <w:rsid w:val="0017077A"/>
    <w:rsid w:val="00170D66"/>
    <w:rsid w:val="00170DC6"/>
    <w:rsid w:val="0017351A"/>
    <w:rsid w:val="00174C7B"/>
    <w:rsid w:val="0017585C"/>
    <w:rsid w:val="0018092F"/>
    <w:rsid w:val="001827C2"/>
    <w:rsid w:val="00186E6F"/>
    <w:rsid w:val="001903DB"/>
    <w:rsid w:val="00190FB1"/>
    <w:rsid w:val="001936FD"/>
    <w:rsid w:val="0019456F"/>
    <w:rsid w:val="00196295"/>
    <w:rsid w:val="001A1424"/>
    <w:rsid w:val="001A1A71"/>
    <w:rsid w:val="001A2E83"/>
    <w:rsid w:val="001A3C70"/>
    <w:rsid w:val="001A4811"/>
    <w:rsid w:val="001A631E"/>
    <w:rsid w:val="001A635C"/>
    <w:rsid w:val="001B1408"/>
    <w:rsid w:val="001B7D97"/>
    <w:rsid w:val="001C0255"/>
    <w:rsid w:val="001C0F11"/>
    <w:rsid w:val="001C1A46"/>
    <w:rsid w:val="001C1ABF"/>
    <w:rsid w:val="001C30CB"/>
    <w:rsid w:val="001C316B"/>
    <w:rsid w:val="001C375C"/>
    <w:rsid w:val="001C61D5"/>
    <w:rsid w:val="001D34F2"/>
    <w:rsid w:val="001D3B70"/>
    <w:rsid w:val="001D4045"/>
    <w:rsid w:val="001E2365"/>
    <w:rsid w:val="001E304E"/>
    <w:rsid w:val="001E5385"/>
    <w:rsid w:val="001F0A71"/>
    <w:rsid w:val="001F0F2A"/>
    <w:rsid w:val="001F0F82"/>
    <w:rsid w:val="001F1B70"/>
    <w:rsid w:val="001F2216"/>
    <w:rsid w:val="001F2A15"/>
    <w:rsid w:val="001F331E"/>
    <w:rsid w:val="001F3A47"/>
    <w:rsid w:val="001F6D04"/>
    <w:rsid w:val="001F7B52"/>
    <w:rsid w:val="002019A9"/>
    <w:rsid w:val="00202CFE"/>
    <w:rsid w:val="00204E35"/>
    <w:rsid w:val="002068BA"/>
    <w:rsid w:val="0021219F"/>
    <w:rsid w:val="00212C27"/>
    <w:rsid w:val="00214725"/>
    <w:rsid w:val="00216710"/>
    <w:rsid w:val="0022073C"/>
    <w:rsid w:val="00221224"/>
    <w:rsid w:val="00222E61"/>
    <w:rsid w:val="00224ACE"/>
    <w:rsid w:val="00224D16"/>
    <w:rsid w:val="00226850"/>
    <w:rsid w:val="00227CF2"/>
    <w:rsid w:val="00231A97"/>
    <w:rsid w:val="0023292E"/>
    <w:rsid w:val="0023357C"/>
    <w:rsid w:val="00234917"/>
    <w:rsid w:val="00234C9D"/>
    <w:rsid w:val="002368D5"/>
    <w:rsid w:val="00236B0A"/>
    <w:rsid w:val="00240243"/>
    <w:rsid w:val="002402C2"/>
    <w:rsid w:val="00240405"/>
    <w:rsid w:val="00242771"/>
    <w:rsid w:val="00245208"/>
    <w:rsid w:val="0025034D"/>
    <w:rsid w:val="00251FC0"/>
    <w:rsid w:val="00252287"/>
    <w:rsid w:val="00254457"/>
    <w:rsid w:val="002546EA"/>
    <w:rsid w:val="002547F9"/>
    <w:rsid w:val="00255B73"/>
    <w:rsid w:val="002561B9"/>
    <w:rsid w:val="002570E5"/>
    <w:rsid w:val="0026151D"/>
    <w:rsid w:val="00261A57"/>
    <w:rsid w:val="00261E2D"/>
    <w:rsid w:val="00262B12"/>
    <w:rsid w:val="0026480E"/>
    <w:rsid w:val="00267C36"/>
    <w:rsid w:val="00267EE9"/>
    <w:rsid w:val="002718DF"/>
    <w:rsid w:val="00272B0B"/>
    <w:rsid w:val="00272B8B"/>
    <w:rsid w:val="00276097"/>
    <w:rsid w:val="00276988"/>
    <w:rsid w:val="00277078"/>
    <w:rsid w:val="0028214B"/>
    <w:rsid w:val="00283E56"/>
    <w:rsid w:val="002844C5"/>
    <w:rsid w:val="002845BC"/>
    <w:rsid w:val="00284D99"/>
    <w:rsid w:val="0028556A"/>
    <w:rsid w:val="00285C31"/>
    <w:rsid w:val="0028755D"/>
    <w:rsid w:val="0029693B"/>
    <w:rsid w:val="002A07E1"/>
    <w:rsid w:val="002A243F"/>
    <w:rsid w:val="002A3E0D"/>
    <w:rsid w:val="002A49D5"/>
    <w:rsid w:val="002A58A9"/>
    <w:rsid w:val="002A596D"/>
    <w:rsid w:val="002A5A1E"/>
    <w:rsid w:val="002A7384"/>
    <w:rsid w:val="002A7B40"/>
    <w:rsid w:val="002B1F99"/>
    <w:rsid w:val="002B31F9"/>
    <w:rsid w:val="002B4251"/>
    <w:rsid w:val="002B4DC0"/>
    <w:rsid w:val="002B65AD"/>
    <w:rsid w:val="002B7974"/>
    <w:rsid w:val="002C07A5"/>
    <w:rsid w:val="002C086E"/>
    <w:rsid w:val="002C6C13"/>
    <w:rsid w:val="002C7E69"/>
    <w:rsid w:val="002D1BBC"/>
    <w:rsid w:val="002D3EC0"/>
    <w:rsid w:val="002E1462"/>
    <w:rsid w:val="002E214A"/>
    <w:rsid w:val="002E351B"/>
    <w:rsid w:val="002E43E5"/>
    <w:rsid w:val="002E49DE"/>
    <w:rsid w:val="002E5678"/>
    <w:rsid w:val="002E7966"/>
    <w:rsid w:val="002F18AC"/>
    <w:rsid w:val="002F20C3"/>
    <w:rsid w:val="002F4079"/>
    <w:rsid w:val="002F5184"/>
    <w:rsid w:val="002F5DA0"/>
    <w:rsid w:val="00302AD7"/>
    <w:rsid w:val="0030363A"/>
    <w:rsid w:val="00303B92"/>
    <w:rsid w:val="00306B91"/>
    <w:rsid w:val="0030726F"/>
    <w:rsid w:val="003132AF"/>
    <w:rsid w:val="00313BEB"/>
    <w:rsid w:val="0031530F"/>
    <w:rsid w:val="003231CE"/>
    <w:rsid w:val="0032356E"/>
    <w:rsid w:val="003242D1"/>
    <w:rsid w:val="00325E28"/>
    <w:rsid w:val="003267E7"/>
    <w:rsid w:val="003268F7"/>
    <w:rsid w:val="003270E3"/>
    <w:rsid w:val="003327A4"/>
    <w:rsid w:val="00333131"/>
    <w:rsid w:val="00333A6F"/>
    <w:rsid w:val="0033455A"/>
    <w:rsid w:val="0033672F"/>
    <w:rsid w:val="0034028F"/>
    <w:rsid w:val="00340E4F"/>
    <w:rsid w:val="0034211E"/>
    <w:rsid w:val="00342E80"/>
    <w:rsid w:val="0034306D"/>
    <w:rsid w:val="003430E4"/>
    <w:rsid w:val="0034329E"/>
    <w:rsid w:val="003433D5"/>
    <w:rsid w:val="0035198D"/>
    <w:rsid w:val="00352BB1"/>
    <w:rsid w:val="00356530"/>
    <w:rsid w:val="0036159B"/>
    <w:rsid w:val="003642E1"/>
    <w:rsid w:val="00364BCA"/>
    <w:rsid w:val="00367179"/>
    <w:rsid w:val="003672BF"/>
    <w:rsid w:val="00370973"/>
    <w:rsid w:val="00372837"/>
    <w:rsid w:val="00372913"/>
    <w:rsid w:val="00374588"/>
    <w:rsid w:val="0037484C"/>
    <w:rsid w:val="00374903"/>
    <w:rsid w:val="00376A5A"/>
    <w:rsid w:val="00384EC2"/>
    <w:rsid w:val="00387876"/>
    <w:rsid w:val="00390273"/>
    <w:rsid w:val="00391825"/>
    <w:rsid w:val="003927EC"/>
    <w:rsid w:val="00393AE2"/>
    <w:rsid w:val="0039416C"/>
    <w:rsid w:val="00395D80"/>
    <w:rsid w:val="003978AC"/>
    <w:rsid w:val="003A02EB"/>
    <w:rsid w:val="003A1170"/>
    <w:rsid w:val="003A1E21"/>
    <w:rsid w:val="003A2FF6"/>
    <w:rsid w:val="003A39E1"/>
    <w:rsid w:val="003A46FA"/>
    <w:rsid w:val="003A5D43"/>
    <w:rsid w:val="003A6733"/>
    <w:rsid w:val="003A7927"/>
    <w:rsid w:val="003B10AF"/>
    <w:rsid w:val="003B3811"/>
    <w:rsid w:val="003B64C4"/>
    <w:rsid w:val="003B6733"/>
    <w:rsid w:val="003B6C5D"/>
    <w:rsid w:val="003B7B80"/>
    <w:rsid w:val="003C1E7F"/>
    <w:rsid w:val="003C2590"/>
    <w:rsid w:val="003C464C"/>
    <w:rsid w:val="003C48D5"/>
    <w:rsid w:val="003D11F6"/>
    <w:rsid w:val="003D63BD"/>
    <w:rsid w:val="003D6BD3"/>
    <w:rsid w:val="003D6F00"/>
    <w:rsid w:val="003E0016"/>
    <w:rsid w:val="003E0289"/>
    <w:rsid w:val="003E4563"/>
    <w:rsid w:val="003E53FA"/>
    <w:rsid w:val="003E61F0"/>
    <w:rsid w:val="003E6D42"/>
    <w:rsid w:val="003F32C5"/>
    <w:rsid w:val="003F3F96"/>
    <w:rsid w:val="003F7C53"/>
    <w:rsid w:val="003F7DA8"/>
    <w:rsid w:val="00402DB5"/>
    <w:rsid w:val="00402EF9"/>
    <w:rsid w:val="00404C11"/>
    <w:rsid w:val="00406DCC"/>
    <w:rsid w:val="00407D3B"/>
    <w:rsid w:val="00410322"/>
    <w:rsid w:val="00411D08"/>
    <w:rsid w:val="00412531"/>
    <w:rsid w:val="004131A9"/>
    <w:rsid w:val="00415105"/>
    <w:rsid w:val="004151B1"/>
    <w:rsid w:val="004153D8"/>
    <w:rsid w:val="00415962"/>
    <w:rsid w:val="0041656D"/>
    <w:rsid w:val="00416DBD"/>
    <w:rsid w:val="00421967"/>
    <w:rsid w:val="00425490"/>
    <w:rsid w:val="00426C3F"/>
    <w:rsid w:val="0042763B"/>
    <w:rsid w:val="00427836"/>
    <w:rsid w:val="004316E1"/>
    <w:rsid w:val="00434104"/>
    <w:rsid w:val="00434E4B"/>
    <w:rsid w:val="00435004"/>
    <w:rsid w:val="00435012"/>
    <w:rsid w:val="0043601E"/>
    <w:rsid w:val="004376EF"/>
    <w:rsid w:val="00443F90"/>
    <w:rsid w:val="00447B65"/>
    <w:rsid w:val="004569A3"/>
    <w:rsid w:val="00461CEE"/>
    <w:rsid w:val="00463BE8"/>
    <w:rsid w:val="0046450A"/>
    <w:rsid w:val="00464BE9"/>
    <w:rsid w:val="00466A3F"/>
    <w:rsid w:val="00467429"/>
    <w:rsid w:val="004679D0"/>
    <w:rsid w:val="00467AA6"/>
    <w:rsid w:val="0047187D"/>
    <w:rsid w:val="00471E2B"/>
    <w:rsid w:val="00473F5B"/>
    <w:rsid w:val="004745EF"/>
    <w:rsid w:val="00474D5B"/>
    <w:rsid w:val="00480BC9"/>
    <w:rsid w:val="0048292A"/>
    <w:rsid w:val="004830A2"/>
    <w:rsid w:val="00483116"/>
    <w:rsid w:val="00483F6B"/>
    <w:rsid w:val="00484497"/>
    <w:rsid w:val="00484D76"/>
    <w:rsid w:val="00485E5C"/>
    <w:rsid w:val="00487F88"/>
    <w:rsid w:val="00490047"/>
    <w:rsid w:val="00490A33"/>
    <w:rsid w:val="00493D59"/>
    <w:rsid w:val="00494E60"/>
    <w:rsid w:val="004955CF"/>
    <w:rsid w:val="004A115A"/>
    <w:rsid w:val="004A3264"/>
    <w:rsid w:val="004A5F8F"/>
    <w:rsid w:val="004B2242"/>
    <w:rsid w:val="004B39F2"/>
    <w:rsid w:val="004B3C55"/>
    <w:rsid w:val="004B5B75"/>
    <w:rsid w:val="004B5B8B"/>
    <w:rsid w:val="004B6AB8"/>
    <w:rsid w:val="004B70B0"/>
    <w:rsid w:val="004C2F94"/>
    <w:rsid w:val="004C3BF3"/>
    <w:rsid w:val="004C3E06"/>
    <w:rsid w:val="004C5006"/>
    <w:rsid w:val="004C5374"/>
    <w:rsid w:val="004C561D"/>
    <w:rsid w:val="004D5CB6"/>
    <w:rsid w:val="004D6945"/>
    <w:rsid w:val="004D788A"/>
    <w:rsid w:val="004D7B95"/>
    <w:rsid w:val="004D7F47"/>
    <w:rsid w:val="004E0964"/>
    <w:rsid w:val="004E09A7"/>
    <w:rsid w:val="004E30CC"/>
    <w:rsid w:val="004E582E"/>
    <w:rsid w:val="004E5C56"/>
    <w:rsid w:val="004E7BFE"/>
    <w:rsid w:val="004F33A8"/>
    <w:rsid w:val="004F5329"/>
    <w:rsid w:val="004F5BB5"/>
    <w:rsid w:val="004F5D81"/>
    <w:rsid w:val="004F60AE"/>
    <w:rsid w:val="004F7E7E"/>
    <w:rsid w:val="00501B37"/>
    <w:rsid w:val="005021FC"/>
    <w:rsid w:val="00502CD6"/>
    <w:rsid w:val="00503579"/>
    <w:rsid w:val="00503E4D"/>
    <w:rsid w:val="00503ED7"/>
    <w:rsid w:val="005042B0"/>
    <w:rsid w:val="005066FB"/>
    <w:rsid w:val="005102AB"/>
    <w:rsid w:val="00510BCE"/>
    <w:rsid w:val="005144CC"/>
    <w:rsid w:val="00514A60"/>
    <w:rsid w:val="00524C4A"/>
    <w:rsid w:val="00525341"/>
    <w:rsid w:val="005268BF"/>
    <w:rsid w:val="005335E2"/>
    <w:rsid w:val="00534F69"/>
    <w:rsid w:val="00535525"/>
    <w:rsid w:val="005359F0"/>
    <w:rsid w:val="00537A12"/>
    <w:rsid w:val="00537F43"/>
    <w:rsid w:val="00542326"/>
    <w:rsid w:val="0054277C"/>
    <w:rsid w:val="005449DD"/>
    <w:rsid w:val="00546455"/>
    <w:rsid w:val="00547772"/>
    <w:rsid w:val="00550A0D"/>
    <w:rsid w:val="005523FA"/>
    <w:rsid w:val="005559F1"/>
    <w:rsid w:val="00560A08"/>
    <w:rsid w:val="00562452"/>
    <w:rsid w:val="0056315A"/>
    <w:rsid w:val="005632C6"/>
    <w:rsid w:val="00564BE2"/>
    <w:rsid w:val="00564D9A"/>
    <w:rsid w:val="00564FB9"/>
    <w:rsid w:val="00566F56"/>
    <w:rsid w:val="00570304"/>
    <w:rsid w:val="00571461"/>
    <w:rsid w:val="005725B0"/>
    <w:rsid w:val="005726F6"/>
    <w:rsid w:val="00573186"/>
    <w:rsid w:val="00574479"/>
    <w:rsid w:val="005760F1"/>
    <w:rsid w:val="005770B3"/>
    <w:rsid w:val="005775E1"/>
    <w:rsid w:val="00582CBF"/>
    <w:rsid w:val="005837DD"/>
    <w:rsid w:val="00584BBD"/>
    <w:rsid w:val="00584CAC"/>
    <w:rsid w:val="00585FD1"/>
    <w:rsid w:val="00586385"/>
    <w:rsid w:val="0058638E"/>
    <w:rsid w:val="00587DF8"/>
    <w:rsid w:val="00591EE0"/>
    <w:rsid w:val="005925E3"/>
    <w:rsid w:val="0059554B"/>
    <w:rsid w:val="00596048"/>
    <w:rsid w:val="005A2156"/>
    <w:rsid w:val="005A2426"/>
    <w:rsid w:val="005A262B"/>
    <w:rsid w:val="005A35F1"/>
    <w:rsid w:val="005A4978"/>
    <w:rsid w:val="005A5F43"/>
    <w:rsid w:val="005B2F67"/>
    <w:rsid w:val="005B36B1"/>
    <w:rsid w:val="005B3FD0"/>
    <w:rsid w:val="005C14B4"/>
    <w:rsid w:val="005C1DFC"/>
    <w:rsid w:val="005C4C4E"/>
    <w:rsid w:val="005C540E"/>
    <w:rsid w:val="005C56CD"/>
    <w:rsid w:val="005C5D99"/>
    <w:rsid w:val="005C61F9"/>
    <w:rsid w:val="005C74F8"/>
    <w:rsid w:val="005D76F7"/>
    <w:rsid w:val="005E20C2"/>
    <w:rsid w:val="005E3DBA"/>
    <w:rsid w:val="005E3F3F"/>
    <w:rsid w:val="005E421D"/>
    <w:rsid w:val="005E43B2"/>
    <w:rsid w:val="005E4D4E"/>
    <w:rsid w:val="005F2BAE"/>
    <w:rsid w:val="005F3986"/>
    <w:rsid w:val="005F5C18"/>
    <w:rsid w:val="005F6412"/>
    <w:rsid w:val="005F77F1"/>
    <w:rsid w:val="0060093C"/>
    <w:rsid w:val="0060278A"/>
    <w:rsid w:val="00606141"/>
    <w:rsid w:val="00606C45"/>
    <w:rsid w:val="006161E5"/>
    <w:rsid w:val="00617D03"/>
    <w:rsid w:val="00622053"/>
    <w:rsid w:val="0062265C"/>
    <w:rsid w:val="006226B2"/>
    <w:rsid w:val="0062405C"/>
    <w:rsid w:val="0062518A"/>
    <w:rsid w:val="00625F82"/>
    <w:rsid w:val="00627831"/>
    <w:rsid w:val="006318A8"/>
    <w:rsid w:val="00631D8E"/>
    <w:rsid w:val="006328EF"/>
    <w:rsid w:val="006342D4"/>
    <w:rsid w:val="006346DD"/>
    <w:rsid w:val="00635B4B"/>
    <w:rsid w:val="00637684"/>
    <w:rsid w:val="00640A4B"/>
    <w:rsid w:val="00642FD0"/>
    <w:rsid w:val="00646890"/>
    <w:rsid w:val="006468FF"/>
    <w:rsid w:val="0064747A"/>
    <w:rsid w:val="00650B56"/>
    <w:rsid w:val="00650C5E"/>
    <w:rsid w:val="00655851"/>
    <w:rsid w:val="0065598E"/>
    <w:rsid w:val="00656098"/>
    <w:rsid w:val="00656EB5"/>
    <w:rsid w:val="006612B5"/>
    <w:rsid w:val="0066138C"/>
    <w:rsid w:val="0066157E"/>
    <w:rsid w:val="00661CDD"/>
    <w:rsid w:val="0066217F"/>
    <w:rsid w:val="0066367D"/>
    <w:rsid w:val="00664113"/>
    <w:rsid w:val="00666490"/>
    <w:rsid w:val="006701E1"/>
    <w:rsid w:val="00672C1D"/>
    <w:rsid w:val="00674340"/>
    <w:rsid w:val="00674478"/>
    <w:rsid w:val="0067601A"/>
    <w:rsid w:val="006766FC"/>
    <w:rsid w:val="006806A9"/>
    <w:rsid w:val="00680752"/>
    <w:rsid w:val="00682356"/>
    <w:rsid w:val="006847DC"/>
    <w:rsid w:val="006849E8"/>
    <w:rsid w:val="0068560C"/>
    <w:rsid w:val="0068636B"/>
    <w:rsid w:val="006875E8"/>
    <w:rsid w:val="0069040C"/>
    <w:rsid w:val="00690CB8"/>
    <w:rsid w:val="006924AA"/>
    <w:rsid w:val="00693932"/>
    <w:rsid w:val="00694D6A"/>
    <w:rsid w:val="0069631E"/>
    <w:rsid w:val="006A194B"/>
    <w:rsid w:val="006A1DA9"/>
    <w:rsid w:val="006A6318"/>
    <w:rsid w:val="006B0F28"/>
    <w:rsid w:val="006B2894"/>
    <w:rsid w:val="006B2936"/>
    <w:rsid w:val="006B2B83"/>
    <w:rsid w:val="006B325A"/>
    <w:rsid w:val="006B3E6A"/>
    <w:rsid w:val="006C03D7"/>
    <w:rsid w:val="006C2373"/>
    <w:rsid w:val="006C4C1A"/>
    <w:rsid w:val="006C50D0"/>
    <w:rsid w:val="006C5A46"/>
    <w:rsid w:val="006C6BD1"/>
    <w:rsid w:val="006D01B3"/>
    <w:rsid w:val="006D2F9E"/>
    <w:rsid w:val="006D7F6E"/>
    <w:rsid w:val="006E0EC3"/>
    <w:rsid w:val="006E2B5F"/>
    <w:rsid w:val="006E5182"/>
    <w:rsid w:val="006E566F"/>
    <w:rsid w:val="006E6952"/>
    <w:rsid w:val="006F2E05"/>
    <w:rsid w:val="006F3470"/>
    <w:rsid w:val="006F3C67"/>
    <w:rsid w:val="006F3E26"/>
    <w:rsid w:val="006F472F"/>
    <w:rsid w:val="0070117F"/>
    <w:rsid w:val="00706B47"/>
    <w:rsid w:val="00707B2C"/>
    <w:rsid w:val="00710673"/>
    <w:rsid w:val="007130B3"/>
    <w:rsid w:val="0071398C"/>
    <w:rsid w:val="007140F9"/>
    <w:rsid w:val="00716428"/>
    <w:rsid w:val="00723BDE"/>
    <w:rsid w:val="00725B2A"/>
    <w:rsid w:val="00725C60"/>
    <w:rsid w:val="00726CD2"/>
    <w:rsid w:val="00726DBD"/>
    <w:rsid w:val="0073579E"/>
    <w:rsid w:val="00735D6C"/>
    <w:rsid w:val="007372B2"/>
    <w:rsid w:val="00741A1D"/>
    <w:rsid w:val="00743ABB"/>
    <w:rsid w:val="007440F7"/>
    <w:rsid w:val="0074454B"/>
    <w:rsid w:val="00746AAA"/>
    <w:rsid w:val="007511A9"/>
    <w:rsid w:val="00752AF5"/>
    <w:rsid w:val="00752C61"/>
    <w:rsid w:val="00757394"/>
    <w:rsid w:val="00760719"/>
    <w:rsid w:val="00761BAF"/>
    <w:rsid w:val="00764ADB"/>
    <w:rsid w:val="00766EA7"/>
    <w:rsid w:val="00766F63"/>
    <w:rsid w:val="00770DD9"/>
    <w:rsid w:val="00770F97"/>
    <w:rsid w:val="00771363"/>
    <w:rsid w:val="007717FD"/>
    <w:rsid w:val="0077245D"/>
    <w:rsid w:val="00773FDA"/>
    <w:rsid w:val="00774A43"/>
    <w:rsid w:val="00774B4C"/>
    <w:rsid w:val="00776D7E"/>
    <w:rsid w:val="007771B4"/>
    <w:rsid w:val="00781AFE"/>
    <w:rsid w:val="00783454"/>
    <w:rsid w:val="00783F99"/>
    <w:rsid w:val="007844F4"/>
    <w:rsid w:val="00786710"/>
    <w:rsid w:val="00787307"/>
    <w:rsid w:val="0079058E"/>
    <w:rsid w:val="00790BE3"/>
    <w:rsid w:val="00792822"/>
    <w:rsid w:val="00792E3C"/>
    <w:rsid w:val="007935B6"/>
    <w:rsid w:val="00794BB6"/>
    <w:rsid w:val="00796D92"/>
    <w:rsid w:val="007A29DB"/>
    <w:rsid w:val="007A3B13"/>
    <w:rsid w:val="007A73E1"/>
    <w:rsid w:val="007B05E7"/>
    <w:rsid w:val="007B43FA"/>
    <w:rsid w:val="007C1EEE"/>
    <w:rsid w:val="007C285C"/>
    <w:rsid w:val="007C3F00"/>
    <w:rsid w:val="007C4C06"/>
    <w:rsid w:val="007C6180"/>
    <w:rsid w:val="007D14A2"/>
    <w:rsid w:val="007D1731"/>
    <w:rsid w:val="007D2116"/>
    <w:rsid w:val="007D2C7B"/>
    <w:rsid w:val="007D3A5D"/>
    <w:rsid w:val="007E102C"/>
    <w:rsid w:val="007E17AB"/>
    <w:rsid w:val="007E4CA1"/>
    <w:rsid w:val="007E7DD4"/>
    <w:rsid w:val="007F2E6C"/>
    <w:rsid w:val="007F6D82"/>
    <w:rsid w:val="00801542"/>
    <w:rsid w:val="008015ED"/>
    <w:rsid w:val="0080241B"/>
    <w:rsid w:val="0080536E"/>
    <w:rsid w:val="0081384E"/>
    <w:rsid w:val="00815E47"/>
    <w:rsid w:val="008224A3"/>
    <w:rsid w:val="00822507"/>
    <w:rsid w:val="00832E55"/>
    <w:rsid w:val="008336C6"/>
    <w:rsid w:val="00833FCD"/>
    <w:rsid w:val="008347DE"/>
    <w:rsid w:val="00834AE0"/>
    <w:rsid w:val="00835FF5"/>
    <w:rsid w:val="00836154"/>
    <w:rsid w:val="00842191"/>
    <w:rsid w:val="00842A09"/>
    <w:rsid w:val="00842F55"/>
    <w:rsid w:val="00843C1C"/>
    <w:rsid w:val="00846056"/>
    <w:rsid w:val="00850A2E"/>
    <w:rsid w:val="00850A56"/>
    <w:rsid w:val="00852E9C"/>
    <w:rsid w:val="00854106"/>
    <w:rsid w:val="00860EE2"/>
    <w:rsid w:val="00861326"/>
    <w:rsid w:val="00861928"/>
    <w:rsid w:val="00861D43"/>
    <w:rsid w:val="0086329F"/>
    <w:rsid w:val="00863AD8"/>
    <w:rsid w:val="00863B95"/>
    <w:rsid w:val="008668F6"/>
    <w:rsid w:val="008703F6"/>
    <w:rsid w:val="0087131D"/>
    <w:rsid w:val="0087312F"/>
    <w:rsid w:val="00873613"/>
    <w:rsid w:val="00876171"/>
    <w:rsid w:val="008773E5"/>
    <w:rsid w:val="0088104A"/>
    <w:rsid w:val="00881F6F"/>
    <w:rsid w:val="00882A4A"/>
    <w:rsid w:val="00884E2C"/>
    <w:rsid w:val="00885014"/>
    <w:rsid w:val="00886C83"/>
    <w:rsid w:val="008910D4"/>
    <w:rsid w:val="008913CB"/>
    <w:rsid w:val="008916CF"/>
    <w:rsid w:val="00892B80"/>
    <w:rsid w:val="00894114"/>
    <w:rsid w:val="00896173"/>
    <w:rsid w:val="008A0619"/>
    <w:rsid w:val="008A0665"/>
    <w:rsid w:val="008A2A59"/>
    <w:rsid w:val="008A2AB3"/>
    <w:rsid w:val="008A4ABB"/>
    <w:rsid w:val="008A6BDC"/>
    <w:rsid w:val="008A73F4"/>
    <w:rsid w:val="008A7636"/>
    <w:rsid w:val="008B124D"/>
    <w:rsid w:val="008B1BA2"/>
    <w:rsid w:val="008B6B49"/>
    <w:rsid w:val="008B7509"/>
    <w:rsid w:val="008B7E56"/>
    <w:rsid w:val="008C3B1C"/>
    <w:rsid w:val="008C7E11"/>
    <w:rsid w:val="008D0793"/>
    <w:rsid w:val="008D23E5"/>
    <w:rsid w:val="008D47F7"/>
    <w:rsid w:val="008D56AF"/>
    <w:rsid w:val="008D5EF9"/>
    <w:rsid w:val="008D75E1"/>
    <w:rsid w:val="008D7BA3"/>
    <w:rsid w:val="008E08C9"/>
    <w:rsid w:val="008E3572"/>
    <w:rsid w:val="008E4D26"/>
    <w:rsid w:val="008F0324"/>
    <w:rsid w:val="008F0419"/>
    <w:rsid w:val="008F1E81"/>
    <w:rsid w:val="008F202F"/>
    <w:rsid w:val="008F3BF3"/>
    <w:rsid w:val="008F3CEB"/>
    <w:rsid w:val="008F73FE"/>
    <w:rsid w:val="008F785A"/>
    <w:rsid w:val="009067DC"/>
    <w:rsid w:val="009125C0"/>
    <w:rsid w:val="0091438C"/>
    <w:rsid w:val="00914E57"/>
    <w:rsid w:val="009152B1"/>
    <w:rsid w:val="009167FC"/>
    <w:rsid w:val="0092298E"/>
    <w:rsid w:val="00931EF7"/>
    <w:rsid w:val="00932E4A"/>
    <w:rsid w:val="0093349F"/>
    <w:rsid w:val="00941072"/>
    <w:rsid w:val="009427AA"/>
    <w:rsid w:val="00943754"/>
    <w:rsid w:val="00945CC9"/>
    <w:rsid w:val="00946094"/>
    <w:rsid w:val="00951AD8"/>
    <w:rsid w:val="009540EB"/>
    <w:rsid w:val="00954F4D"/>
    <w:rsid w:val="00962D16"/>
    <w:rsid w:val="009722C7"/>
    <w:rsid w:val="00976D2C"/>
    <w:rsid w:val="00977920"/>
    <w:rsid w:val="00980A44"/>
    <w:rsid w:val="009848C3"/>
    <w:rsid w:val="00984A2D"/>
    <w:rsid w:val="0098523B"/>
    <w:rsid w:val="00985564"/>
    <w:rsid w:val="00985F08"/>
    <w:rsid w:val="009908BC"/>
    <w:rsid w:val="0099092C"/>
    <w:rsid w:val="00993770"/>
    <w:rsid w:val="0099603D"/>
    <w:rsid w:val="009A0842"/>
    <w:rsid w:val="009A412F"/>
    <w:rsid w:val="009A74DE"/>
    <w:rsid w:val="009A75F0"/>
    <w:rsid w:val="009B09AD"/>
    <w:rsid w:val="009B4459"/>
    <w:rsid w:val="009B661F"/>
    <w:rsid w:val="009B7B24"/>
    <w:rsid w:val="009C3510"/>
    <w:rsid w:val="009C47DF"/>
    <w:rsid w:val="009C69FC"/>
    <w:rsid w:val="009D2557"/>
    <w:rsid w:val="009D4EF6"/>
    <w:rsid w:val="009D5889"/>
    <w:rsid w:val="009E078F"/>
    <w:rsid w:val="009E22F5"/>
    <w:rsid w:val="009E4366"/>
    <w:rsid w:val="009E72E3"/>
    <w:rsid w:val="009F033C"/>
    <w:rsid w:val="009F0367"/>
    <w:rsid w:val="009F0571"/>
    <w:rsid w:val="009F0A26"/>
    <w:rsid w:val="009F23D3"/>
    <w:rsid w:val="009F2E6C"/>
    <w:rsid w:val="009F4BAE"/>
    <w:rsid w:val="00A002D6"/>
    <w:rsid w:val="00A0041E"/>
    <w:rsid w:val="00A032EE"/>
    <w:rsid w:val="00A070FA"/>
    <w:rsid w:val="00A07871"/>
    <w:rsid w:val="00A102C0"/>
    <w:rsid w:val="00A122AB"/>
    <w:rsid w:val="00A16628"/>
    <w:rsid w:val="00A21C60"/>
    <w:rsid w:val="00A24CEE"/>
    <w:rsid w:val="00A2514D"/>
    <w:rsid w:val="00A27E49"/>
    <w:rsid w:val="00A31D57"/>
    <w:rsid w:val="00A378D8"/>
    <w:rsid w:val="00A4261E"/>
    <w:rsid w:val="00A46749"/>
    <w:rsid w:val="00A52AC1"/>
    <w:rsid w:val="00A52B8C"/>
    <w:rsid w:val="00A5426F"/>
    <w:rsid w:val="00A617A1"/>
    <w:rsid w:val="00A61B42"/>
    <w:rsid w:val="00A633E2"/>
    <w:rsid w:val="00A645E5"/>
    <w:rsid w:val="00A700F1"/>
    <w:rsid w:val="00A71411"/>
    <w:rsid w:val="00A729CA"/>
    <w:rsid w:val="00A7357C"/>
    <w:rsid w:val="00A74736"/>
    <w:rsid w:val="00A74C3E"/>
    <w:rsid w:val="00A74C64"/>
    <w:rsid w:val="00A76B49"/>
    <w:rsid w:val="00A772C2"/>
    <w:rsid w:val="00A77432"/>
    <w:rsid w:val="00A82D9B"/>
    <w:rsid w:val="00A851F2"/>
    <w:rsid w:val="00A86064"/>
    <w:rsid w:val="00A87AC8"/>
    <w:rsid w:val="00A90BBA"/>
    <w:rsid w:val="00A9470C"/>
    <w:rsid w:val="00A94BCC"/>
    <w:rsid w:val="00A94FE3"/>
    <w:rsid w:val="00A95D54"/>
    <w:rsid w:val="00AA2167"/>
    <w:rsid w:val="00AA6839"/>
    <w:rsid w:val="00AA6D78"/>
    <w:rsid w:val="00AA767D"/>
    <w:rsid w:val="00AA7CB2"/>
    <w:rsid w:val="00AB2AED"/>
    <w:rsid w:val="00AB3D14"/>
    <w:rsid w:val="00AB593B"/>
    <w:rsid w:val="00AB7CC6"/>
    <w:rsid w:val="00AC2968"/>
    <w:rsid w:val="00AC4678"/>
    <w:rsid w:val="00AD0AF8"/>
    <w:rsid w:val="00AD41EE"/>
    <w:rsid w:val="00AE49D0"/>
    <w:rsid w:val="00AF02F5"/>
    <w:rsid w:val="00AF1C14"/>
    <w:rsid w:val="00AF221A"/>
    <w:rsid w:val="00AF2A1F"/>
    <w:rsid w:val="00AF3C63"/>
    <w:rsid w:val="00AF63BF"/>
    <w:rsid w:val="00AF768E"/>
    <w:rsid w:val="00AF7B79"/>
    <w:rsid w:val="00B039CF"/>
    <w:rsid w:val="00B04A9B"/>
    <w:rsid w:val="00B10BCC"/>
    <w:rsid w:val="00B1156A"/>
    <w:rsid w:val="00B11BA2"/>
    <w:rsid w:val="00B12041"/>
    <w:rsid w:val="00B21BEB"/>
    <w:rsid w:val="00B22A71"/>
    <w:rsid w:val="00B25458"/>
    <w:rsid w:val="00B25978"/>
    <w:rsid w:val="00B26CAB"/>
    <w:rsid w:val="00B2781C"/>
    <w:rsid w:val="00B27C28"/>
    <w:rsid w:val="00B345A0"/>
    <w:rsid w:val="00B350EA"/>
    <w:rsid w:val="00B35B05"/>
    <w:rsid w:val="00B36047"/>
    <w:rsid w:val="00B36337"/>
    <w:rsid w:val="00B40419"/>
    <w:rsid w:val="00B41C33"/>
    <w:rsid w:val="00B43FF5"/>
    <w:rsid w:val="00B44C81"/>
    <w:rsid w:val="00B45B68"/>
    <w:rsid w:val="00B47D29"/>
    <w:rsid w:val="00B51968"/>
    <w:rsid w:val="00B537F6"/>
    <w:rsid w:val="00B53930"/>
    <w:rsid w:val="00B5753A"/>
    <w:rsid w:val="00B5791A"/>
    <w:rsid w:val="00B57CE9"/>
    <w:rsid w:val="00B60A6E"/>
    <w:rsid w:val="00B65D06"/>
    <w:rsid w:val="00B70890"/>
    <w:rsid w:val="00B72AA6"/>
    <w:rsid w:val="00B77705"/>
    <w:rsid w:val="00B8000F"/>
    <w:rsid w:val="00B8076A"/>
    <w:rsid w:val="00B81DEB"/>
    <w:rsid w:val="00B8249E"/>
    <w:rsid w:val="00B86445"/>
    <w:rsid w:val="00B924B6"/>
    <w:rsid w:val="00B95E21"/>
    <w:rsid w:val="00B95E99"/>
    <w:rsid w:val="00B97D13"/>
    <w:rsid w:val="00BA0F24"/>
    <w:rsid w:val="00BA22C1"/>
    <w:rsid w:val="00BA5A97"/>
    <w:rsid w:val="00BA6BBF"/>
    <w:rsid w:val="00BA7881"/>
    <w:rsid w:val="00BA7F66"/>
    <w:rsid w:val="00BB1772"/>
    <w:rsid w:val="00BB4D4C"/>
    <w:rsid w:val="00BC196C"/>
    <w:rsid w:val="00BC32A2"/>
    <w:rsid w:val="00BC63BD"/>
    <w:rsid w:val="00BC6DB8"/>
    <w:rsid w:val="00BC7A5C"/>
    <w:rsid w:val="00BD36C1"/>
    <w:rsid w:val="00BD7888"/>
    <w:rsid w:val="00BD7967"/>
    <w:rsid w:val="00BE1523"/>
    <w:rsid w:val="00BE1C58"/>
    <w:rsid w:val="00BE2A32"/>
    <w:rsid w:val="00BE5DD6"/>
    <w:rsid w:val="00BE76F0"/>
    <w:rsid w:val="00BF0ED5"/>
    <w:rsid w:val="00BF32AA"/>
    <w:rsid w:val="00BF4AD8"/>
    <w:rsid w:val="00BF5FE3"/>
    <w:rsid w:val="00BF7140"/>
    <w:rsid w:val="00BF7940"/>
    <w:rsid w:val="00C00F5D"/>
    <w:rsid w:val="00C0103F"/>
    <w:rsid w:val="00C02C48"/>
    <w:rsid w:val="00C0682D"/>
    <w:rsid w:val="00C06930"/>
    <w:rsid w:val="00C118DE"/>
    <w:rsid w:val="00C120A7"/>
    <w:rsid w:val="00C13B64"/>
    <w:rsid w:val="00C1494D"/>
    <w:rsid w:val="00C16138"/>
    <w:rsid w:val="00C17088"/>
    <w:rsid w:val="00C17F31"/>
    <w:rsid w:val="00C236A1"/>
    <w:rsid w:val="00C23E26"/>
    <w:rsid w:val="00C24BE5"/>
    <w:rsid w:val="00C25477"/>
    <w:rsid w:val="00C3010B"/>
    <w:rsid w:val="00C305CE"/>
    <w:rsid w:val="00C30C12"/>
    <w:rsid w:val="00C31363"/>
    <w:rsid w:val="00C322D8"/>
    <w:rsid w:val="00C3454B"/>
    <w:rsid w:val="00C36D0B"/>
    <w:rsid w:val="00C419CF"/>
    <w:rsid w:val="00C4279B"/>
    <w:rsid w:val="00C4688F"/>
    <w:rsid w:val="00C47057"/>
    <w:rsid w:val="00C502F7"/>
    <w:rsid w:val="00C505F5"/>
    <w:rsid w:val="00C521CB"/>
    <w:rsid w:val="00C548AB"/>
    <w:rsid w:val="00C5495A"/>
    <w:rsid w:val="00C57D6A"/>
    <w:rsid w:val="00C62872"/>
    <w:rsid w:val="00C65F8C"/>
    <w:rsid w:val="00C66FF5"/>
    <w:rsid w:val="00C67ECB"/>
    <w:rsid w:val="00C7052A"/>
    <w:rsid w:val="00C721EA"/>
    <w:rsid w:val="00C73BB9"/>
    <w:rsid w:val="00C75B97"/>
    <w:rsid w:val="00C76296"/>
    <w:rsid w:val="00C767CA"/>
    <w:rsid w:val="00C81F9F"/>
    <w:rsid w:val="00C827DA"/>
    <w:rsid w:val="00C82C04"/>
    <w:rsid w:val="00C83D74"/>
    <w:rsid w:val="00C84451"/>
    <w:rsid w:val="00C85A63"/>
    <w:rsid w:val="00C8650D"/>
    <w:rsid w:val="00C903D0"/>
    <w:rsid w:val="00C92584"/>
    <w:rsid w:val="00C926B0"/>
    <w:rsid w:val="00C93CBF"/>
    <w:rsid w:val="00CA62BF"/>
    <w:rsid w:val="00CA70F2"/>
    <w:rsid w:val="00CA7D2B"/>
    <w:rsid w:val="00CB099B"/>
    <w:rsid w:val="00CB348A"/>
    <w:rsid w:val="00CB5BA2"/>
    <w:rsid w:val="00CC0D65"/>
    <w:rsid w:val="00CC2209"/>
    <w:rsid w:val="00CC7031"/>
    <w:rsid w:val="00CC76D5"/>
    <w:rsid w:val="00CC7983"/>
    <w:rsid w:val="00CD0DCA"/>
    <w:rsid w:val="00CD12E6"/>
    <w:rsid w:val="00CD1E21"/>
    <w:rsid w:val="00CD2819"/>
    <w:rsid w:val="00CD346C"/>
    <w:rsid w:val="00CD3768"/>
    <w:rsid w:val="00CD5C6E"/>
    <w:rsid w:val="00CD7C4A"/>
    <w:rsid w:val="00CD7DA0"/>
    <w:rsid w:val="00CE0AF8"/>
    <w:rsid w:val="00CE1CC9"/>
    <w:rsid w:val="00CE3F46"/>
    <w:rsid w:val="00CE64D1"/>
    <w:rsid w:val="00CE6D87"/>
    <w:rsid w:val="00CF170F"/>
    <w:rsid w:val="00CF19D5"/>
    <w:rsid w:val="00CF2022"/>
    <w:rsid w:val="00CF3D12"/>
    <w:rsid w:val="00CF45A4"/>
    <w:rsid w:val="00CF79C4"/>
    <w:rsid w:val="00CF7A50"/>
    <w:rsid w:val="00D02834"/>
    <w:rsid w:val="00D03BD1"/>
    <w:rsid w:val="00D101BC"/>
    <w:rsid w:val="00D12263"/>
    <w:rsid w:val="00D16C36"/>
    <w:rsid w:val="00D17B1B"/>
    <w:rsid w:val="00D20458"/>
    <w:rsid w:val="00D21B4B"/>
    <w:rsid w:val="00D23408"/>
    <w:rsid w:val="00D23942"/>
    <w:rsid w:val="00D2595F"/>
    <w:rsid w:val="00D26B70"/>
    <w:rsid w:val="00D26F33"/>
    <w:rsid w:val="00D312D8"/>
    <w:rsid w:val="00D3516F"/>
    <w:rsid w:val="00D37335"/>
    <w:rsid w:val="00D416AC"/>
    <w:rsid w:val="00D41A78"/>
    <w:rsid w:val="00D423C9"/>
    <w:rsid w:val="00D426E6"/>
    <w:rsid w:val="00D42895"/>
    <w:rsid w:val="00D42A23"/>
    <w:rsid w:val="00D43B40"/>
    <w:rsid w:val="00D446A8"/>
    <w:rsid w:val="00D47C70"/>
    <w:rsid w:val="00D50C76"/>
    <w:rsid w:val="00D513A2"/>
    <w:rsid w:val="00D515BE"/>
    <w:rsid w:val="00D537A7"/>
    <w:rsid w:val="00D550CA"/>
    <w:rsid w:val="00D55F96"/>
    <w:rsid w:val="00D5681A"/>
    <w:rsid w:val="00D57BBD"/>
    <w:rsid w:val="00D624A3"/>
    <w:rsid w:val="00D625D2"/>
    <w:rsid w:val="00D64D57"/>
    <w:rsid w:val="00D657A4"/>
    <w:rsid w:val="00D65899"/>
    <w:rsid w:val="00D65A73"/>
    <w:rsid w:val="00D65D96"/>
    <w:rsid w:val="00D72997"/>
    <w:rsid w:val="00D746BC"/>
    <w:rsid w:val="00D76DFB"/>
    <w:rsid w:val="00D775D1"/>
    <w:rsid w:val="00D80621"/>
    <w:rsid w:val="00D8098F"/>
    <w:rsid w:val="00D80EF7"/>
    <w:rsid w:val="00D84614"/>
    <w:rsid w:val="00D85CD3"/>
    <w:rsid w:val="00D86B96"/>
    <w:rsid w:val="00D871B7"/>
    <w:rsid w:val="00D87469"/>
    <w:rsid w:val="00D91849"/>
    <w:rsid w:val="00D930E7"/>
    <w:rsid w:val="00D9454F"/>
    <w:rsid w:val="00D96048"/>
    <w:rsid w:val="00D96817"/>
    <w:rsid w:val="00D972CE"/>
    <w:rsid w:val="00DA1491"/>
    <w:rsid w:val="00DA3A7F"/>
    <w:rsid w:val="00DA56CC"/>
    <w:rsid w:val="00DA6FBC"/>
    <w:rsid w:val="00DB4BB7"/>
    <w:rsid w:val="00DB5D5E"/>
    <w:rsid w:val="00DC0EAD"/>
    <w:rsid w:val="00DC4D7E"/>
    <w:rsid w:val="00DC6237"/>
    <w:rsid w:val="00DC7AAE"/>
    <w:rsid w:val="00DD4D48"/>
    <w:rsid w:val="00DD62E6"/>
    <w:rsid w:val="00DE0298"/>
    <w:rsid w:val="00DE06C0"/>
    <w:rsid w:val="00DE15CD"/>
    <w:rsid w:val="00DE540C"/>
    <w:rsid w:val="00DE5A99"/>
    <w:rsid w:val="00DE798D"/>
    <w:rsid w:val="00DF2153"/>
    <w:rsid w:val="00DF2DD6"/>
    <w:rsid w:val="00DF3037"/>
    <w:rsid w:val="00DF3E7C"/>
    <w:rsid w:val="00DF58A1"/>
    <w:rsid w:val="00E00B3D"/>
    <w:rsid w:val="00E01132"/>
    <w:rsid w:val="00E018B0"/>
    <w:rsid w:val="00E054B3"/>
    <w:rsid w:val="00E10F00"/>
    <w:rsid w:val="00E129D6"/>
    <w:rsid w:val="00E155D3"/>
    <w:rsid w:val="00E16179"/>
    <w:rsid w:val="00E16937"/>
    <w:rsid w:val="00E200CC"/>
    <w:rsid w:val="00E20CA1"/>
    <w:rsid w:val="00E21093"/>
    <w:rsid w:val="00E21212"/>
    <w:rsid w:val="00E22107"/>
    <w:rsid w:val="00E22B4C"/>
    <w:rsid w:val="00E24672"/>
    <w:rsid w:val="00E25CA6"/>
    <w:rsid w:val="00E26DC1"/>
    <w:rsid w:val="00E270F7"/>
    <w:rsid w:val="00E27DF4"/>
    <w:rsid w:val="00E31EE4"/>
    <w:rsid w:val="00E320A0"/>
    <w:rsid w:val="00E32C61"/>
    <w:rsid w:val="00E369F4"/>
    <w:rsid w:val="00E37723"/>
    <w:rsid w:val="00E37ABD"/>
    <w:rsid w:val="00E40F69"/>
    <w:rsid w:val="00E42CEC"/>
    <w:rsid w:val="00E471CD"/>
    <w:rsid w:val="00E474FF"/>
    <w:rsid w:val="00E50132"/>
    <w:rsid w:val="00E51BFA"/>
    <w:rsid w:val="00E54AB1"/>
    <w:rsid w:val="00E55723"/>
    <w:rsid w:val="00E5580C"/>
    <w:rsid w:val="00E5588C"/>
    <w:rsid w:val="00E55F82"/>
    <w:rsid w:val="00E56ACF"/>
    <w:rsid w:val="00E6116C"/>
    <w:rsid w:val="00E653BE"/>
    <w:rsid w:val="00E6567C"/>
    <w:rsid w:val="00E70DCD"/>
    <w:rsid w:val="00E72558"/>
    <w:rsid w:val="00E728AB"/>
    <w:rsid w:val="00E749EE"/>
    <w:rsid w:val="00E7511B"/>
    <w:rsid w:val="00E75161"/>
    <w:rsid w:val="00E77B8C"/>
    <w:rsid w:val="00E8230A"/>
    <w:rsid w:val="00E82B66"/>
    <w:rsid w:val="00E84414"/>
    <w:rsid w:val="00E91C82"/>
    <w:rsid w:val="00E91DC5"/>
    <w:rsid w:val="00E93589"/>
    <w:rsid w:val="00E97A4A"/>
    <w:rsid w:val="00EA003E"/>
    <w:rsid w:val="00EA3A5A"/>
    <w:rsid w:val="00EA428D"/>
    <w:rsid w:val="00EB10BE"/>
    <w:rsid w:val="00EB366A"/>
    <w:rsid w:val="00EB4471"/>
    <w:rsid w:val="00EB468C"/>
    <w:rsid w:val="00EB4E7B"/>
    <w:rsid w:val="00EB5E46"/>
    <w:rsid w:val="00EB6F3F"/>
    <w:rsid w:val="00EC18B7"/>
    <w:rsid w:val="00EC3823"/>
    <w:rsid w:val="00EC4539"/>
    <w:rsid w:val="00EC4B73"/>
    <w:rsid w:val="00ED0E6E"/>
    <w:rsid w:val="00ED1B2C"/>
    <w:rsid w:val="00ED30D0"/>
    <w:rsid w:val="00ED327E"/>
    <w:rsid w:val="00EE2641"/>
    <w:rsid w:val="00EE2F53"/>
    <w:rsid w:val="00EE45C9"/>
    <w:rsid w:val="00EE7D3A"/>
    <w:rsid w:val="00EF3E47"/>
    <w:rsid w:val="00EF4F79"/>
    <w:rsid w:val="00EF4F97"/>
    <w:rsid w:val="00EF6A57"/>
    <w:rsid w:val="00F0245A"/>
    <w:rsid w:val="00F0294E"/>
    <w:rsid w:val="00F04887"/>
    <w:rsid w:val="00F16A1F"/>
    <w:rsid w:val="00F17144"/>
    <w:rsid w:val="00F17FFC"/>
    <w:rsid w:val="00F2000D"/>
    <w:rsid w:val="00F22CB4"/>
    <w:rsid w:val="00F23F93"/>
    <w:rsid w:val="00F24814"/>
    <w:rsid w:val="00F267AC"/>
    <w:rsid w:val="00F27182"/>
    <w:rsid w:val="00F30DF1"/>
    <w:rsid w:val="00F3130F"/>
    <w:rsid w:val="00F32803"/>
    <w:rsid w:val="00F33200"/>
    <w:rsid w:val="00F33452"/>
    <w:rsid w:val="00F33636"/>
    <w:rsid w:val="00F348CE"/>
    <w:rsid w:val="00F35D40"/>
    <w:rsid w:val="00F4036A"/>
    <w:rsid w:val="00F43F51"/>
    <w:rsid w:val="00F4488E"/>
    <w:rsid w:val="00F52104"/>
    <w:rsid w:val="00F549B1"/>
    <w:rsid w:val="00F54BD2"/>
    <w:rsid w:val="00F56D95"/>
    <w:rsid w:val="00F626F7"/>
    <w:rsid w:val="00F70602"/>
    <w:rsid w:val="00F71460"/>
    <w:rsid w:val="00F8107D"/>
    <w:rsid w:val="00F81F21"/>
    <w:rsid w:val="00F82C0B"/>
    <w:rsid w:val="00F84B02"/>
    <w:rsid w:val="00F84F2D"/>
    <w:rsid w:val="00F87778"/>
    <w:rsid w:val="00F91461"/>
    <w:rsid w:val="00F92297"/>
    <w:rsid w:val="00F9320F"/>
    <w:rsid w:val="00F93899"/>
    <w:rsid w:val="00F93AB6"/>
    <w:rsid w:val="00F956EE"/>
    <w:rsid w:val="00FA0421"/>
    <w:rsid w:val="00FA410C"/>
    <w:rsid w:val="00FA4AF6"/>
    <w:rsid w:val="00FA5ABA"/>
    <w:rsid w:val="00FA69DC"/>
    <w:rsid w:val="00FA6C6F"/>
    <w:rsid w:val="00FA6CA7"/>
    <w:rsid w:val="00FA77C4"/>
    <w:rsid w:val="00FA7C22"/>
    <w:rsid w:val="00FB04DE"/>
    <w:rsid w:val="00FB0DE5"/>
    <w:rsid w:val="00FB2BF4"/>
    <w:rsid w:val="00FB4BF1"/>
    <w:rsid w:val="00FC093C"/>
    <w:rsid w:val="00FC1FE3"/>
    <w:rsid w:val="00FC2697"/>
    <w:rsid w:val="00FC4C81"/>
    <w:rsid w:val="00FD1C48"/>
    <w:rsid w:val="00FD304D"/>
    <w:rsid w:val="00FD5ECD"/>
    <w:rsid w:val="00FD61E1"/>
    <w:rsid w:val="00FE0C2F"/>
    <w:rsid w:val="00FE0F5E"/>
    <w:rsid w:val="00FE21E0"/>
    <w:rsid w:val="00FE251B"/>
    <w:rsid w:val="00FE3030"/>
    <w:rsid w:val="00FE47BB"/>
    <w:rsid w:val="00FE7D7B"/>
    <w:rsid w:val="00FE7F38"/>
    <w:rsid w:val="00FF1BE8"/>
    <w:rsid w:val="00FF2796"/>
    <w:rsid w:val="00FF3489"/>
    <w:rsid w:val="00FF3631"/>
    <w:rsid w:val="00FF4D49"/>
    <w:rsid w:val="00FF57F7"/>
    <w:rsid w:val="00FF6F89"/>
    <w:rsid w:val="00FF7027"/>
    <w:rsid w:val="0676D7D5"/>
    <w:rsid w:val="16489C28"/>
    <w:rsid w:val="178568EB"/>
    <w:rsid w:val="1BC7D8AC"/>
    <w:rsid w:val="46681C5C"/>
    <w:rsid w:val="4A9C14E9"/>
    <w:rsid w:val="4E8C34A2"/>
    <w:rsid w:val="51FB2FF6"/>
    <w:rsid w:val="70F59850"/>
    <w:rsid w:val="7CF8F7F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B518D506-3790-4E94-9CD6-DF75BFE4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DF2153"/>
    <w:pPr>
      <w:pageBreakBefore/>
      <w:tabs>
        <w:tab w:val="center" w:pos="4513"/>
        <w:tab w:val="right" w:pos="9026"/>
      </w:tabs>
      <w:spacing w:after="480"/>
      <w:outlineLvl w:val="0"/>
    </w:pPr>
    <w:rPr>
      <w:b/>
      <w:color w:val="4C6968" w:themeColor="text1"/>
      <w:sz w:val="50"/>
      <w:szCs w:val="24"/>
    </w:rPr>
  </w:style>
  <w:style w:type="paragraph" w:styleId="Heading2">
    <w:name w:val="heading 2"/>
    <w:basedOn w:val="Normal"/>
    <w:next w:val="Normal"/>
    <w:link w:val="Heading2Char"/>
    <w:uiPriority w:val="9"/>
    <w:qFormat/>
    <w:rsid w:val="003268F7"/>
    <w:pPr>
      <w:keepNext/>
      <w:spacing w:before="360" w:after="240"/>
      <w:outlineLvl w:val="1"/>
    </w:pPr>
    <w:rPr>
      <w:b/>
      <w:color w:val="48555E" w:themeColor="text2"/>
      <w:sz w:val="32"/>
      <w:szCs w:val="20"/>
    </w:rPr>
  </w:style>
  <w:style w:type="paragraph" w:styleId="Heading3">
    <w:name w:val="heading 3"/>
    <w:basedOn w:val="Normal"/>
    <w:next w:val="Normal"/>
    <w:link w:val="Heading3Char"/>
    <w:uiPriority w:val="9"/>
    <w:qFormat/>
    <w:rsid w:val="003268F7"/>
    <w:pPr>
      <w:keepNext/>
      <w:spacing w:before="120" w:after="120"/>
      <w:outlineLvl w:val="2"/>
    </w:pPr>
    <w:rPr>
      <w:rFonts w:cs="Arial"/>
      <w:b/>
      <w:color w:val="48555E" w:themeColor="text2"/>
      <w:sz w:val="26"/>
    </w:rPr>
  </w:style>
  <w:style w:type="paragraph" w:styleId="Heading4">
    <w:name w:val="heading 4"/>
    <w:basedOn w:val="Normal"/>
    <w:next w:val="Normal"/>
    <w:link w:val="Heading4Char"/>
    <w:uiPriority w:val="9"/>
    <w:qFormat/>
    <w:rsid w:val="003268F7"/>
    <w:pPr>
      <w:keepNext/>
      <w:spacing w:before="120"/>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A62BF"/>
    <w:rPr>
      <w:b/>
      <w:color w:val="4C6968" w:themeColor="text1"/>
      <w:sz w:val="24"/>
    </w:rPr>
  </w:style>
  <w:style w:type="character" w:customStyle="1" w:styleId="DateChar">
    <w:name w:val="Date Char"/>
    <w:basedOn w:val="DefaultParagraphFont"/>
    <w:link w:val="Date"/>
    <w:uiPriority w:val="99"/>
    <w:rsid w:val="00CA62BF"/>
    <w:rPr>
      <w:rFonts w:ascii="Verdana" w:hAnsi="Verdana"/>
      <w:b/>
      <w:color w:val="4C6968" w:themeColor="text1"/>
      <w:sz w:val="24"/>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DF2153"/>
    <w:rPr>
      <w:rFonts w:ascii="Verdana" w:hAnsi="Verdana"/>
      <w:b/>
      <w:color w:val="4C6968" w:themeColor="text1"/>
      <w:sz w:val="50"/>
      <w:szCs w:val="24"/>
      <w:lang w:eastAsia="en-US"/>
    </w:rPr>
  </w:style>
  <w:style w:type="character" w:customStyle="1" w:styleId="Heading2Char">
    <w:name w:val="Heading 2 Char"/>
    <w:basedOn w:val="DefaultParagraphFont"/>
    <w:link w:val="Heading2"/>
    <w:uiPriority w:val="9"/>
    <w:rsid w:val="003268F7"/>
    <w:rPr>
      <w:rFonts w:ascii="Verdana" w:hAnsi="Verdana"/>
      <w:b/>
      <w:color w:val="48555E" w:themeColor="text2"/>
      <w:sz w:val="32"/>
      <w:szCs w:val="20"/>
      <w:lang w:eastAsia="en-US"/>
    </w:rPr>
  </w:style>
  <w:style w:type="character" w:customStyle="1" w:styleId="Heading3Char">
    <w:name w:val="Heading 3 Char"/>
    <w:basedOn w:val="DefaultParagraphFont"/>
    <w:link w:val="Heading3"/>
    <w:uiPriority w:val="9"/>
    <w:rsid w:val="003268F7"/>
    <w:rPr>
      <w:rFonts w:ascii="Verdana" w:hAnsi="Verdana" w:cs="Arial"/>
      <w:b/>
      <w:color w:val="48555E" w:themeColor="text2"/>
      <w:sz w:val="26"/>
      <w:lang w:eastAsia="en-US"/>
    </w:rPr>
  </w:style>
  <w:style w:type="character" w:customStyle="1" w:styleId="Heading4Char">
    <w:name w:val="Heading 4 Char"/>
    <w:basedOn w:val="DefaultParagraphFont"/>
    <w:link w:val="Heading4"/>
    <w:uiPriority w:val="9"/>
    <w:rsid w:val="003268F7"/>
    <w:rPr>
      <w:rFonts w:ascii="Verdana" w:hAnsi="Verdana" w:cs="Arial"/>
      <w:lang w:eastAsia="en-US"/>
    </w:rPr>
  </w:style>
  <w:style w:type="paragraph" w:styleId="ListBullet">
    <w:name w:val="List Bullet"/>
    <w:basedOn w:val="Normal"/>
    <w:uiPriority w:val="99"/>
    <w:unhideWhenUsed/>
    <w:qFormat/>
    <w:rsid w:val="007C3F00"/>
    <w:pPr>
      <w:numPr>
        <w:numId w:val="4"/>
      </w:numPr>
      <w:spacing w:after="120"/>
    </w:pPr>
  </w:style>
  <w:style w:type="paragraph" w:styleId="ListBullet2">
    <w:name w:val="List Bullet 2"/>
    <w:basedOn w:val="Normal"/>
    <w:uiPriority w:val="99"/>
    <w:unhideWhenUsed/>
    <w:pPr>
      <w:numPr>
        <w:ilvl w:val="1"/>
        <w:numId w:val="4"/>
      </w:numPr>
    </w:pPr>
  </w:style>
  <w:style w:type="numbering" w:customStyle="1" w:styleId="Attach">
    <w:name w:val="Attach"/>
    <w:basedOn w:val="NoList"/>
    <w:uiPriority w:val="99"/>
    <w:pPr>
      <w:numPr>
        <w:numId w:val="3"/>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5"/>
      </w:numPr>
      <w:spacing w:before="120" w:after="120"/>
    </w:pPr>
  </w:style>
  <w:style w:type="paragraph" w:styleId="ListNumber2">
    <w:name w:val="List Number 2"/>
    <w:basedOn w:val="Normal"/>
    <w:uiPriority w:val="99"/>
    <w:rsid w:val="00FE0C2F"/>
    <w:pPr>
      <w:numPr>
        <w:ilvl w:val="1"/>
        <w:numId w:val="5"/>
      </w:numPr>
      <w:spacing w:after="120"/>
    </w:pPr>
    <w:rPr>
      <w:rFonts w:cs="Segoe UI"/>
    </w:rPr>
  </w:style>
  <w:style w:type="paragraph" w:styleId="ListNumber3">
    <w:name w:val="List Number 3"/>
    <w:basedOn w:val="Normal"/>
    <w:uiPriority w:val="99"/>
    <w:rsid w:val="00FE0C2F"/>
    <w:pPr>
      <w:numPr>
        <w:ilvl w:val="2"/>
        <w:numId w:val="5"/>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paragraph" w:styleId="Title">
    <w:name w:val="Title"/>
    <w:basedOn w:val="Normal"/>
    <w:next w:val="Normal"/>
    <w:link w:val="TitleChar"/>
    <w:uiPriority w:val="10"/>
    <w:qFormat/>
    <w:rsid w:val="00473F5B"/>
    <w:pPr>
      <w:spacing w:after="0"/>
      <w:contextualSpacing/>
    </w:pPr>
    <w:rPr>
      <w:rFonts w:eastAsiaTheme="majorEastAsia" w:cstheme="majorBidi"/>
      <w:b/>
      <w:color w:val="FFFFFF"/>
      <w:spacing w:val="-10"/>
      <w:kern w:val="28"/>
      <w:sz w:val="70"/>
      <w:szCs w:val="56"/>
    </w:rPr>
  </w:style>
  <w:style w:type="character" w:customStyle="1" w:styleId="TitleChar">
    <w:name w:val="Title Char"/>
    <w:basedOn w:val="DefaultParagraphFont"/>
    <w:link w:val="Title"/>
    <w:uiPriority w:val="10"/>
    <w:rsid w:val="00473F5B"/>
    <w:rPr>
      <w:rFonts w:ascii="Verdana" w:eastAsiaTheme="majorEastAsia" w:hAnsi="Verdana" w:cstheme="majorBidi"/>
      <w:b/>
      <w:color w:val="FFFFFF"/>
      <w:spacing w:val="-10"/>
      <w:kern w:val="28"/>
      <w:sz w:val="70"/>
      <w:szCs w:val="56"/>
      <w:lang w:eastAsia="en-US"/>
    </w:rPr>
  </w:style>
  <w:style w:type="character" w:styleId="CommentReference">
    <w:name w:val="annotation reference"/>
    <w:basedOn w:val="DefaultParagraphFont"/>
    <w:uiPriority w:val="99"/>
    <w:semiHidden/>
    <w:unhideWhenUsed/>
    <w:rPr>
      <w:sz w:val="16"/>
      <w:szCs w:val="16"/>
    </w:rPr>
  </w:style>
  <w:style w:type="table" w:styleId="PlainTable1">
    <w:name w:val="Plain Table 1"/>
    <w:basedOn w:val="TableNormal"/>
    <w:uiPriority w:val="41"/>
    <w:rsid w:val="007C3F00"/>
    <w:tblPr>
      <w:tblStyleRowBandSize w:val="1"/>
      <w:tblStyleColBandSize w:val="1"/>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tblStylePr w:type="firstRow">
      <w:rPr>
        <w:b/>
        <w:bCs/>
      </w:rPr>
    </w:tblStylePr>
    <w:tblStylePr w:type="lastRow">
      <w:rPr>
        <w:b/>
        <w:bCs/>
      </w:rPr>
      <w:tblPr/>
      <w:tcPr>
        <w:tcBorders>
          <w:top w:val="double" w:sz="4" w:space="0" w:color="72ADC4" w:themeColor="background1" w:themeShade="BF"/>
        </w:tcBorders>
      </w:tcPr>
    </w:tblStylePr>
    <w:tblStylePr w:type="firstCol">
      <w:rPr>
        <w:b/>
        <w:bCs/>
      </w:rPr>
    </w:tblStylePr>
    <w:tblStylePr w:type="lastCol">
      <w:rPr>
        <w:b/>
        <w:bCs/>
      </w:rPr>
    </w:tblStylePr>
    <w:tblStylePr w:type="band1Vert">
      <w:tblPr/>
      <w:tcPr>
        <w:shd w:val="clear" w:color="auto" w:fill="ACCFDC" w:themeFill="background1" w:themeFillShade="F2"/>
      </w:tcPr>
    </w:tblStylePr>
    <w:tblStylePr w:type="band1Horz">
      <w:tblPr/>
      <w:tcPr>
        <w:shd w:val="clear" w:color="auto" w:fill="ACCFDC" w:themeFill="background1" w:themeFillShade="F2"/>
      </w:tcPr>
    </w:tblStylePr>
  </w:style>
  <w:style w:type="paragraph" w:customStyle="1" w:styleId="TableHeader">
    <w:name w:val="Table Header"/>
    <w:basedOn w:val="Normal"/>
    <w:qFormat/>
    <w:rsid w:val="003268F7"/>
    <w:pPr>
      <w:spacing w:before="120" w:after="120"/>
    </w:pPr>
    <w:rPr>
      <w:b/>
      <w:color w:val="FFFFFF"/>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paragraph" w:customStyle="1" w:styleId="TableText">
    <w:name w:val="Table Text"/>
    <w:basedOn w:val="Normal"/>
    <w:qFormat/>
    <w:rsid w:val="003268F7"/>
    <w:pPr>
      <w:spacing w:before="120" w:after="120"/>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paragraph" w:customStyle="1" w:styleId="TableHeading">
    <w:name w:val="Table Heading"/>
    <w:basedOn w:val="Normal"/>
    <w:qFormat/>
    <w:rsid w:val="003268F7"/>
    <w:pPr>
      <w:spacing w:before="240" w:after="120"/>
    </w:pPr>
    <w:rPr>
      <w:color w:val="4C6968" w:themeColor="text1"/>
    </w:rPr>
  </w:style>
  <w:style w:type="table" w:styleId="TableGridLight">
    <w:name w:val="Grid Table Light"/>
    <w:basedOn w:val="TableNormal"/>
    <w:uiPriority w:val="40"/>
    <w:rsid w:val="003268F7"/>
    <w:rPr>
      <w:rFonts w:ascii="Verdana" w:hAnsi="Verdana"/>
      <w:sz w:val="20"/>
    </w:rPr>
    <w:tblPr>
      <w:tblBorders>
        <w:top w:val="single" w:sz="4" w:space="0" w:color="48555E" w:themeColor="text2"/>
        <w:bottom w:val="single" w:sz="4" w:space="0" w:color="48555E" w:themeColor="text2"/>
        <w:insideH w:val="single" w:sz="4" w:space="0" w:color="48555E" w:themeColor="text2"/>
      </w:tblBorders>
    </w:tblPr>
    <w:tblStylePr w:type="firstRow">
      <w:tblPr/>
      <w:tcPr>
        <w:shd w:val="clear" w:color="auto" w:fill="4C6968" w:themeFill="text1"/>
      </w:tcPr>
    </w:tblStylePr>
  </w:style>
  <w:style w:type="paragraph" w:styleId="Subtitle">
    <w:name w:val="Subtitle"/>
    <w:basedOn w:val="Normal"/>
    <w:next w:val="Normal"/>
    <w:link w:val="SubtitleChar"/>
    <w:uiPriority w:val="11"/>
    <w:unhideWhenUsed/>
    <w:qFormat/>
    <w:rsid w:val="00E56ACF"/>
    <w:pPr>
      <w:numPr>
        <w:ilvl w:val="1"/>
      </w:numPr>
      <w:spacing w:before="360" w:after="160"/>
    </w:pPr>
    <w:rPr>
      <w:rFonts w:eastAsiaTheme="minorEastAsia" w:cstheme="minorBidi"/>
      <w:color w:val="FFFFFF"/>
      <w:spacing w:val="15"/>
      <w:sz w:val="30"/>
    </w:rPr>
  </w:style>
  <w:style w:type="character" w:customStyle="1" w:styleId="SubtitleChar">
    <w:name w:val="Subtitle Char"/>
    <w:basedOn w:val="DefaultParagraphFont"/>
    <w:link w:val="Subtitle"/>
    <w:uiPriority w:val="11"/>
    <w:rsid w:val="00E56ACF"/>
    <w:rPr>
      <w:rFonts w:ascii="Verdana" w:eastAsiaTheme="minorEastAsia" w:hAnsi="Verdana" w:cstheme="minorBidi"/>
      <w:color w:val="FFFFFF"/>
      <w:spacing w:val="15"/>
      <w:sz w:val="30"/>
      <w:lang w:eastAsia="en-US"/>
    </w:rPr>
  </w:style>
  <w:style w:type="paragraph" w:customStyle="1" w:styleId="Author">
    <w:name w:val="Author"/>
    <w:basedOn w:val="Normal"/>
    <w:qFormat/>
    <w:rsid w:val="00E56ACF"/>
    <w:pPr>
      <w:spacing w:before="600" w:after="120"/>
    </w:pPr>
    <w:rPr>
      <w:color w:val="FFFFFF"/>
    </w:rPr>
  </w:style>
  <w:style w:type="paragraph" w:customStyle="1" w:styleId="IntroductionParagraph">
    <w:name w:val="Introduction Paragraph"/>
    <w:basedOn w:val="Normal"/>
    <w:qFormat/>
    <w:rsid w:val="002C07A5"/>
    <w:pPr>
      <w:spacing w:after="360"/>
    </w:pPr>
    <w:rPr>
      <w:b/>
      <w:color w:val="FFFFFF"/>
      <w:sz w:val="28"/>
    </w:rPr>
  </w:style>
  <w:style w:type="paragraph" w:customStyle="1" w:styleId="NormalWhite">
    <w:name w:val="Normal White"/>
    <w:basedOn w:val="Normal"/>
    <w:qFormat/>
    <w:rsid w:val="002C07A5"/>
    <w:rPr>
      <w:color w:val="FFFFFF"/>
    </w:rPr>
  </w:style>
  <w:style w:type="paragraph" w:customStyle="1" w:styleId="FigureHeading">
    <w:name w:val="Figure Heading"/>
    <w:basedOn w:val="TableHeading"/>
    <w:qFormat/>
    <w:rsid w:val="00142E0B"/>
  </w:style>
  <w:style w:type="paragraph" w:styleId="TOC2">
    <w:name w:val="toc 2"/>
    <w:basedOn w:val="Normal"/>
    <w:next w:val="Normal"/>
    <w:autoRedefine/>
    <w:uiPriority w:val="39"/>
    <w:unhideWhenUsed/>
    <w:rsid w:val="00E82B66"/>
    <w:pPr>
      <w:tabs>
        <w:tab w:val="right" w:leader="dot" w:pos="9628"/>
      </w:tabs>
      <w:spacing w:after="100"/>
      <w:ind w:left="200"/>
    </w:pPr>
    <w:rPr>
      <w:noProof/>
    </w:rPr>
  </w:style>
  <w:style w:type="paragraph" w:styleId="TOC1">
    <w:name w:val="toc 1"/>
    <w:basedOn w:val="Normal"/>
    <w:next w:val="Normal"/>
    <w:autoRedefine/>
    <w:uiPriority w:val="39"/>
    <w:unhideWhenUsed/>
    <w:rsid w:val="001C0F11"/>
    <w:pPr>
      <w:tabs>
        <w:tab w:val="right" w:leader="dot" w:pos="9628"/>
      </w:tabs>
      <w:spacing w:before="240" w:after="100"/>
    </w:pPr>
    <w:rPr>
      <w:b/>
      <w:noProof/>
      <w:color w:val="48555E" w:themeColor="text2"/>
      <w:sz w:val="24"/>
    </w:rPr>
  </w:style>
  <w:style w:type="paragraph" w:styleId="TOC3">
    <w:name w:val="toc 3"/>
    <w:basedOn w:val="Normal"/>
    <w:next w:val="Normal"/>
    <w:autoRedefine/>
    <w:uiPriority w:val="39"/>
    <w:unhideWhenUsed/>
    <w:rsid w:val="0066217F"/>
    <w:pPr>
      <w:tabs>
        <w:tab w:val="right" w:leader="dot" w:pos="9628"/>
      </w:tabs>
      <w:spacing w:after="100"/>
      <w:ind w:left="400"/>
    </w:pPr>
    <w:rPr>
      <w:noProof/>
    </w:rPr>
  </w:style>
  <w:style w:type="paragraph" w:customStyle="1" w:styleId="AppendicesHeading1">
    <w:name w:val="Appendices Heading 1"/>
    <w:basedOn w:val="Heading1"/>
    <w:qFormat/>
    <w:rsid w:val="007935B6"/>
  </w:style>
  <w:style w:type="paragraph" w:customStyle="1" w:styleId="AppendicesHeading2">
    <w:name w:val="Appendices Heading 2"/>
    <w:basedOn w:val="Heading2"/>
    <w:qFormat/>
    <w:rsid w:val="007935B6"/>
  </w:style>
  <w:style w:type="paragraph" w:customStyle="1" w:styleId="AppendicesHeading3">
    <w:name w:val="Appendices Heading 3"/>
    <w:basedOn w:val="Heading3"/>
    <w:qFormat/>
    <w:rsid w:val="007935B6"/>
  </w:style>
  <w:style w:type="paragraph" w:customStyle="1" w:styleId="AppendicesHeading4">
    <w:name w:val="Appendices Heading 4"/>
    <w:basedOn w:val="Heading4"/>
    <w:qFormat/>
    <w:rsid w:val="007935B6"/>
  </w:style>
  <w:style w:type="paragraph" w:customStyle="1" w:styleId="AppendicesHeading5">
    <w:name w:val="Appendices Heading 5"/>
    <w:basedOn w:val="Heading5"/>
    <w:qFormat/>
    <w:rsid w:val="007935B6"/>
  </w:style>
  <w:style w:type="paragraph" w:customStyle="1" w:styleId="Instructions">
    <w:name w:val="Instructions"/>
    <w:basedOn w:val="Normal"/>
    <w:qFormat/>
    <w:rsid w:val="001C0F11"/>
    <w:pPr>
      <w:pBdr>
        <w:top w:val="single" w:sz="4" w:space="1" w:color="BCD8E3" w:themeColor="background1"/>
        <w:left w:val="single" w:sz="4" w:space="4" w:color="BCD8E3" w:themeColor="background1"/>
        <w:bottom w:val="single" w:sz="4" w:space="1" w:color="BCD8E3" w:themeColor="background1"/>
        <w:right w:val="single" w:sz="4" w:space="4" w:color="BCD8E3" w:themeColor="background1"/>
      </w:pBdr>
      <w:shd w:val="clear" w:color="auto" w:fill="BCD8E3" w:themeFill="background1"/>
      <w:ind w:left="113" w:right="113"/>
    </w:pPr>
  </w:style>
  <w:style w:type="character" w:styleId="Emphasis">
    <w:name w:val="Emphasis"/>
    <w:basedOn w:val="DefaultParagraphFont"/>
    <w:uiPriority w:val="20"/>
    <w:qFormat/>
    <w:rsid w:val="00C118DE"/>
    <w:rPr>
      <w:i/>
      <w:iCs/>
    </w:rPr>
  </w:style>
  <w:style w:type="paragraph" w:styleId="CommentText">
    <w:name w:val="annotation text"/>
    <w:basedOn w:val="Normal"/>
    <w:link w:val="CommentTextChar"/>
    <w:uiPriority w:val="99"/>
    <w:unhideWhenUsed/>
    <w:rsid w:val="00C118DE"/>
    <w:pPr>
      <w:suppressAutoHyphens/>
      <w:spacing w:before="60" w:after="60"/>
    </w:pPr>
    <w:rPr>
      <w:rFonts w:ascii="Arial" w:eastAsiaTheme="minorEastAsia" w:hAnsi="Arial" w:cstheme="minorBidi"/>
      <w:szCs w:val="20"/>
      <w:lang w:eastAsia="en-GB"/>
    </w:rPr>
  </w:style>
  <w:style w:type="character" w:customStyle="1" w:styleId="CommentTextChar">
    <w:name w:val="Comment Text Char"/>
    <w:basedOn w:val="DefaultParagraphFont"/>
    <w:link w:val="CommentText"/>
    <w:uiPriority w:val="99"/>
    <w:rsid w:val="00C118DE"/>
    <w:rPr>
      <w:rFonts w:eastAsiaTheme="minorEastAsia" w:cstheme="minorBidi"/>
      <w:sz w:val="20"/>
      <w:szCs w:val="20"/>
      <w:lang w:eastAsia="en-GB"/>
    </w:rPr>
  </w:style>
  <w:style w:type="paragraph" w:styleId="ListParagraph">
    <w:name w:val="List Paragraph"/>
    <w:basedOn w:val="Normal"/>
    <w:uiPriority w:val="34"/>
    <w:qFormat/>
    <w:rsid w:val="00B95E99"/>
    <w:pPr>
      <w:spacing w:after="240"/>
      <w:ind w:left="720"/>
      <w:contextualSpacing/>
    </w:pPr>
    <w:rPr>
      <w:rFonts w:eastAsiaTheme="minorEastAsia" w:cstheme="minorBidi"/>
      <w:szCs w:val="24"/>
      <w:lang w:eastAsia="en-GB"/>
    </w:rPr>
  </w:style>
  <w:style w:type="paragraph" w:styleId="Revision">
    <w:name w:val="Revision"/>
    <w:hidden/>
    <w:uiPriority w:val="99"/>
    <w:semiHidden/>
    <w:rsid w:val="00224D16"/>
    <w:rPr>
      <w:rFonts w:ascii="Verdana" w:hAnsi="Verdana"/>
      <w:sz w:val="20"/>
      <w:lang w:eastAsia="en-US"/>
    </w:rPr>
  </w:style>
  <w:style w:type="character" w:styleId="Mention">
    <w:name w:val="Mention"/>
    <w:basedOn w:val="DefaultParagraphFont"/>
    <w:uiPriority w:val="99"/>
    <w:unhideWhenUsed/>
    <w:rsid w:val="00224D16"/>
    <w:rPr>
      <w:color w:val="2B579A"/>
      <w:shd w:val="clear" w:color="auto" w:fill="E1DFDD"/>
    </w:rPr>
  </w:style>
  <w:style w:type="character" w:styleId="IntenseEmphasis">
    <w:name w:val="Intense Emphasis"/>
    <w:basedOn w:val="DefaultParagraphFont"/>
    <w:uiPriority w:val="21"/>
    <w:qFormat/>
    <w:rsid w:val="00822507"/>
    <w:rPr>
      <w:i/>
      <w:iCs/>
      <w:color w:val="4C6968"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852958123">
      <w:bodyDiv w:val="1"/>
      <w:marLeft w:val="0"/>
      <w:marRight w:val="0"/>
      <w:marTop w:val="0"/>
      <w:marBottom w:val="0"/>
      <w:divBdr>
        <w:top w:val="none" w:sz="0" w:space="0" w:color="auto"/>
        <w:left w:val="none" w:sz="0" w:space="0" w:color="auto"/>
        <w:bottom w:val="none" w:sz="0" w:space="0" w:color="auto"/>
        <w:right w:val="none" w:sz="0" w:space="0" w:color="auto"/>
      </w:divBdr>
    </w:div>
    <w:div w:id="1031422349">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42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SharedWithUsers xmlns="d869c146-c82e-4435-92e4-da91542262fd">
      <UserInfo>
        <DisplayName>Schalk, Tara</DisplayName>
        <AccountId>340</AccountId>
        <AccountType/>
      </UserInfo>
      <UserInfo>
        <DisplayName>Lonnie, Ken</DisplayName>
        <AccountId>40</AccountId>
        <AccountType/>
      </UserInfo>
      <UserInfo>
        <DisplayName>Carter, Edwina</DisplayName>
        <AccountId>46</AccountId>
        <AccountType/>
      </UserInfo>
      <UserInfo>
        <DisplayName>Rana, Tariq</DisplayName>
        <AccountId>250</AccountId>
        <AccountType/>
      </UserInfo>
      <UserInfo>
        <DisplayName>Murphy, Brendan</DisplayName>
        <AccountId>37</AccountId>
        <AccountType/>
      </UserInfo>
      <UserInfo>
        <DisplayName>Davis, Katie</DisplayName>
        <AccountId>27</AccountId>
        <AccountType/>
      </UserInfo>
      <UserInfo>
        <DisplayName>Goodspeed, Mandy</DisplayName>
        <AccountId>553</AccountId>
        <AccountType/>
      </UserInfo>
      <UserInfo>
        <DisplayName>Kuchel, Sarah</DisplayName>
        <AccountId>20</AccountId>
        <AccountType/>
      </UserInfo>
      <UserInfo>
        <DisplayName>Whitby, Nathalie</DisplayName>
        <AccountId>515</AccountId>
        <AccountType/>
      </UserInfo>
      <UserInfo>
        <DisplayName>Vile, Joseph</DisplayName>
        <AccountId>29</AccountId>
        <AccountType/>
      </UserInfo>
      <UserInfo>
        <DisplayName>Bok, Meroe</DisplayName>
        <AccountId>252</AccountId>
        <AccountType/>
      </UserInfo>
      <UserInfo>
        <DisplayName>Smith, Jodi</DisplayName>
        <AccountId>15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9EFDB07-05A5-4DCC-B9D8-65AA85759FA2}">
  <ds:schemaRefs>
    <ds:schemaRef ds:uri="http://schemas.microsoft.com/sharepoint/v3/contenttype/forms"/>
  </ds:schemaRefs>
</ds:datastoreItem>
</file>

<file path=customXml/itemProps2.xml><?xml version="1.0" encoding="utf-8"?>
<ds:datastoreItem xmlns:ds="http://schemas.openxmlformats.org/officeDocument/2006/customXml" ds:itemID="{84F7B2AC-A500-4763-8C69-1B11AE270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C5C75-9319-4EA5-8F2B-CED38D4D1B79}">
  <ds:schemaRefs>
    <ds:schemaRef ds:uri="http://purl.org/dc/elements/1.1/"/>
    <ds:schemaRef ds:uri="http://schemas.openxmlformats.org/package/2006/metadata/core-properties"/>
    <ds:schemaRef ds:uri="d869c146-c82e-4435-92e4-da91542262fd"/>
    <ds:schemaRef ds:uri="d81c2681-db7b-4a56-9abd-a3238a78f6b2"/>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a95247a4-6a6b-40fb-87b6-0fb2f012c536"/>
    <ds:schemaRef ds:uri="b98728ac-f998-415c-abee-6b046fb1441e"/>
    <ds:schemaRef ds:uri="http://schemas.microsoft.com/sharepoint/v3"/>
  </ds:schemaRefs>
</ds:datastoreItem>
</file>

<file path=docMetadata/LabelInfo.xml><?xml version="1.0" encoding="utf-8"?>
<clbl:labelList xmlns:clbl="http://schemas.microsoft.com/office/2020/mipLabelMetadata">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3</TotalTime>
  <Pages>11</Pages>
  <Words>3541</Words>
  <Characters>20189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Interim Report Submission: Productivity Commission National Water Reform Inquiry </vt:lpstr>
    </vt:vector>
  </TitlesOfParts>
  <Manager/>
  <Company/>
  <LinksUpToDate>false</LinksUpToDate>
  <CharactersWithSpaces>23683</CharactersWithSpaces>
  <SharedDoc>false</SharedDoc>
  <HLinks>
    <vt:vector size="234" baseType="variant">
      <vt:variant>
        <vt:i4>1376308</vt:i4>
      </vt:variant>
      <vt:variant>
        <vt:i4>86</vt:i4>
      </vt:variant>
      <vt:variant>
        <vt:i4>0</vt:i4>
      </vt:variant>
      <vt:variant>
        <vt:i4>5</vt:i4>
      </vt:variant>
      <vt:variant>
        <vt:lpwstr/>
      </vt:variant>
      <vt:variant>
        <vt:lpwstr>_Toc164176632</vt:lpwstr>
      </vt:variant>
      <vt:variant>
        <vt:i4>1376308</vt:i4>
      </vt:variant>
      <vt:variant>
        <vt:i4>80</vt:i4>
      </vt:variant>
      <vt:variant>
        <vt:i4>0</vt:i4>
      </vt:variant>
      <vt:variant>
        <vt:i4>5</vt:i4>
      </vt:variant>
      <vt:variant>
        <vt:lpwstr/>
      </vt:variant>
      <vt:variant>
        <vt:lpwstr>_Toc164176631</vt:lpwstr>
      </vt:variant>
      <vt:variant>
        <vt:i4>1376308</vt:i4>
      </vt:variant>
      <vt:variant>
        <vt:i4>74</vt:i4>
      </vt:variant>
      <vt:variant>
        <vt:i4>0</vt:i4>
      </vt:variant>
      <vt:variant>
        <vt:i4>5</vt:i4>
      </vt:variant>
      <vt:variant>
        <vt:lpwstr/>
      </vt:variant>
      <vt:variant>
        <vt:lpwstr>_Toc164176630</vt:lpwstr>
      </vt:variant>
      <vt:variant>
        <vt:i4>1310772</vt:i4>
      </vt:variant>
      <vt:variant>
        <vt:i4>68</vt:i4>
      </vt:variant>
      <vt:variant>
        <vt:i4>0</vt:i4>
      </vt:variant>
      <vt:variant>
        <vt:i4>5</vt:i4>
      </vt:variant>
      <vt:variant>
        <vt:lpwstr/>
      </vt:variant>
      <vt:variant>
        <vt:lpwstr>_Toc164176629</vt:lpwstr>
      </vt:variant>
      <vt:variant>
        <vt:i4>1310772</vt:i4>
      </vt:variant>
      <vt:variant>
        <vt:i4>62</vt:i4>
      </vt:variant>
      <vt:variant>
        <vt:i4>0</vt:i4>
      </vt:variant>
      <vt:variant>
        <vt:i4>5</vt:i4>
      </vt:variant>
      <vt:variant>
        <vt:lpwstr/>
      </vt:variant>
      <vt:variant>
        <vt:lpwstr>_Toc164176628</vt:lpwstr>
      </vt:variant>
      <vt:variant>
        <vt:i4>1310772</vt:i4>
      </vt:variant>
      <vt:variant>
        <vt:i4>56</vt:i4>
      </vt:variant>
      <vt:variant>
        <vt:i4>0</vt:i4>
      </vt:variant>
      <vt:variant>
        <vt:i4>5</vt:i4>
      </vt:variant>
      <vt:variant>
        <vt:lpwstr/>
      </vt:variant>
      <vt:variant>
        <vt:lpwstr>_Toc164176627</vt:lpwstr>
      </vt:variant>
      <vt:variant>
        <vt:i4>1310772</vt:i4>
      </vt:variant>
      <vt:variant>
        <vt:i4>50</vt:i4>
      </vt:variant>
      <vt:variant>
        <vt:i4>0</vt:i4>
      </vt:variant>
      <vt:variant>
        <vt:i4>5</vt:i4>
      </vt:variant>
      <vt:variant>
        <vt:lpwstr/>
      </vt:variant>
      <vt:variant>
        <vt:lpwstr>_Toc164176626</vt:lpwstr>
      </vt:variant>
      <vt:variant>
        <vt:i4>1310772</vt:i4>
      </vt:variant>
      <vt:variant>
        <vt:i4>44</vt:i4>
      </vt:variant>
      <vt:variant>
        <vt:i4>0</vt:i4>
      </vt:variant>
      <vt:variant>
        <vt:i4>5</vt:i4>
      </vt:variant>
      <vt:variant>
        <vt:lpwstr/>
      </vt:variant>
      <vt:variant>
        <vt:lpwstr>_Toc164176625</vt:lpwstr>
      </vt:variant>
      <vt:variant>
        <vt:i4>1310772</vt:i4>
      </vt:variant>
      <vt:variant>
        <vt:i4>38</vt:i4>
      </vt:variant>
      <vt:variant>
        <vt:i4>0</vt:i4>
      </vt:variant>
      <vt:variant>
        <vt:i4>5</vt:i4>
      </vt:variant>
      <vt:variant>
        <vt:lpwstr/>
      </vt:variant>
      <vt:variant>
        <vt:lpwstr>_Toc164176624</vt:lpwstr>
      </vt:variant>
      <vt:variant>
        <vt:i4>1310772</vt:i4>
      </vt:variant>
      <vt:variant>
        <vt:i4>32</vt:i4>
      </vt:variant>
      <vt:variant>
        <vt:i4>0</vt:i4>
      </vt:variant>
      <vt:variant>
        <vt:i4>5</vt:i4>
      </vt:variant>
      <vt:variant>
        <vt:lpwstr/>
      </vt:variant>
      <vt:variant>
        <vt:lpwstr>_Toc164176623</vt:lpwstr>
      </vt:variant>
      <vt:variant>
        <vt:i4>1310772</vt:i4>
      </vt:variant>
      <vt:variant>
        <vt:i4>26</vt:i4>
      </vt:variant>
      <vt:variant>
        <vt:i4>0</vt:i4>
      </vt:variant>
      <vt:variant>
        <vt:i4>5</vt:i4>
      </vt:variant>
      <vt:variant>
        <vt:lpwstr/>
      </vt:variant>
      <vt:variant>
        <vt:lpwstr>_Toc164176622</vt:lpwstr>
      </vt:variant>
      <vt:variant>
        <vt:i4>1310772</vt:i4>
      </vt:variant>
      <vt:variant>
        <vt:i4>20</vt:i4>
      </vt:variant>
      <vt:variant>
        <vt:i4>0</vt:i4>
      </vt:variant>
      <vt:variant>
        <vt:i4>5</vt:i4>
      </vt:variant>
      <vt:variant>
        <vt:lpwstr/>
      </vt:variant>
      <vt:variant>
        <vt:lpwstr>_Toc164176621</vt:lpwstr>
      </vt:variant>
      <vt:variant>
        <vt:i4>1310772</vt:i4>
      </vt:variant>
      <vt:variant>
        <vt:i4>14</vt:i4>
      </vt:variant>
      <vt:variant>
        <vt:i4>0</vt:i4>
      </vt:variant>
      <vt:variant>
        <vt:i4>5</vt:i4>
      </vt:variant>
      <vt:variant>
        <vt:lpwstr/>
      </vt:variant>
      <vt:variant>
        <vt:lpwstr>_Toc164176620</vt:lpwstr>
      </vt:variant>
      <vt:variant>
        <vt:i4>1507380</vt:i4>
      </vt:variant>
      <vt:variant>
        <vt:i4>8</vt:i4>
      </vt:variant>
      <vt:variant>
        <vt:i4>0</vt:i4>
      </vt:variant>
      <vt:variant>
        <vt:i4>5</vt:i4>
      </vt:variant>
      <vt:variant>
        <vt:lpwstr/>
      </vt:variant>
      <vt:variant>
        <vt:lpwstr>_Toc164176619</vt:lpwstr>
      </vt:variant>
      <vt:variant>
        <vt:i4>1507380</vt:i4>
      </vt:variant>
      <vt:variant>
        <vt:i4>2</vt:i4>
      </vt:variant>
      <vt:variant>
        <vt:i4>0</vt:i4>
      </vt:variant>
      <vt:variant>
        <vt:i4>5</vt:i4>
      </vt:variant>
      <vt:variant>
        <vt:lpwstr/>
      </vt:variant>
      <vt:variant>
        <vt:lpwstr>_Toc164176618</vt:lpwstr>
      </vt:variant>
      <vt:variant>
        <vt:i4>7274575</vt:i4>
      </vt:variant>
      <vt:variant>
        <vt:i4>69</vt:i4>
      </vt:variant>
      <vt:variant>
        <vt:i4>0</vt:i4>
      </vt:variant>
      <vt:variant>
        <vt:i4>5</vt:i4>
      </vt:variant>
      <vt:variant>
        <vt:lpwstr>mailto:Jodi.Smith@igwc.gov.au</vt:lpwstr>
      </vt:variant>
      <vt:variant>
        <vt:lpwstr/>
      </vt:variant>
      <vt:variant>
        <vt:i4>7274575</vt:i4>
      </vt:variant>
      <vt:variant>
        <vt:i4>66</vt:i4>
      </vt:variant>
      <vt:variant>
        <vt:i4>0</vt:i4>
      </vt:variant>
      <vt:variant>
        <vt:i4>5</vt:i4>
      </vt:variant>
      <vt:variant>
        <vt:lpwstr>mailto:Jodi.Smith@igwc.gov.au</vt:lpwstr>
      </vt:variant>
      <vt:variant>
        <vt:lpwstr/>
      </vt:variant>
      <vt:variant>
        <vt:i4>7274575</vt:i4>
      </vt:variant>
      <vt:variant>
        <vt:i4>63</vt:i4>
      </vt:variant>
      <vt:variant>
        <vt:i4>0</vt:i4>
      </vt:variant>
      <vt:variant>
        <vt:i4>5</vt:i4>
      </vt:variant>
      <vt:variant>
        <vt:lpwstr>mailto:Jodi.Smith@igwc.gov.au</vt:lpwstr>
      </vt:variant>
      <vt:variant>
        <vt:lpwstr/>
      </vt:variant>
      <vt:variant>
        <vt:i4>7274575</vt:i4>
      </vt:variant>
      <vt:variant>
        <vt:i4>60</vt:i4>
      </vt:variant>
      <vt:variant>
        <vt:i4>0</vt:i4>
      </vt:variant>
      <vt:variant>
        <vt:i4>5</vt:i4>
      </vt:variant>
      <vt:variant>
        <vt:lpwstr>mailto:Jodi.Smith@igwc.gov.au</vt:lpwstr>
      </vt:variant>
      <vt:variant>
        <vt:lpwstr/>
      </vt:variant>
      <vt:variant>
        <vt:i4>2555913</vt:i4>
      </vt:variant>
      <vt:variant>
        <vt:i4>57</vt:i4>
      </vt:variant>
      <vt:variant>
        <vt:i4>0</vt:i4>
      </vt:variant>
      <vt:variant>
        <vt:i4>5</vt:i4>
      </vt:variant>
      <vt:variant>
        <vt:lpwstr>mailto:Tara.Schalk@igwc.gov.au</vt:lpwstr>
      </vt:variant>
      <vt:variant>
        <vt:lpwstr/>
      </vt:variant>
      <vt:variant>
        <vt:i4>7274575</vt:i4>
      </vt:variant>
      <vt:variant>
        <vt:i4>54</vt:i4>
      </vt:variant>
      <vt:variant>
        <vt:i4>0</vt:i4>
      </vt:variant>
      <vt:variant>
        <vt:i4>5</vt:i4>
      </vt:variant>
      <vt:variant>
        <vt:lpwstr>mailto:Jodi.Smith@igwc.gov.au</vt:lpwstr>
      </vt:variant>
      <vt:variant>
        <vt:lpwstr/>
      </vt:variant>
      <vt:variant>
        <vt:i4>2555913</vt:i4>
      </vt:variant>
      <vt:variant>
        <vt:i4>51</vt:i4>
      </vt:variant>
      <vt:variant>
        <vt:i4>0</vt:i4>
      </vt:variant>
      <vt:variant>
        <vt:i4>5</vt:i4>
      </vt:variant>
      <vt:variant>
        <vt:lpwstr>mailto:Tara.Schalk@igwc.gov.au</vt:lpwstr>
      </vt:variant>
      <vt:variant>
        <vt:lpwstr/>
      </vt:variant>
      <vt:variant>
        <vt:i4>7274575</vt:i4>
      </vt:variant>
      <vt:variant>
        <vt:i4>48</vt:i4>
      </vt:variant>
      <vt:variant>
        <vt:i4>0</vt:i4>
      </vt:variant>
      <vt:variant>
        <vt:i4>5</vt:i4>
      </vt:variant>
      <vt:variant>
        <vt:lpwstr>mailto:Jodi.Smith@igwc.gov.au</vt:lpwstr>
      </vt:variant>
      <vt:variant>
        <vt:lpwstr/>
      </vt:variant>
      <vt:variant>
        <vt:i4>2883604</vt:i4>
      </vt:variant>
      <vt:variant>
        <vt:i4>45</vt:i4>
      </vt:variant>
      <vt:variant>
        <vt:i4>0</vt:i4>
      </vt:variant>
      <vt:variant>
        <vt:i4>5</vt:i4>
      </vt:variant>
      <vt:variant>
        <vt:lpwstr>mailto:Brendan.Murphy@igwc.gov.au</vt:lpwstr>
      </vt:variant>
      <vt:variant>
        <vt:lpwstr/>
      </vt:variant>
      <vt:variant>
        <vt:i4>3997725</vt:i4>
      </vt:variant>
      <vt:variant>
        <vt:i4>42</vt:i4>
      </vt:variant>
      <vt:variant>
        <vt:i4>0</vt:i4>
      </vt:variant>
      <vt:variant>
        <vt:i4>5</vt:i4>
      </vt:variant>
      <vt:variant>
        <vt:lpwstr>mailto:Tariq.Rana@igwc.gov.au</vt:lpwstr>
      </vt:variant>
      <vt:variant>
        <vt:lpwstr/>
      </vt:variant>
      <vt:variant>
        <vt:i4>2555913</vt:i4>
      </vt:variant>
      <vt:variant>
        <vt:i4>39</vt:i4>
      </vt:variant>
      <vt:variant>
        <vt:i4>0</vt:i4>
      </vt:variant>
      <vt:variant>
        <vt:i4>5</vt:i4>
      </vt:variant>
      <vt:variant>
        <vt:lpwstr>mailto:Tara.Schalk@igwc.gov.au</vt:lpwstr>
      </vt:variant>
      <vt:variant>
        <vt:lpwstr/>
      </vt:variant>
      <vt:variant>
        <vt:i4>2883604</vt:i4>
      </vt:variant>
      <vt:variant>
        <vt:i4>36</vt:i4>
      </vt:variant>
      <vt:variant>
        <vt:i4>0</vt:i4>
      </vt:variant>
      <vt:variant>
        <vt:i4>5</vt:i4>
      </vt:variant>
      <vt:variant>
        <vt:lpwstr>mailto:Brendan.Murphy@igwc.gov.au</vt:lpwstr>
      </vt:variant>
      <vt:variant>
        <vt:lpwstr/>
      </vt:variant>
      <vt:variant>
        <vt:i4>3997725</vt:i4>
      </vt:variant>
      <vt:variant>
        <vt:i4>33</vt:i4>
      </vt:variant>
      <vt:variant>
        <vt:i4>0</vt:i4>
      </vt:variant>
      <vt:variant>
        <vt:i4>5</vt:i4>
      </vt:variant>
      <vt:variant>
        <vt:lpwstr>mailto:Tariq.Rana@igwc.gov.au</vt:lpwstr>
      </vt:variant>
      <vt:variant>
        <vt:lpwstr/>
      </vt:variant>
      <vt:variant>
        <vt:i4>2555913</vt:i4>
      </vt:variant>
      <vt:variant>
        <vt:i4>30</vt:i4>
      </vt:variant>
      <vt:variant>
        <vt:i4>0</vt:i4>
      </vt:variant>
      <vt:variant>
        <vt:i4>5</vt:i4>
      </vt:variant>
      <vt:variant>
        <vt:lpwstr>mailto:Tara.Schalk@igwc.gov.au</vt:lpwstr>
      </vt:variant>
      <vt:variant>
        <vt:lpwstr/>
      </vt:variant>
      <vt:variant>
        <vt:i4>7274575</vt:i4>
      </vt:variant>
      <vt:variant>
        <vt:i4>27</vt:i4>
      </vt:variant>
      <vt:variant>
        <vt:i4>0</vt:i4>
      </vt:variant>
      <vt:variant>
        <vt:i4>5</vt:i4>
      </vt:variant>
      <vt:variant>
        <vt:lpwstr>mailto:Jodi.Smith@igwc.gov.au</vt:lpwstr>
      </vt:variant>
      <vt:variant>
        <vt:lpwstr/>
      </vt:variant>
      <vt:variant>
        <vt:i4>7274575</vt:i4>
      </vt:variant>
      <vt:variant>
        <vt:i4>24</vt:i4>
      </vt:variant>
      <vt:variant>
        <vt:i4>0</vt:i4>
      </vt:variant>
      <vt:variant>
        <vt:i4>5</vt:i4>
      </vt:variant>
      <vt:variant>
        <vt:lpwstr>mailto:Jodi.Smith@igwc.gov.au</vt:lpwstr>
      </vt:variant>
      <vt:variant>
        <vt:lpwstr/>
      </vt:variant>
      <vt:variant>
        <vt:i4>2555913</vt:i4>
      </vt:variant>
      <vt:variant>
        <vt:i4>21</vt:i4>
      </vt:variant>
      <vt:variant>
        <vt:i4>0</vt:i4>
      </vt:variant>
      <vt:variant>
        <vt:i4>5</vt:i4>
      </vt:variant>
      <vt:variant>
        <vt:lpwstr>mailto:Tara.Schalk@igwc.gov.au</vt:lpwstr>
      </vt:variant>
      <vt:variant>
        <vt:lpwstr/>
      </vt:variant>
      <vt:variant>
        <vt:i4>7274575</vt:i4>
      </vt:variant>
      <vt:variant>
        <vt:i4>18</vt:i4>
      </vt:variant>
      <vt:variant>
        <vt:i4>0</vt:i4>
      </vt:variant>
      <vt:variant>
        <vt:i4>5</vt:i4>
      </vt:variant>
      <vt:variant>
        <vt:lpwstr>mailto:Jodi.Smith@igwc.gov.au</vt:lpwstr>
      </vt:variant>
      <vt:variant>
        <vt:lpwstr/>
      </vt:variant>
      <vt:variant>
        <vt:i4>5439590</vt:i4>
      </vt:variant>
      <vt:variant>
        <vt:i4>15</vt:i4>
      </vt:variant>
      <vt:variant>
        <vt:i4>0</vt:i4>
      </vt:variant>
      <vt:variant>
        <vt:i4>5</vt:i4>
      </vt:variant>
      <vt:variant>
        <vt:lpwstr>mailto:Edwina.Carter@igwc.gov.au</vt:lpwstr>
      </vt:variant>
      <vt:variant>
        <vt:lpwstr/>
      </vt:variant>
      <vt:variant>
        <vt:i4>7274575</vt:i4>
      </vt:variant>
      <vt:variant>
        <vt:i4>12</vt:i4>
      </vt:variant>
      <vt:variant>
        <vt:i4>0</vt:i4>
      </vt:variant>
      <vt:variant>
        <vt:i4>5</vt:i4>
      </vt:variant>
      <vt:variant>
        <vt:lpwstr>mailto:Jodi.Smith@igwc.gov.au</vt:lpwstr>
      </vt:variant>
      <vt:variant>
        <vt:lpwstr/>
      </vt:variant>
      <vt:variant>
        <vt:i4>2555913</vt:i4>
      </vt:variant>
      <vt:variant>
        <vt:i4>9</vt:i4>
      </vt:variant>
      <vt:variant>
        <vt:i4>0</vt:i4>
      </vt:variant>
      <vt:variant>
        <vt:i4>5</vt:i4>
      </vt:variant>
      <vt:variant>
        <vt:lpwstr>mailto:Tara.Schalk@igwc.gov.au</vt:lpwstr>
      </vt:variant>
      <vt:variant>
        <vt:lpwstr/>
      </vt:variant>
      <vt:variant>
        <vt:i4>5374052</vt:i4>
      </vt:variant>
      <vt:variant>
        <vt:i4>6</vt:i4>
      </vt:variant>
      <vt:variant>
        <vt:i4>0</vt:i4>
      </vt:variant>
      <vt:variant>
        <vt:i4>5</vt:i4>
      </vt:variant>
      <vt:variant>
        <vt:lpwstr>mailto:Sarah.Kuchel@igwc.gov.au</vt:lpwstr>
      </vt:variant>
      <vt:variant>
        <vt:lpwstr/>
      </vt:variant>
      <vt:variant>
        <vt:i4>7274575</vt:i4>
      </vt:variant>
      <vt:variant>
        <vt:i4>3</vt:i4>
      </vt:variant>
      <vt:variant>
        <vt:i4>0</vt:i4>
      </vt:variant>
      <vt:variant>
        <vt:i4>5</vt:i4>
      </vt:variant>
      <vt:variant>
        <vt:lpwstr>mailto:Jodi.Smith@igwc.gov.au</vt:lpwstr>
      </vt:variant>
      <vt:variant>
        <vt:lpwstr/>
      </vt:variant>
      <vt:variant>
        <vt:i4>5374052</vt:i4>
      </vt:variant>
      <vt:variant>
        <vt:i4>0</vt:i4>
      </vt:variant>
      <vt:variant>
        <vt:i4>0</vt:i4>
      </vt:variant>
      <vt:variant>
        <vt:i4>5</vt:i4>
      </vt:variant>
      <vt:variant>
        <vt:lpwstr>mailto:Sarah.Kuchel@igwc.gov.au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Report Submission: Productivity Commission National Water Reform Inquiry </dc:title>
  <dc:subject/>
  <dc:creator>Inspector-General of Water Compliance</dc:creator>
  <cp:keywords/>
  <dc:description/>
  <cp:revision>5</cp:revision>
  <cp:lastPrinted>2021-12-15T06:45:00Z</cp:lastPrinted>
  <dcterms:created xsi:type="dcterms:W3CDTF">2025-06-19T09:11:00Z</dcterms:created>
  <dcterms:modified xsi:type="dcterms:W3CDTF">2025-07-02T22:33:00Z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y fmtid="{D5CDD505-2E9C-101B-9397-08002B2CF9AE}" pid="4" name="ClassificationContentMarkingHeaderShapeIds">
    <vt:lpwstr>409468f9,10460a9e,62aebd71,230a938e,50d5f252,25a51443</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e48c543,70528041,74d014ab,2e476743,da7c30b,53476e44</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ies>
</file>