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08C0C" w14:textId="2C104A99" w:rsidR="00B311A1" w:rsidRPr="00B311A1" w:rsidRDefault="00B311A1" w:rsidP="00B311A1">
      <w:pPr>
        <w:pStyle w:val="Title"/>
        <w:rPr>
          <w:noProof/>
        </w:rPr>
      </w:pPr>
      <w:r>
        <w:rPr>
          <w:noProof/>
        </w:rPr>
        <w:t>Annual Work Plan</w:t>
      </w:r>
    </w:p>
    <w:p w14:paraId="6568BD23" w14:textId="1C0EAC1E" w:rsidR="00473F5B" w:rsidRDefault="00B311A1" w:rsidP="00E56ACF">
      <w:pPr>
        <w:pStyle w:val="Subtitle"/>
      </w:pPr>
      <w:r>
        <w:t>2025-26</w:t>
      </w:r>
    </w:p>
    <w:p w14:paraId="07FC3C62" w14:textId="1A99C961" w:rsidR="00473F5B" w:rsidRDefault="00473F5B">
      <w:pPr>
        <w:spacing w:after="0"/>
        <w:rPr>
          <w:b/>
          <w:color w:val="FFFFFF"/>
          <w:sz w:val="60"/>
          <w:szCs w:val="24"/>
        </w:rPr>
      </w:pPr>
      <w:r>
        <w:br w:type="page"/>
      </w:r>
    </w:p>
    <w:p w14:paraId="4044C11E" w14:textId="18832EE8" w:rsidR="00C118DE" w:rsidRPr="00452256" w:rsidRDefault="00C118DE" w:rsidP="00C118DE">
      <w:pPr>
        <w:rPr>
          <w:szCs w:val="20"/>
        </w:rPr>
      </w:pPr>
      <w:r w:rsidRPr="00452256">
        <w:rPr>
          <w:szCs w:val="20"/>
        </w:rPr>
        <w:lastRenderedPageBreak/>
        <w:t>© Commonwealth of Australia 202</w:t>
      </w:r>
      <w:r w:rsidR="00B311A1">
        <w:rPr>
          <w:szCs w:val="20"/>
        </w:rPr>
        <w:t>5</w:t>
      </w:r>
    </w:p>
    <w:p w14:paraId="28B179DA" w14:textId="77777777" w:rsidR="00C118DE" w:rsidRPr="00452256" w:rsidRDefault="00C118DE" w:rsidP="00C118DE">
      <w:pPr>
        <w:rPr>
          <w:rStyle w:val="Strong"/>
          <w:szCs w:val="20"/>
        </w:rPr>
      </w:pPr>
      <w:r w:rsidRPr="00452256">
        <w:rPr>
          <w:rStyle w:val="Strong"/>
          <w:szCs w:val="20"/>
        </w:rPr>
        <w:t>Ownership of intellectual property rights</w:t>
      </w:r>
    </w:p>
    <w:p w14:paraId="3B9C6235" w14:textId="77777777" w:rsidR="00C118DE" w:rsidRPr="00452256" w:rsidRDefault="00C118DE" w:rsidP="00C118DE">
      <w:pPr>
        <w:rPr>
          <w:szCs w:val="20"/>
        </w:rPr>
      </w:pPr>
      <w:r w:rsidRPr="00452256">
        <w:rPr>
          <w:szCs w:val="20"/>
        </w:rPr>
        <w:t>Unless otherwise noted, copyright (and any other intellectual property rights) in this publication is owned by the Commonwealth of Australia (referred to as the Commonwealth).</w:t>
      </w:r>
    </w:p>
    <w:p w14:paraId="79706610" w14:textId="77777777" w:rsidR="00C118DE" w:rsidRPr="00452256" w:rsidRDefault="00C118DE" w:rsidP="00C118DE">
      <w:pPr>
        <w:rPr>
          <w:rStyle w:val="Strong"/>
          <w:szCs w:val="20"/>
        </w:rPr>
      </w:pPr>
      <w:r w:rsidRPr="00452256">
        <w:rPr>
          <w:rStyle w:val="Strong"/>
          <w:szCs w:val="20"/>
        </w:rPr>
        <w:t xml:space="preserve">Creative Commons licence </w:t>
      </w:r>
    </w:p>
    <w:p w14:paraId="680879B5" w14:textId="77777777" w:rsidR="00C118DE" w:rsidRPr="00452256" w:rsidRDefault="00C118DE" w:rsidP="00C118DE">
      <w:pPr>
        <w:rPr>
          <w:szCs w:val="20"/>
        </w:rPr>
      </w:pPr>
      <w:r w:rsidRPr="00452256">
        <w:rPr>
          <w:szCs w:val="20"/>
        </w:rPr>
        <w:t xml:space="preserve">All material in this publication is licensed under a Creative Commons Attribution 4.0 International Licence, except for content supplied by third parties, logos and the Commonwealth Coat of Arms. </w:t>
      </w:r>
    </w:p>
    <w:p w14:paraId="2832055F" w14:textId="77777777" w:rsidR="00C118DE" w:rsidRPr="00452256" w:rsidRDefault="00C118DE" w:rsidP="00C118DE">
      <w:pPr>
        <w:rPr>
          <w:szCs w:val="20"/>
        </w:rPr>
      </w:pPr>
      <w:r w:rsidRPr="00452256">
        <w:rPr>
          <w:szCs w:val="20"/>
        </w:rPr>
        <w:t xml:space="preserve">Inquiries about the licence and any use of this document should be emailed to </w:t>
      </w:r>
      <w:hyperlink r:id="rId11" w:history="1">
        <w:r w:rsidRPr="00452256">
          <w:rPr>
            <w:rStyle w:val="Hyperlink"/>
            <w:szCs w:val="20"/>
          </w:rPr>
          <w:t>copyright@dcceew.gov.au</w:t>
        </w:r>
      </w:hyperlink>
      <w:r w:rsidRPr="00452256">
        <w:rPr>
          <w:szCs w:val="20"/>
        </w:rPr>
        <w:t>.</w:t>
      </w:r>
    </w:p>
    <w:p w14:paraId="2204E794" w14:textId="77777777" w:rsidR="00C118DE" w:rsidRPr="00452256" w:rsidRDefault="00C118DE" w:rsidP="00C118DE">
      <w:pPr>
        <w:rPr>
          <w:szCs w:val="20"/>
        </w:rPr>
      </w:pPr>
      <w:r w:rsidRPr="00452256">
        <w:rPr>
          <w:noProof/>
          <w:szCs w:val="20"/>
          <w:lang w:eastAsia="en-AU"/>
        </w:rPr>
        <w:drawing>
          <wp:inline distT="0" distB="0" distL="0" distR="0" wp14:anchorId="05DB0953" wp14:editId="3F0175E4">
            <wp:extent cx="724535" cy="255270"/>
            <wp:effectExtent l="0" t="0" r="0" b="0"/>
            <wp:docPr id="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134D8FB" w14:textId="77777777" w:rsidR="00C118DE" w:rsidRPr="00452256" w:rsidRDefault="00C118DE" w:rsidP="00C118DE">
      <w:pPr>
        <w:rPr>
          <w:rStyle w:val="Strong"/>
          <w:szCs w:val="20"/>
        </w:rPr>
      </w:pPr>
      <w:r w:rsidRPr="00452256">
        <w:rPr>
          <w:rStyle w:val="Strong"/>
          <w:szCs w:val="20"/>
        </w:rPr>
        <w:t>Cataloguing data</w:t>
      </w:r>
    </w:p>
    <w:p w14:paraId="5374E236" w14:textId="2C7C747E" w:rsidR="00C118DE" w:rsidRPr="00452256" w:rsidRDefault="00C118DE" w:rsidP="00C118DE">
      <w:pPr>
        <w:rPr>
          <w:szCs w:val="20"/>
        </w:rPr>
      </w:pPr>
      <w:r w:rsidRPr="00452256">
        <w:rPr>
          <w:szCs w:val="20"/>
        </w:rPr>
        <w:t>This publication (and any material sourced from it) should be attributed as: Inspector</w:t>
      </w:r>
      <w:r w:rsidR="00451178">
        <w:rPr>
          <w:szCs w:val="20"/>
        </w:rPr>
        <w:t>–</w:t>
      </w:r>
      <w:r w:rsidRPr="00452256">
        <w:rPr>
          <w:szCs w:val="20"/>
        </w:rPr>
        <w:t>General of Water Compliance 202</w:t>
      </w:r>
      <w:r w:rsidR="00AB1971">
        <w:rPr>
          <w:szCs w:val="20"/>
        </w:rPr>
        <w:t>5</w:t>
      </w:r>
      <w:r w:rsidRPr="00452256">
        <w:rPr>
          <w:szCs w:val="20"/>
        </w:rPr>
        <w:t>,</w:t>
      </w:r>
      <w:r w:rsidR="00BA1CA9">
        <w:rPr>
          <w:szCs w:val="20"/>
        </w:rPr>
        <w:t xml:space="preserve"> Inspector</w:t>
      </w:r>
      <w:r w:rsidR="00451178">
        <w:rPr>
          <w:szCs w:val="20"/>
        </w:rPr>
        <w:t>–General of Water Compliance,</w:t>
      </w:r>
      <w:r w:rsidRPr="00452256">
        <w:rPr>
          <w:szCs w:val="20"/>
        </w:rPr>
        <w:t xml:space="preserve"> </w:t>
      </w:r>
      <w:r w:rsidR="00CB2FC2" w:rsidRPr="00451178">
        <w:rPr>
          <w:rStyle w:val="Emphasis"/>
          <w:i w:val="0"/>
          <w:iCs w:val="0"/>
          <w:szCs w:val="20"/>
        </w:rPr>
        <w:t>Annual Work Plan 2025-26</w:t>
      </w:r>
      <w:r w:rsidRPr="00451178">
        <w:rPr>
          <w:i/>
          <w:iCs/>
          <w:szCs w:val="20"/>
        </w:rPr>
        <w:t xml:space="preserve">, </w:t>
      </w:r>
      <w:r w:rsidRPr="00452256">
        <w:rPr>
          <w:szCs w:val="20"/>
        </w:rPr>
        <w:t>the Australian Government, Canberra, August 202</w:t>
      </w:r>
      <w:r w:rsidR="00CB2FC2">
        <w:rPr>
          <w:szCs w:val="20"/>
        </w:rPr>
        <w:t>5</w:t>
      </w:r>
      <w:r w:rsidRPr="00452256">
        <w:rPr>
          <w:szCs w:val="20"/>
        </w:rPr>
        <w:t>. CC BY 4.0.</w:t>
      </w:r>
    </w:p>
    <w:p w14:paraId="461700F7" w14:textId="6DF8E466" w:rsidR="00C118DE" w:rsidRPr="00452256" w:rsidRDefault="00C118DE" w:rsidP="00C118DE">
      <w:pPr>
        <w:rPr>
          <w:rStyle w:val="Hyperlink"/>
          <w:szCs w:val="20"/>
        </w:rPr>
      </w:pPr>
      <w:r w:rsidRPr="00452256">
        <w:rPr>
          <w:szCs w:val="20"/>
        </w:rPr>
        <w:t xml:space="preserve">This publication is available at </w:t>
      </w:r>
      <w:hyperlink r:id="rId13" w:history="1">
        <w:r w:rsidR="005370F4" w:rsidRPr="005370F4">
          <w:rPr>
            <w:rStyle w:val="Hyperlink"/>
            <w:szCs w:val="20"/>
          </w:rPr>
          <w:t>https://www.igwc.gov.au</w:t>
        </w:r>
        <w:r w:rsidR="005370F4" w:rsidRPr="005370F4">
          <w:rPr>
            <w:rStyle w:val="Hyperlink"/>
          </w:rPr>
          <w:t>/</w:t>
        </w:r>
        <w:r w:rsidR="005370F4" w:rsidRPr="00BA2CFC">
          <w:rPr>
            <w:rStyle w:val="Hyperlink"/>
          </w:rPr>
          <w:t>what-we-do/reviews-and-reports</w:t>
        </w:r>
      </w:hyperlink>
      <w:r w:rsidR="005370F4">
        <w:t xml:space="preserve"> </w:t>
      </w:r>
    </w:p>
    <w:p w14:paraId="7B8CEB47" w14:textId="77777777" w:rsidR="00C118DE" w:rsidRPr="00452256" w:rsidRDefault="00C118DE" w:rsidP="00C118DE">
      <w:pPr>
        <w:rPr>
          <w:szCs w:val="20"/>
        </w:rPr>
      </w:pPr>
      <w:r w:rsidRPr="00452256">
        <w:rPr>
          <w:szCs w:val="20"/>
        </w:rPr>
        <w:t>Inspector-General of Water Compliance</w:t>
      </w:r>
      <w:r w:rsidRPr="00452256">
        <w:rPr>
          <w:szCs w:val="20"/>
        </w:rPr>
        <w:br/>
        <w:t>GPO Box 3090 Canberra ACT 2601</w:t>
      </w:r>
    </w:p>
    <w:p w14:paraId="682B040B" w14:textId="77777777" w:rsidR="00C118DE" w:rsidRPr="00452256" w:rsidRDefault="00C118DE" w:rsidP="00C118DE">
      <w:pPr>
        <w:rPr>
          <w:rStyle w:val="Strong"/>
          <w:szCs w:val="20"/>
        </w:rPr>
      </w:pPr>
      <w:r w:rsidRPr="00452256">
        <w:rPr>
          <w:rStyle w:val="Strong"/>
          <w:szCs w:val="20"/>
        </w:rPr>
        <w:t>Disclaimer</w:t>
      </w:r>
    </w:p>
    <w:p w14:paraId="55470092" w14:textId="14F9B653" w:rsidR="00C118DE" w:rsidRPr="00452256" w:rsidRDefault="00C118DE" w:rsidP="00C118DE">
      <w:pPr>
        <w:rPr>
          <w:szCs w:val="20"/>
        </w:rPr>
      </w:pPr>
      <w:r w:rsidRPr="00452256">
        <w:rPr>
          <w:szCs w:val="20"/>
        </w:rPr>
        <w:t>The Australian Government represented by the Inspector</w:t>
      </w:r>
      <w:r w:rsidR="004F20F9">
        <w:rPr>
          <w:szCs w:val="20"/>
        </w:rPr>
        <w:t>–</w:t>
      </w:r>
      <w:r w:rsidRPr="00452256">
        <w:rPr>
          <w:szCs w:val="20"/>
        </w:rPr>
        <w:t>General of Water Compliance, has exercised due care and skill in preparing and compiling the information and data in this publication. Notwithstanding, the</w:t>
      </w:r>
      <w:r w:rsidR="004F20F9">
        <w:rPr>
          <w:szCs w:val="20"/>
        </w:rPr>
        <w:t xml:space="preserve"> </w:t>
      </w:r>
      <w:r w:rsidRPr="00452256">
        <w:rPr>
          <w:szCs w:val="20"/>
        </w:rPr>
        <w:t>Inspector</w:t>
      </w:r>
      <w:r w:rsidR="004F20F9">
        <w:rPr>
          <w:szCs w:val="20"/>
        </w:rPr>
        <w:t>–</w:t>
      </w:r>
      <w:r w:rsidRPr="00452256">
        <w:rPr>
          <w:szCs w:val="20"/>
        </w:rPr>
        <w:t>General of Water Compliance, the Australian Government’s employees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FEDD46E" w14:textId="77777777" w:rsidR="00C118DE" w:rsidRPr="00452256" w:rsidRDefault="00C118DE" w:rsidP="00C118DE">
      <w:pPr>
        <w:rPr>
          <w:rStyle w:val="Strong"/>
          <w:szCs w:val="20"/>
        </w:rPr>
      </w:pPr>
      <w:r w:rsidRPr="00452256">
        <w:rPr>
          <w:rStyle w:val="Strong"/>
          <w:szCs w:val="20"/>
        </w:rPr>
        <w:t>Acknowledgement of the Traditional Owners of the Murray–Darling Basin</w:t>
      </w:r>
    </w:p>
    <w:p w14:paraId="45B7AE50" w14:textId="77777777" w:rsidR="00537A12" w:rsidRPr="00537A12" w:rsidRDefault="00537A12" w:rsidP="00537A12">
      <w:pPr>
        <w:rPr>
          <w:szCs w:val="20"/>
        </w:rPr>
      </w:pPr>
      <w:r w:rsidRPr="00537A12">
        <w:t>We pay our respects to the Traditional Owners and their Nations of the Murray-Darling Basin. We acknowledge their deep cultural, social, environmental, spiritual and economic connection to their lands and waters.</w:t>
      </w:r>
    </w:p>
    <w:p w14:paraId="4EC63EA8" w14:textId="77777777" w:rsidR="00537A12" w:rsidRPr="00537A12" w:rsidRDefault="00537A12" w:rsidP="00537A12">
      <w:r w:rsidRPr="00537A12">
        <w:t xml:space="preserve">Aboriginal people should be aware that this publication may contain images, names or quotations of deceased persons. </w:t>
      </w:r>
    </w:p>
    <w:p w14:paraId="10795F39" w14:textId="77777777" w:rsidR="00C118DE" w:rsidRPr="00452256" w:rsidRDefault="00C118DE" w:rsidP="00C118DE">
      <w:pPr>
        <w:rPr>
          <w:rStyle w:val="Strong"/>
          <w:szCs w:val="20"/>
        </w:rPr>
      </w:pPr>
      <w:r w:rsidRPr="00452256">
        <w:rPr>
          <w:rStyle w:val="Strong"/>
          <w:szCs w:val="20"/>
        </w:rPr>
        <w:t>Accessibility</w:t>
      </w:r>
    </w:p>
    <w:p w14:paraId="1B46CAB4" w14:textId="6E89D490" w:rsidR="00C118DE" w:rsidRDefault="00C118DE" w:rsidP="00C118DE">
      <w:pPr>
        <w:rPr>
          <w:szCs w:val="20"/>
        </w:rPr>
      </w:pPr>
      <w:r w:rsidRPr="00452256">
        <w:rPr>
          <w:szCs w:val="20"/>
        </w:rPr>
        <w:t>The document and information is available in accessible formats. On some occasions the highly technical nature of the document means that we cannot make some sections fully accessible. If you encounter accessibility problems or the document is in a format that you cannot access, please contact us</w:t>
      </w:r>
      <w:r w:rsidR="002E7966">
        <w:rPr>
          <w:szCs w:val="20"/>
        </w:rPr>
        <w:t xml:space="preserve"> at </w:t>
      </w:r>
      <w:hyperlink r:id="rId14" w:history="1">
        <w:r w:rsidR="002E7966" w:rsidRPr="00574A02">
          <w:rPr>
            <w:rStyle w:val="Hyperlink"/>
            <w:szCs w:val="20"/>
          </w:rPr>
          <w:t>contact@igwc.gov.au</w:t>
        </w:r>
      </w:hyperlink>
      <w:r w:rsidR="002E7966">
        <w:rPr>
          <w:szCs w:val="20"/>
        </w:rPr>
        <w:t xml:space="preserve">. </w:t>
      </w:r>
    </w:p>
    <w:p w14:paraId="3481D538" w14:textId="01C53F82" w:rsidR="00473F5B" w:rsidRDefault="00473F5B" w:rsidP="006318A8">
      <w:r>
        <w:br w:type="page"/>
      </w:r>
    </w:p>
    <w:p w14:paraId="456BF396" w14:textId="75F32261" w:rsidR="00CA62BF" w:rsidRDefault="00473F5B" w:rsidP="00473F5B">
      <w:pPr>
        <w:pStyle w:val="Heading1"/>
      </w:pPr>
      <w:bookmarkStart w:id="0" w:name="_Toc105771027"/>
      <w:r>
        <w:lastRenderedPageBreak/>
        <w:t>Foreword</w:t>
      </w:r>
      <w:bookmarkEnd w:id="0"/>
      <w:r w:rsidR="00744F0C">
        <w:t xml:space="preserve"> by the Inspector–General</w:t>
      </w:r>
    </w:p>
    <w:p w14:paraId="3E9CD84B" w14:textId="4AA00D18" w:rsidR="00DE4CBB" w:rsidRDefault="003B005B" w:rsidP="009251B9">
      <w:pPr>
        <w:rPr>
          <w:noProof/>
          <w:lang w:val="en-US"/>
        </w:rPr>
      </w:pPr>
      <w:r>
        <w:rPr>
          <w:noProof/>
          <w:highlight w:val="yellow"/>
          <w:lang w:val="en-US"/>
        </w:rPr>
        <w:drawing>
          <wp:inline distT="0" distB="0" distL="0" distR="0" wp14:anchorId="683DDE69" wp14:editId="6D5F7BA3">
            <wp:extent cx="6113780" cy="3200400"/>
            <wp:effectExtent l="0" t="0" r="1270" b="0"/>
            <wp:docPr id="1110135286" name="Picture 1" descr="Photograph of Troy Grant, Inspector-General of Water Compliance, sitting in front of an irrigation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135286" name="Picture 1" descr="Photograph of Troy Grant, Inspector-General of Water Compliance, sitting in front of an irrigation chann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3780" cy="3200400"/>
                    </a:xfrm>
                    <a:prstGeom prst="rect">
                      <a:avLst/>
                    </a:prstGeom>
                    <a:noFill/>
                    <a:ln>
                      <a:noFill/>
                    </a:ln>
                  </pic:spPr>
                </pic:pic>
              </a:graphicData>
            </a:graphic>
          </wp:inline>
        </w:drawing>
      </w:r>
    </w:p>
    <w:p w14:paraId="22B59238" w14:textId="77777777" w:rsidR="00DE4CBB" w:rsidRDefault="00DE4CBB" w:rsidP="009251B9">
      <w:pPr>
        <w:rPr>
          <w:noProof/>
          <w:lang w:val="en-US"/>
        </w:rPr>
      </w:pPr>
    </w:p>
    <w:p w14:paraId="3777EBB8" w14:textId="22228E30" w:rsidR="009251B9" w:rsidRPr="009F1F8D" w:rsidRDefault="009251B9" w:rsidP="009251B9">
      <w:pPr>
        <w:rPr>
          <w:noProof/>
          <w:lang w:val="en-US"/>
        </w:rPr>
      </w:pPr>
      <w:r w:rsidRPr="009F1F8D">
        <w:rPr>
          <w:noProof/>
          <w:lang w:val="en-US"/>
        </w:rPr>
        <w:t xml:space="preserve">I’m delighted, and very proud, to present the 2025-26 Annual Work Plan for the </w:t>
      </w:r>
      <w:r>
        <w:rPr>
          <w:noProof/>
          <w:lang w:val="en-US"/>
        </w:rPr>
        <w:t>Inspector–General</w:t>
      </w:r>
      <w:r w:rsidRPr="009F1F8D">
        <w:rPr>
          <w:noProof/>
          <w:lang w:val="en-US"/>
        </w:rPr>
        <w:t xml:space="preserve"> of Water Compliance. Delighted, because it again shows year-on-year growth in the capability, scope, reach and influence of our work and the office supporting me – boosted by a significant investment in the Inspector</w:t>
      </w:r>
      <w:r>
        <w:rPr>
          <w:noProof/>
          <w:lang w:val="en-US"/>
        </w:rPr>
        <w:t>–</w:t>
      </w:r>
      <w:r w:rsidRPr="009F1F8D">
        <w:rPr>
          <w:noProof/>
          <w:lang w:val="en-US"/>
        </w:rPr>
        <w:t>General of Water Compliance by the Australian Government in the 2024-2</w:t>
      </w:r>
      <w:r>
        <w:rPr>
          <w:noProof/>
          <w:lang w:val="en-US"/>
        </w:rPr>
        <w:t>5</w:t>
      </w:r>
      <w:r w:rsidRPr="009F1F8D">
        <w:rPr>
          <w:noProof/>
          <w:lang w:val="en-US"/>
        </w:rPr>
        <w:t xml:space="preserve"> Budget. Proud, because I’m delivering this work</w:t>
      </w:r>
      <w:r>
        <w:rPr>
          <w:noProof/>
          <w:lang w:val="en-US"/>
        </w:rPr>
        <w:t xml:space="preserve"> </w:t>
      </w:r>
      <w:r w:rsidRPr="009F1F8D">
        <w:rPr>
          <w:noProof/>
          <w:lang w:val="en-US"/>
        </w:rPr>
        <w:t xml:space="preserve">plan at the start of my second tenure (two terms being the maximum allowed) serving as the </w:t>
      </w:r>
      <w:r>
        <w:rPr>
          <w:noProof/>
          <w:lang w:val="en-US"/>
        </w:rPr>
        <w:t>Inspector–General</w:t>
      </w:r>
      <w:r w:rsidRPr="009F1F8D">
        <w:rPr>
          <w:noProof/>
          <w:lang w:val="en-US"/>
        </w:rPr>
        <w:t xml:space="preserve"> of Water Compliance having been reappointed in March 2025 until 4 August 2029. I am immensely honoured to again serve the Australian public in the role, and immensely proud to lead a highly skilled, capable, and committed team of professionals in the office supporting me.</w:t>
      </w:r>
    </w:p>
    <w:p w14:paraId="0E9AB176" w14:textId="77777777" w:rsidR="009251B9" w:rsidRPr="009F1F8D" w:rsidRDefault="009251B9" w:rsidP="009251B9">
      <w:pPr>
        <w:rPr>
          <w:noProof/>
          <w:lang w:val="en-US"/>
        </w:rPr>
      </w:pPr>
      <w:r w:rsidRPr="009F1F8D">
        <w:rPr>
          <w:noProof/>
          <w:lang w:val="en-US"/>
        </w:rPr>
        <w:t>This work</w:t>
      </w:r>
      <w:r>
        <w:rPr>
          <w:noProof/>
          <w:lang w:val="en-US"/>
        </w:rPr>
        <w:t xml:space="preserve"> </w:t>
      </w:r>
      <w:r w:rsidRPr="009F1F8D">
        <w:rPr>
          <w:noProof/>
          <w:lang w:val="en-US"/>
        </w:rPr>
        <w:t>plan is being released against the backdrop of two stark contrasts across the Murray-Darling Basin (Basin). Record flooding in April 2025 across the far North West of the Basin, and the onset of drought in its South West, affecting large parts of Victoria and South Australia. Those dry conditions are forecast to be less than favourable during the initial period of this 2025-26 work plan, influenced by unpredictable dry weather patterns affecting large parts of the nation overall.</w:t>
      </w:r>
    </w:p>
    <w:p w14:paraId="5F96B782" w14:textId="77777777" w:rsidR="009251B9" w:rsidRPr="009F1F8D" w:rsidRDefault="009251B9" w:rsidP="009251B9">
      <w:pPr>
        <w:rPr>
          <w:noProof/>
          <w:lang w:val="en-US"/>
        </w:rPr>
      </w:pPr>
      <w:r w:rsidRPr="009F1F8D">
        <w:rPr>
          <w:noProof/>
          <w:lang w:val="en-US"/>
        </w:rPr>
        <w:t>This work plan is also being delivered during some critically important junctures for non-urban metering across the Basin. This includes the June 2025 deadline for AS4747 meter compliance within the Murray-Darling Compliance Compact.</w:t>
      </w:r>
    </w:p>
    <w:p w14:paraId="340AE68C" w14:textId="77777777" w:rsidR="009251B9" w:rsidRPr="009F1F8D" w:rsidRDefault="009251B9" w:rsidP="009251B9">
      <w:pPr>
        <w:rPr>
          <w:noProof/>
          <w:lang w:val="en-US"/>
        </w:rPr>
      </w:pPr>
      <w:r>
        <w:rPr>
          <w:noProof/>
          <w:lang w:val="en-US"/>
        </w:rPr>
        <w:t>Water t</w:t>
      </w:r>
      <w:r w:rsidRPr="009F1F8D">
        <w:rPr>
          <w:noProof/>
          <w:lang w:val="en-US"/>
        </w:rPr>
        <w:t xml:space="preserve">ake, and the accurate and consistent measurement and reporting across different forms of take, is never more critical (and top-of-mind across communities) than in times of drought. As conditions worsen and water becomes scarcer, those communities in direct threat inevitably ask, “where did all the water go?”  </w:t>
      </w:r>
    </w:p>
    <w:p w14:paraId="213B470D" w14:textId="77777777" w:rsidR="009251B9" w:rsidRPr="009F1F8D" w:rsidRDefault="009251B9" w:rsidP="009251B9">
      <w:pPr>
        <w:rPr>
          <w:noProof/>
          <w:lang w:val="en-US"/>
        </w:rPr>
      </w:pPr>
      <w:r w:rsidRPr="009F1F8D">
        <w:rPr>
          <w:noProof/>
          <w:lang w:val="en-US"/>
        </w:rPr>
        <w:t xml:space="preserve">The availability of water is a fundamental challenge to life and prosperity not only across the Basin, it also affects the nation – exacerbating community and environmental stressors amid </w:t>
      </w:r>
      <w:r w:rsidRPr="009F1F8D">
        <w:rPr>
          <w:noProof/>
          <w:lang w:val="en-US"/>
        </w:rPr>
        <w:lastRenderedPageBreak/>
        <w:t xml:space="preserve">drought. Managing water resources, and the public interest in them, becomes acute during drought. The integrity of measurement of take and accurate water accounting comes into question more so in prolonged dry periods - driving the need for high levels of accountability across the Basin. </w:t>
      </w:r>
    </w:p>
    <w:p w14:paraId="7A218E6B" w14:textId="77777777" w:rsidR="009251B9" w:rsidRPr="009F1F8D" w:rsidRDefault="009251B9" w:rsidP="009251B9">
      <w:pPr>
        <w:rPr>
          <w:noProof/>
          <w:lang w:val="en-US"/>
        </w:rPr>
      </w:pPr>
      <w:r w:rsidRPr="009F1F8D">
        <w:rPr>
          <w:noProof/>
          <w:lang w:val="en-US"/>
        </w:rPr>
        <w:t xml:space="preserve">Drought intensifies the already complex and detailed work of water operators and regulators as their work becomes critical in maintaining the trust and confidence of community and governments. The need to oversee the regulators to ensure transparent and firm compliance with allocation comes into sharper focus in order to maintain community confidence during drought. Community expectation is heightened that those who do the wrong thing are held to account by the relevant regulators to ensure deterrence for offenders and fairness to those that remain compliant. </w:t>
      </w:r>
    </w:p>
    <w:p w14:paraId="746190C2" w14:textId="77777777" w:rsidR="009251B9" w:rsidRPr="009F1F8D" w:rsidRDefault="009251B9" w:rsidP="009251B9">
      <w:pPr>
        <w:rPr>
          <w:noProof/>
          <w:lang w:val="en-US"/>
        </w:rPr>
      </w:pPr>
      <w:r w:rsidRPr="009F1F8D">
        <w:rPr>
          <w:noProof/>
          <w:lang w:val="en-US"/>
        </w:rPr>
        <w:t xml:space="preserve">It should not take drought to intensify the focus of transparency and accountability to ensure trust and confidence in how water is being managed. Our work and focus aren’t seasonal, nor is it driven by current affairs and headlines. It is driven by an expectation and commitment that the work of the </w:t>
      </w:r>
      <w:r>
        <w:rPr>
          <w:noProof/>
          <w:lang w:val="en-US"/>
        </w:rPr>
        <w:t>Inspector–General</w:t>
      </w:r>
      <w:r w:rsidRPr="009F1F8D">
        <w:rPr>
          <w:noProof/>
          <w:lang w:val="en-US"/>
        </w:rPr>
        <w:t xml:space="preserve"> of Water Compliance:</w:t>
      </w:r>
    </w:p>
    <w:p w14:paraId="5DFB6646" w14:textId="77777777" w:rsidR="009251B9" w:rsidRPr="009F1F8D" w:rsidRDefault="009251B9" w:rsidP="009251B9">
      <w:pPr>
        <w:pStyle w:val="ListBullet"/>
        <w:rPr>
          <w:noProof/>
          <w:lang w:val="en-US"/>
        </w:rPr>
      </w:pPr>
      <w:r w:rsidRPr="009F1F8D">
        <w:rPr>
          <w:noProof/>
          <w:lang w:val="en-US"/>
        </w:rPr>
        <w:t>Ensure it’s lawful.</w:t>
      </w:r>
    </w:p>
    <w:p w14:paraId="108F78C1" w14:textId="77777777" w:rsidR="009251B9" w:rsidRPr="009F1F8D" w:rsidRDefault="009251B9" w:rsidP="009251B9">
      <w:pPr>
        <w:pStyle w:val="ListBullet"/>
        <w:rPr>
          <w:noProof/>
          <w:lang w:val="en-US"/>
        </w:rPr>
      </w:pPr>
      <w:r w:rsidRPr="009F1F8D">
        <w:rPr>
          <w:noProof/>
          <w:lang w:val="en-US"/>
        </w:rPr>
        <w:t>Ensure it’s visible.</w:t>
      </w:r>
    </w:p>
    <w:p w14:paraId="6B18381C" w14:textId="77777777" w:rsidR="009251B9" w:rsidRPr="009F1F8D" w:rsidRDefault="009251B9" w:rsidP="009251B9">
      <w:pPr>
        <w:pStyle w:val="ListBullet"/>
        <w:rPr>
          <w:noProof/>
          <w:lang w:val="en-US"/>
        </w:rPr>
      </w:pPr>
      <w:r w:rsidRPr="009F1F8D">
        <w:rPr>
          <w:noProof/>
          <w:lang w:val="en-US"/>
        </w:rPr>
        <w:t>Do it better.</w:t>
      </w:r>
    </w:p>
    <w:p w14:paraId="1B2D8CA0" w14:textId="77777777" w:rsidR="009251B9" w:rsidRPr="009F1F8D" w:rsidRDefault="009251B9" w:rsidP="009251B9">
      <w:pPr>
        <w:pStyle w:val="ListBullet"/>
        <w:rPr>
          <w:noProof/>
          <w:lang w:val="en-US"/>
        </w:rPr>
      </w:pPr>
      <w:r w:rsidRPr="009F1F8D">
        <w:rPr>
          <w:noProof/>
          <w:lang w:val="en-US"/>
        </w:rPr>
        <w:t>Make it better.</w:t>
      </w:r>
    </w:p>
    <w:p w14:paraId="3D7892BE" w14:textId="77777777" w:rsidR="009251B9" w:rsidRPr="009F1F8D" w:rsidRDefault="009251B9" w:rsidP="009251B9">
      <w:pPr>
        <w:rPr>
          <w:noProof/>
          <w:lang w:val="en-US"/>
        </w:rPr>
      </w:pPr>
      <w:r w:rsidRPr="009F1F8D">
        <w:rPr>
          <w:noProof/>
          <w:lang w:val="en-US"/>
        </w:rPr>
        <w:t xml:space="preserve">Among our outcomes and work from the previous financial year, we’ve continued to plan for and deliver increased, improved and effective capacity and capability for the </w:t>
      </w:r>
      <w:r>
        <w:rPr>
          <w:noProof/>
          <w:lang w:val="en-US"/>
        </w:rPr>
        <w:t>Inspector–General</w:t>
      </w:r>
      <w:r w:rsidRPr="009F1F8D">
        <w:rPr>
          <w:noProof/>
          <w:lang w:val="en-US"/>
        </w:rPr>
        <w:t xml:space="preserve"> of Water Compliance by the end of my first tenure. This has allowed me to better prepare to exercise the full suite of tools and powers afforded to the role of the </w:t>
      </w:r>
      <w:r>
        <w:rPr>
          <w:noProof/>
          <w:lang w:val="en-US"/>
        </w:rPr>
        <w:t>Inspector–General</w:t>
      </w:r>
      <w:r w:rsidRPr="009F1F8D">
        <w:rPr>
          <w:noProof/>
          <w:lang w:val="en-US"/>
        </w:rPr>
        <w:t xml:space="preserve">, including inquiry, audit, enforcement, and investigation. This will ensure we meet </w:t>
      </w:r>
      <w:r>
        <w:rPr>
          <w:noProof/>
          <w:lang w:val="en-US"/>
        </w:rPr>
        <w:t xml:space="preserve">the </w:t>
      </w:r>
      <w:r w:rsidRPr="009F1F8D">
        <w:rPr>
          <w:noProof/>
          <w:lang w:val="en-US"/>
        </w:rPr>
        <w:t xml:space="preserve">2025-26 annual work plan and will assist us in supporting the successful delivery of a Basin Plan.  </w:t>
      </w:r>
    </w:p>
    <w:p w14:paraId="4F776981" w14:textId="77777777" w:rsidR="00473F5B" w:rsidRDefault="00473F5B" w:rsidP="00473F5B"/>
    <w:p w14:paraId="20208EB3" w14:textId="73E31528" w:rsidR="00DE4CBB" w:rsidRPr="009F1F8D" w:rsidRDefault="0058014E" w:rsidP="00DE4CBB">
      <w:pPr>
        <w:rPr>
          <w:noProof/>
        </w:rPr>
      </w:pPr>
      <w:r>
        <w:rPr>
          <w:noProof/>
        </w:rPr>
        <w:drawing>
          <wp:inline distT="0" distB="0" distL="0" distR="0" wp14:anchorId="4980034F" wp14:editId="2907E994">
            <wp:extent cx="1314450" cy="923668"/>
            <wp:effectExtent l="0" t="0" r="0" b="0"/>
            <wp:docPr id="133616413" name="Picture 1" descr="Signature of the Hon. Troy Grant, Inspector-General of Water 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6413" name="Picture 1" descr="Signature of the Hon. Troy Grant, Inspector-General of Water Complia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9680" cy="934370"/>
                    </a:xfrm>
                    <a:prstGeom prst="rect">
                      <a:avLst/>
                    </a:prstGeom>
                    <a:noFill/>
                    <a:ln>
                      <a:noFill/>
                    </a:ln>
                  </pic:spPr>
                </pic:pic>
              </a:graphicData>
            </a:graphic>
          </wp:inline>
        </w:drawing>
      </w:r>
    </w:p>
    <w:p w14:paraId="1C0F33BC" w14:textId="77777777" w:rsidR="00DE4CBB" w:rsidRPr="009F1F8D" w:rsidRDefault="00DE4CBB" w:rsidP="00DE4CBB">
      <w:pPr>
        <w:rPr>
          <w:b/>
          <w:bCs/>
          <w:lang w:val="en-US"/>
        </w:rPr>
      </w:pPr>
      <w:r w:rsidRPr="009F1F8D">
        <w:rPr>
          <w:b/>
          <w:bCs/>
          <w:lang w:val="en-US"/>
        </w:rPr>
        <w:t xml:space="preserve">The Hon. Troy Grant </w:t>
      </w:r>
    </w:p>
    <w:p w14:paraId="0E406A73" w14:textId="77777777" w:rsidR="00DE4CBB" w:rsidRPr="009F1F8D" w:rsidRDefault="00DE4CBB" w:rsidP="00DE4CBB">
      <w:pPr>
        <w:rPr>
          <w:lang w:val="en-US"/>
        </w:rPr>
      </w:pPr>
      <w:r>
        <w:rPr>
          <w:lang w:val="en-US"/>
        </w:rPr>
        <w:t>Inspector–General</w:t>
      </w:r>
      <w:r w:rsidRPr="009F1F8D">
        <w:rPr>
          <w:lang w:val="en-US"/>
        </w:rPr>
        <w:t xml:space="preserve"> of Water Compliance</w:t>
      </w:r>
    </w:p>
    <w:p w14:paraId="6BD9A357" w14:textId="77777777" w:rsidR="009251B9" w:rsidRPr="00473F5B" w:rsidRDefault="009251B9" w:rsidP="00473F5B"/>
    <w:p w14:paraId="25BC3F3D" w14:textId="5C61DABF" w:rsidR="001C0F11" w:rsidRDefault="001C0F11" w:rsidP="002C07A5">
      <w:pPr>
        <w:sectPr w:rsidR="001C0F11" w:rsidSect="003A39E1">
          <w:headerReference w:type="default" r:id="rId17"/>
          <w:footerReference w:type="default" r:id="rId18"/>
          <w:headerReference w:type="first" r:id="rId19"/>
          <w:footerReference w:type="first" r:id="rId20"/>
          <w:pgSz w:w="11906" w:h="16838"/>
          <w:pgMar w:top="1284" w:right="1134" w:bottom="816" w:left="1134" w:header="431" w:footer="999" w:gutter="0"/>
          <w:cols w:space="708"/>
          <w:titlePg/>
          <w:docGrid w:linePitch="360"/>
        </w:sectPr>
      </w:pPr>
    </w:p>
    <w:p w14:paraId="76679FAC" w14:textId="01F44242" w:rsidR="002C07A5" w:rsidRDefault="002C07A5" w:rsidP="002C07A5">
      <w:pPr>
        <w:pStyle w:val="IntroductionParagraph"/>
      </w:pPr>
    </w:p>
    <w:p w14:paraId="246A433C" w14:textId="1BA20F65" w:rsidR="002C07A5" w:rsidRPr="002C07A5" w:rsidRDefault="002C07A5" w:rsidP="002C07A5"/>
    <w:p w14:paraId="7971849F" w14:textId="33C08FD5" w:rsidR="00EA74F0" w:rsidRPr="00EA74F0" w:rsidRDefault="00EA74F0" w:rsidP="00EA74F0">
      <w:pPr>
        <w:tabs>
          <w:tab w:val="left" w:pos="2685"/>
        </w:tabs>
      </w:pPr>
    </w:p>
    <w:p w14:paraId="44DAB5FE" w14:textId="6E062C25" w:rsidR="00473F5B" w:rsidRDefault="008C2DF2" w:rsidP="00473F5B">
      <w:pPr>
        <w:pStyle w:val="Heading1"/>
      </w:pPr>
      <w:r>
        <w:lastRenderedPageBreak/>
        <w:t>The Work Plan</w:t>
      </w:r>
    </w:p>
    <w:p w14:paraId="5D1E68CF" w14:textId="7FD338A5" w:rsidR="008C2DF2" w:rsidRPr="008C2DF2" w:rsidRDefault="005C4C7E" w:rsidP="008C2DF2">
      <w:r w:rsidRPr="001F0BC9">
        <w:t xml:space="preserve">In conformity with section 215E of the </w:t>
      </w:r>
      <w:r w:rsidRPr="001F0BC9">
        <w:rPr>
          <w:i/>
          <w:iCs/>
        </w:rPr>
        <w:t xml:space="preserve">Water Act 2007 </w:t>
      </w:r>
      <w:r w:rsidRPr="001F0BC9">
        <w:t xml:space="preserve">(Cth) (Water Act), the </w:t>
      </w:r>
      <w:r>
        <w:t>Inspector–General</w:t>
      </w:r>
      <w:r w:rsidRPr="001F0BC9">
        <w:t xml:space="preserve"> must prepare a work plan for each financial year. The </w:t>
      </w:r>
      <w:r>
        <w:t>Inspector–General</w:t>
      </w:r>
      <w:r w:rsidRPr="001F0BC9">
        <w:t xml:space="preserve"> must publish the work plan for a financial year on the </w:t>
      </w:r>
      <w:r>
        <w:t>Inspector–General</w:t>
      </w:r>
      <w:r w:rsidRPr="001F0BC9">
        <w:t xml:space="preserve">’s website as soon as practicable after it is finalised. </w:t>
      </w:r>
    </w:p>
    <w:p w14:paraId="6394197C" w14:textId="62F19F81" w:rsidR="00473F5B" w:rsidRDefault="005C4C7E" w:rsidP="00473F5B">
      <w:pPr>
        <w:pStyle w:val="Heading2"/>
      </w:pPr>
      <w:r>
        <w:t>The role of the Inspector–General</w:t>
      </w:r>
    </w:p>
    <w:p w14:paraId="6DDFE9B0" w14:textId="77777777" w:rsidR="00A43709" w:rsidRPr="00A43709" w:rsidRDefault="00A43709" w:rsidP="00A43709">
      <w:r w:rsidRPr="00A43709">
        <w:t>The Inspector–General of Water Compliance’s statutory functions are set out in the Water Act. The independent Inspector–General broadly has the roles of:</w:t>
      </w:r>
    </w:p>
    <w:p w14:paraId="4214ED76" w14:textId="77777777" w:rsidR="00A43709" w:rsidRPr="00A43709" w:rsidRDefault="00A43709" w:rsidP="00A43709">
      <w:pPr>
        <w:pStyle w:val="ListBullet"/>
      </w:pPr>
      <w:r w:rsidRPr="00A43709">
        <w:t>Monitoring and overseeing the performance of functions and exercise of powers by agencies of the Commonwealth.</w:t>
      </w:r>
    </w:p>
    <w:p w14:paraId="37E6B0B1" w14:textId="77777777" w:rsidR="00A43709" w:rsidRPr="00A43709" w:rsidRDefault="00A43709" w:rsidP="00A43709">
      <w:pPr>
        <w:pStyle w:val="ListBullet"/>
      </w:pPr>
      <w:r w:rsidRPr="00A43709">
        <w:t>Monitoring and overseeing relevant Commonwealth, and Basin State and territory government agencies’ performance in the management of Basin water resources.</w:t>
      </w:r>
    </w:p>
    <w:p w14:paraId="28155490" w14:textId="77777777" w:rsidR="00A43709" w:rsidRPr="00A43709" w:rsidRDefault="00A43709" w:rsidP="00A43709">
      <w:pPr>
        <w:pStyle w:val="ListBullet"/>
      </w:pPr>
      <w:r w:rsidRPr="00A43709">
        <w:t>Enforcing compliance with Commonwealth laws that regulate the management of Basin water resources and the provision of water markets information.</w:t>
      </w:r>
    </w:p>
    <w:p w14:paraId="5559DF1E" w14:textId="77777777" w:rsidR="00A43709" w:rsidRPr="00A43709" w:rsidRDefault="00A43709" w:rsidP="00A43709">
      <w:pPr>
        <w:pStyle w:val="ListBullet"/>
      </w:pPr>
      <w:r w:rsidRPr="00A43709">
        <w:t>Engaging with the Australian community on the management of Basin water resources.</w:t>
      </w:r>
    </w:p>
    <w:p w14:paraId="6AAFA91D" w14:textId="59BA4ED6" w:rsidR="007C3F00" w:rsidRDefault="00A43709" w:rsidP="00A43709">
      <w:pPr>
        <w:pStyle w:val="Heading2"/>
      </w:pPr>
      <w:r>
        <w:t>Developing the 2025-26 Work Plan</w:t>
      </w:r>
    </w:p>
    <w:p w14:paraId="0B4160AD" w14:textId="77777777" w:rsidR="00941FD8" w:rsidRPr="00941FD8" w:rsidRDefault="00941FD8" w:rsidP="00941FD8">
      <w:r w:rsidRPr="00941FD8">
        <w:t xml:space="preserve">The work plan responds to current expectations and emerging risks and opportunities for improved water management in the Murray-Darling Basin (the Basin). A range of factors are considered to set the work program, including: </w:t>
      </w:r>
    </w:p>
    <w:p w14:paraId="66267D40" w14:textId="77777777" w:rsidR="00941FD8" w:rsidRPr="00941FD8" w:rsidRDefault="00941FD8" w:rsidP="00941FD8">
      <w:pPr>
        <w:pStyle w:val="ListBullet"/>
      </w:pPr>
      <w:r w:rsidRPr="00941FD8">
        <w:t>the statutory role of the Inspector–General</w:t>
      </w:r>
    </w:p>
    <w:p w14:paraId="6D9FE720" w14:textId="77777777" w:rsidR="00941FD8" w:rsidRPr="00941FD8" w:rsidRDefault="00941FD8" w:rsidP="00941FD8">
      <w:pPr>
        <w:pStyle w:val="ListBullet"/>
      </w:pPr>
      <w:r w:rsidRPr="00941FD8">
        <w:t>the Minister’s Statement of Expectations</w:t>
      </w:r>
    </w:p>
    <w:p w14:paraId="2A729F87" w14:textId="77777777" w:rsidR="00941FD8" w:rsidRPr="00941FD8" w:rsidRDefault="00941FD8" w:rsidP="00941FD8">
      <w:pPr>
        <w:pStyle w:val="ListBullet"/>
      </w:pPr>
      <w:r w:rsidRPr="00941FD8">
        <w:t>the Inspector–General’s Strategic Plan 2023-26</w:t>
      </w:r>
    </w:p>
    <w:p w14:paraId="0A5EBCE9" w14:textId="77777777" w:rsidR="00941FD8" w:rsidRPr="00941FD8" w:rsidRDefault="00941FD8" w:rsidP="00941FD8">
      <w:pPr>
        <w:pStyle w:val="ListBullet"/>
      </w:pPr>
      <w:r w:rsidRPr="00941FD8">
        <w:t xml:space="preserve">what community groups and stakeholders have told the Inspector–General and their office </w:t>
      </w:r>
    </w:p>
    <w:p w14:paraId="6F81F954" w14:textId="77777777" w:rsidR="00941FD8" w:rsidRPr="00941FD8" w:rsidRDefault="00941FD8" w:rsidP="00941FD8">
      <w:pPr>
        <w:pStyle w:val="ListBullet"/>
      </w:pPr>
      <w:r w:rsidRPr="00941FD8">
        <w:t xml:space="preserve">analysis of the performance of functions and exercise of powers by Commonwealth agencies in relation to the Water Act and the Basin Plan, and analysis of Basin State performance against obligations under </w:t>
      </w:r>
      <w:r w:rsidRPr="00941FD8">
        <w:rPr>
          <w:i/>
          <w:iCs/>
        </w:rPr>
        <w:t xml:space="preserve">the Basin Plan 2012 </w:t>
      </w:r>
      <w:r w:rsidRPr="00941FD8">
        <w:t>(the Basin Plan), Water Resource Plans (WRPs), and intergovernmental agreements</w:t>
      </w:r>
    </w:p>
    <w:p w14:paraId="6846FEAE" w14:textId="77777777" w:rsidR="00941FD8" w:rsidRPr="00941FD8" w:rsidRDefault="00941FD8" w:rsidP="00941FD8">
      <w:pPr>
        <w:pStyle w:val="ListBullet"/>
      </w:pPr>
      <w:r w:rsidRPr="00941FD8">
        <w:t>review of strategic risks to Basin Plan implementation</w:t>
      </w:r>
    </w:p>
    <w:p w14:paraId="388A9B0C" w14:textId="77777777" w:rsidR="00D22692" w:rsidRPr="001F0BC9" w:rsidRDefault="00D22692" w:rsidP="00D22692">
      <w:pPr>
        <w:pStyle w:val="ListBullet"/>
      </w:pPr>
      <w:r w:rsidRPr="001F0BC9">
        <w:t>analysis of data and information demonstrating the level of compliance with</w:t>
      </w:r>
      <w:r w:rsidRPr="001F0BC9" w:rsidDel="00891A95">
        <w:rPr>
          <w:i/>
          <w:iCs/>
        </w:rPr>
        <w:t xml:space="preserve"> </w:t>
      </w:r>
      <w:r w:rsidRPr="001F0BC9">
        <w:t xml:space="preserve">the Basin Plan and water management arrangements in each state and territory </w:t>
      </w:r>
    </w:p>
    <w:p w14:paraId="386AFC78" w14:textId="77777777" w:rsidR="00D22692" w:rsidRPr="001F0BC9" w:rsidRDefault="00D22692" w:rsidP="00D22692">
      <w:pPr>
        <w:pStyle w:val="ListBullet"/>
      </w:pPr>
      <w:r w:rsidRPr="001F0BC9">
        <w:t xml:space="preserve">previous monitoring and oversight findings of governments’ commitments to Basin Plan implementation </w:t>
      </w:r>
    </w:p>
    <w:p w14:paraId="7B644AA7" w14:textId="77777777" w:rsidR="00D22692" w:rsidRPr="001F0BC9" w:rsidRDefault="00D22692" w:rsidP="00D22692">
      <w:pPr>
        <w:pStyle w:val="ListBullet"/>
      </w:pPr>
      <w:r w:rsidRPr="001F0BC9">
        <w:t xml:space="preserve">projects and activities currently underway within the </w:t>
      </w:r>
      <w:r>
        <w:t>Inspector–General</w:t>
      </w:r>
      <w:r w:rsidRPr="001F0BC9">
        <w:t>, as well as other agencies responsible for the delivery of the Basin Plan</w:t>
      </w:r>
    </w:p>
    <w:p w14:paraId="5190D84F" w14:textId="77777777" w:rsidR="00D22692" w:rsidRPr="001F0BC9" w:rsidRDefault="00D22692" w:rsidP="00D22692">
      <w:pPr>
        <w:pStyle w:val="ListBullet"/>
      </w:pPr>
      <w:r w:rsidRPr="001F0BC9">
        <w:t xml:space="preserve">the current state of the Basin Plan, including the 2026 Basin Plan Review, and potential future risks and opportunities arising from such activities. </w:t>
      </w:r>
    </w:p>
    <w:p w14:paraId="574D7620" w14:textId="7A56590B" w:rsidR="00A43709" w:rsidRDefault="00D22692" w:rsidP="00D22692">
      <w:pPr>
        <w:pStyle w:val="Heading2"/>
      </w:pPr>
      <w:r>
        <w:lastRenderedPageBreak/>
        <w:t>The anticipated operating context in 2025-26</w:t>
      </w:r>
    </w:p>
    <w:p w14:paraId="00399C46" w14:textId="77777777" w:rsidR="00034A6C" w:rsidRPr="00034A6C" w:rsidRDefault="00034A6C" w:rsidP="00034A6C">
      <w:r w:rsidRPr="00034A6C">
        <w:t>The Inspector–General acknowledges that climate, changing demographics, new technologies and changing social values all have an impact on outcomes in the Basin. This broad range of influences increases the complexity of the operating environment for those involved in water management in the Basin.</w:t>
      </w:r>
    </w:p>
    <w:p w14:paraId="3D2CE3E0" w14:textId="77777777" w:rsidR="00034A6C" w:rsidRPr="00034A6C" w:rsidRDefault="00034A6C" w:rsidP="00034A6C">
      <w:r w:rsidRPr="00034A6C">
        <w:t xml:space="preserve">Agility and flexibility remain crucial to address emerging priorities under this changing operating context of water management in the Basin. Key contextual factors for the development of the 2025-26 Work Plan of the Inspector–General of Water Compliance are:  </w:t>
      </w:r>
    </w:p>
    <w:p w14:paraId="7E2ED5EC" w14:textId="77777777" w:rsidR="00034A6C" w:rsidRPr="00034A6C" w:rsidRDefault="00034A6C" w:rsidP="00034A6C">
      <w:pPr>
        <w:pStyle w:val="ListBullet"/>
      </w:pPr>
      <w:r w:rsidRPr="00034A6C">
        <w:t>The Inspector–General identified 2 priorities in the 2024-25 Annual Work Plan, Environmental Outcomes, and the Inquiry into the Northern Basin Toolkit, and some of this work will continue into 2025-26.</w:t>
      </w:r>
    </w:p>
    <w:p w14:paraId="65D1CD3F" w14:textId="0E106510" w:rsidR="00034A6C" w:rsidRDefault="00034A6C" w:rsidP="00034A6C">
      <w:pPr>
        <w:pStyle w:val="ListBullet"/>
      </w:pPr>
      <w:r w:rsidRPr="00034A6C">
        <w:t xml:space="preserve">The Murray-Darling Basin Authority (MDBA) conducts a Basin Plan Evaluation every 5 years. The 2025 Basin Plan Evaluation </w:t>
      </w:r>
      <w:r w:rsidR="00024635">
        <w:t>was published in July</w:t>
      </w:r>
      <w:r w:rsidRPr="00034A6C">
        <w:t xml:space="preserve"> 2025 and will inform the 10-yearly review of the Basin Plan in 2026. This 10-yearly review is a requirement under the Water Act and will focus on 4 key themes:</w:t>
      </w:r>
    </w:p>
    <w:p w14:paraId="46693EFE" w14:textId="77777777" w:rsidR="00D6375B" w:rsidRPr="001F0BC9" w:rsidRDefault="00D6375B" w:rsidP="00D6375B">
      <w:pPr>
        <w:pStyle w:val="ListBullet2"/>
      </w:pPr>
      <w:r w:rsidRPr="001F0BC9">
        <w:t>Climate change</w:t>
      </w:r>
    </w:p>
    <w:p w14:paraId="4EA27E80" w14:textId="77777777" w:rsidR="00D6375B" w:rsidRPr="001F0BC9" w:rsidRDefault="00D6375B" w:rsidP="00D6375B">
      <w:pPr>
        <w:pStyle w:val="ListBullet2"/>
      </w:pPr>
      <w:r w:rsidRPr="001F0BC9">
        <w:t>First Nations</w:t>
      </w:r>
    </w:p>
    <w:p w14:paraId="4ADBC160" w14:textId="77777777" w:rsidR="00D6375B" w:rsidRPr="001F0BC9" w:rsidRDefault="00D6375B" w:rsidP="00D6375B">
      <w:pPr>
        <w:pStyle w:val="ListBullet2"/>
      </w:pPr>
      <w:r w:rsidRPr="001F0BC9">
        <w:t>Sustainable water limits</w:t>
      </w:r>
    </w:p>
    <w:p w14:paraId="71EF3BDC" w14:textId="4B2288BC" w:rsidR="00034A6C" w:rsidRDefault="00D6375B" w:rsidP="00D6375B">
      <w:pPr>
        <w:pStyle w:val="ListBullet2"/>
      </w:pPr>
      <w:r w:rsidRPr="001F0BC9">
        <w:t>Regulatory design</w:t>
      </w:r>
      <w:r>
        <w:rPr>
          <w:rStyle w:val="FootnoteReference"/>
        </w:rPr>
        <w:footnoteReference w:id="1"/>
      </w:r>
    </w:p>
    <w:p w14:paraId="1E80FBCB" w14:textId="77777777" w:rsidR="0034657B" w:rsidRPr="001F0BC9" w:rsidRDefault="0034657B" w:rsidP="0034657B">
      <w:pPr>
        <w:pStyle w:val="ListBullet"/>
        <w:numPr>
          <w:ilvl w:val="0"/>
          <w:numId w:val="0"/>
        </w:numPr>
        <w:ind w:left="369"/>
      </w:pPr>
      <w:r w:rsidRPr="001F0BC9">
        <w:t>The Inspector</w:t>
      </w:r>
      <w:r>
        <w:t>–</w:t>
      </w:r>
      <w:r w:rsidRPr="001F0BC9">
        <w:t xml:space="preserve">General’s work in 2025-26, and in previous years, will provide key input into these evaluation and review processes.  </w:t>
      </w:r>
    </w:p>
    <w:p w14:paraId="01865D22" w14:textId="77777777" w:rsidR="00E61820" w:rsidRPr="001F0BC9" w:rsidRDefault="00E61820" w:rsidP="00E61820">
      <w:pPr>
        <w:pStyle w:val="ListBullet"/>
      </w:pPr>
      <w:r w:rsidRPr="001F0BC9">
        <w:t>There will be a third independent Water for the Environment Special Account (WESA) review in 2025 that will consider funding and progress to the recovery of the 450GL of additional environmental water. The review process will cover several important areas:</w:t>
      </w:r>
    </w:p>
    <w:p w14:paraId="66D539D8" w14:textId="77777777" w:rsidR="00827969" w:rsidRPr="001F0BC9" w:rsidRDefault="00827969" w:rsidP="00827969">
      <w:pPr>
        <w:pStyle w:val="ListBullet2"/>
      </w:pPr>
      <w:r w:rsidRPr="001F0BC9">
        <w:t>evaluate progress toward environmental recovery, informing recommendations on the requirement of additional action to meet environmental objectives</w:t>
      </w:r>
    </w:p>
    <w:p w14:paraId="1D18F6FA" w14:textId="77777777" w:rsidR="00827969" w:rsidRPr="001F0BC9" w:rsidRDefault="00827969" w:rsidP="00827969">
      <w:pPr>
        <w:pStyle w:val="ListBullet2"/>
      </w:pPr>
      <w:r w:rsidRPr="001F0BC9">
        <w:t>assess whether WESA funding is sufficient to achieving its goals</w:t>
      </w:r>
    </w:p>
    <w:p w14:paraId="61C790B0" w14:textId="77777777" w:rsidR="00827969" w:rsidRPr="001F0BC9" w:rsidRDefault="00827969" w:rsidP="00827969">
      <w:pPr>
        <w:pStyle w:val="ListBullet2"/>
      </w:pPr>
      <w:r w:rsidRPr="001F0BC9">
        <w:t>inform future policies and programs related to the Basin</w:t>
      </w:r>
    </w:p>
    <w:p w14:paraId="40068ECC" w14:textId="77777777" w:rsidR="00827969" w:rsidRPr="001F0BC9" w:rsidRDefault="00827969" w:rsidP="00827969">
      <w:pPr>
        <w:pStyle w:val="ListBullet2"/>
      </w:pPr>
      <w:r w:rsidRPr="001F0BC9">
        <w:t>contribute to greater transparency and accountability in water management by publicly reporting on progress and challenges.</w:t>
      </w:r>
    </w:p>
    <w:p w14:paraId="2E0AA853" w14:textId="77777777" w:rsidR="006E4731" w:rsidRPr="001F0BC9" w:rsidRDefault="006E4731" w:rsidP="006E4731">
      <w:pPr>
        <w:pStyle w:val="ListBullet"/>
        <w:numPr>
          <w:ilvl w:val="0"/>
          <w:numId w:val="0"/>
        </w:numPr>
        <w:ind w:left="369"/>
      </w:pPr>
      <w:r w:rsidRPr="001F0BC9">
        <w:t xml:space="preserve">The WESA review will provide important evidence to inform the work of the </w:t>
      </w:r>
      <w:r>
        <w:t>Inspector–General</w:t>
      </w:r>
      <w:r w:rsidRPr="001F0BC9">
        <w:t xml:space="preserve"> during the year.</w:t>
      </w:r>
    </w:p>
    <w:p w14:paraId="6C7ACD83" w14:textId="77777777" w:rsidR="00ED12E9" w:rsidRPr="001F0BC9" w:rsidRDefault="00ED12E9" w:rsidP="00ED12E9">
      <w:pPr>
        <w:pStyle w:val="ListBullet"/>
      </w:pPr>
      <w:r w:rsidRPr="001F0BC9">
        <w:t xml:space="preserve">A review of the role of the </w:t>
      </w:r>
      <w:r>
        <w:t>Inspector–General</w:t>
      </w:r>
      <w:r w:rsidRPr="001F0BC9">
        <w:t xml:space="preserve"> will occur in 2025-26 under section 215Z of the Water Act. The </w:t>
      </w:r>
      <w:r>
        <w:t>Inspector–General</w:t>
      </w:r>
      <w:r w:rsidRPr="001F0BC9">
        <w:t xml:space="preserve"> is looking forward to engaging with the review.</w:t>
      </w:r>
    </w:p>
    <w:p w14:paraId="3E2B018B" w14:textId="77777777" w:rsidR="00ED12E9" w:rsidRPr="001F0BC9" w:rsidRDefault="00ED12E9" w:rsidP="00ED12E9">
      <w:pPr>
        <w:pStyle w:val="ListBullet"/>
      </w:pPr>
      <w:r w:rsidRPr="001F0BC9">
        <w:t xml:space="preserve">The 2024-25 Budget allocated $28.6 million to the </w:t>
      </w:r>
      <w:r>
        <w:t>Inspector–General</w:t>
      </w:r>
      <w:r w:rsidRPr="001F0BC9">
        <w:t xml:space="preserve"> over 4 years. In 2024-25, the </w:t>
      </w:r>
      <w:r>
        <w:t>Inspector–General</w:t>
      </w:r>
      <w:r w:rsidRPr="001F0BC9">
        <w:t xml:space="preserve"> used this funding to build dedicated inquiry and legal teams and launch their first inquiry. The </w:t>
      </w:r>
      <w:r>
        <w:t>Inspector–General</w:t>
      </w:r>
      <w:r w:rsidRPr="001F0BC9">
        <w:t xml:space="preserve"> will continue to build internal capability and continue </w:t>
      </w:r>
      <w:r>
        <w:t>their</w:t>
      </w:r>
      <w:r w:rsidRPr="001F0BC9">
        <w:t xml:space="preserve"> important work under the oversight function. </w:t>
      </w:r>
    </w:p>
    <w:p w14:paraId="390F85EB" w14:textId="623D6F83" w:rsidR="006E0BD1" w:rsidRDefault="00ED12E9" w:rsidP="00ED12E9">
      <w:pPr>
        <w:pStyle w:val="Heading2"/>
      </w:pPr>
      <w:r>
        <w:lastRenderedPageBreak/>
        <w:t>Review of the Work Plan</w:t>
      </w:r>
    </w:p>
    <w:p w14:paraId="3C083782" w14:textId="77777777" w:rsidR="005B6693" w:rsidRPr="005B6693" w:rsidRDefault="005B6693" w:rsidP="005B6693">
      <w:r w:rsidRPr="005B6693">
        <w:t xml:space="preserve">Section 215F of the Water Act requires the Inspector–General to undertake a review of the work plan at least once during the financial year.  </w:t>
      </w:r>
    </w:p>
    <w:p w14:paraId="51F8B4ED" w14:textId="25B75F56" w:rsidR="00D22692" w:rsidRDefault="005B6693" w:rsidP="00D22692">
      <w:r w:rsidRPr="005B6693">
        <w:t xml:space="preserve">Following a review of the work plan, the Inspector–General may amend the work plan to respond to emerging areas of risk. Where the work plan is amended, it will be published on the website at www.igwc.gov.au. </w:t>
      </w:r>
    </w:p>
    <w:p w14:paraId="2D17C120" w14:textId="5F7BE33B" w:rsidR="00D64917" w:rsidRDefault="00851C43" w:rsidP="00D22692">
      <w:r>
        <w:rPr>
          <w:noProof/>
        </w:rPr>
        <w:drawing>
          <wp:inline distT="0" distB="0" distL="0" distR="0" wp14:anchorId="06B9E735" wp14:editId="61DD81BA">
            <wp:extent cx="6113780" cy="3200400"/>
            <wp:effectExtent l="0" t="0" r="1270" b="0"/>
            <wp:docPr id="1830639203" name="Picture 4" descr="A body of water in a field at sunset with the base of a windmi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639203" name="Picture 4" descr="A body of water in a field at sunset with the base of a windmill.&#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3780" cy="3200400"/>
                    </a:xfrm>
                    <a:prstGeom prst="rect">
                      <a:avLst/>
                    </a:prstGeom>
                    <a:noFill/>
                    <a:ln>
                      <a:noFill/>
                    </a:ln>
                  </pic:spPr>
                </pic:pic>
              </a:graphicData>
            </a:graphic>
          </wp:inline>
        </w:drawing>
      </w:r>
    </w:p>
    <w:p w14:paraId="15DC7CC1" w14:textId="1D4908BC" w:rsidR="00FE505A" w:rsidRDefault="00FE505A" w:rsidP="00D22692">
      <w:r>
        <w:br w:type="page"/>
      </w:r>
    </w:p>
    <w:p w14:paraId="15E0E200" w14:textId="077DBCE6" w:rsidR="00FE505A" w:rsidRDefault="00FE505A" w:rsidP="00FE505A">
      <w:pPr>
        <w:pStyle w:val="Heading2"/>
      </w:pPr>
      <w:r>
        <w:lastRenderedPageBreak/>
        <w:t>Snapshot</w:t>
      </w:r>
    </w:p>
    <w:p w14:paraId="05EB61F8" w14:textId="3E55C72A" w:rsidR="00700920" w:rsidRDefault="004403CD" w:rsidP="003E0D59">
      <w:pPr>
        <w:pStyle w:val="Heading3"/>
      </w:pPr>
      <w:r>
        <w:t>Values</w:t>
      </w:r>
    </w:p>
    <w:p w14:paraId="052C3340" w14:textId="45DF1293" w:rsidR="004403CD" w:rsidRDefault="004403CD" w:rsidP="004403CD">
      <w:pPr>
        <w:pStyle w:val="ListBullet"/>
      </w:pPr>
      <w:r>
        <w:t>Integrity</w:t>
      </w:r>
    </w:p>
    <w:p w14:paraId="1D85E77C" w14:textId="3150A152" w:rsidR="004403CD" w:rsidRDefault="004403CD" w:rsidP="004403CD">
      <w:pPr>
        <w:pStyle w:val="ListBullet"/>
      </w:pPr>
      <w:r>
        <w:t>Accountability</w:t>
      </w:r>
    </w:p>
    <w:p w14:paraId="0D02EDE5" w14:textId="72498E7A" w:rsidR="004403CD" w:rsidRDefault="00C804E7" w:rsidP="004403CD">
      <w:pPr>
        <w:pStyle w:val="ListBullet"/>
      </w:pPr>
      <w:r>
        <w:t>Transparency</w:t>
      </w:r>
    </w:p>
    <w:p w14:paraId="53F71923" w14:textId="77777777" w:rsidR="008C51BB" w:rsidRDefault="008C51BB" w:rsidP="008C51BB">
      <w:pPr>
        <w:pStyle w:val="ListBullet"/>
        <w:numPr>
          <w:ilvl w:val="0"/>
          <w:numId w:val="0"/>
        </w:numPr>
        <w:ind w:left="369" w:hanging="369"/>
      </w:pPr>
    </w:p>
    <w:p w14:paraId="144BFD4C" w14:textId="763BAD46" w:rsidR="00C804E7" w:rsidRDefault="00C804E7" w:rsidP="003E0D59">
      <w:pPr>
        <w:pStyle w:val="Heading3"/>
      </w:pPr>
      <w:r>
        <w:t>Strategic Plan Outcomes</w:t>
      </w:r>
    </w:p>
    <w:p w14:paraId="666D6F8F" w14:textId="6355BA8C" w:rsidR="00C804E7" w:rsidRDefault="00C804E7" w:rsidP="00C804E7">
      <w:pPr>
        <w:pStyle w:val="ListNumber"/>
      </w:pPr>
      <w:r>
        <w:t>Ensure it’s lawful</w:t>
      </w:r>
    </w:p>
    <w:p w14:paraId="0FE2F525" w14:textId="3FA377B5" w:rsidR="00C804E7" w:rsidRDefault="00C804E7" w:rsidP="00C804E7">
      <w:pPr>
        <w:pStyle w:val="ListNumber"/>
      </w:pPr>
      <w:r>
        <w:t>Ensure it’s visible</w:t>
      </w:r>
    </w:p>
    <w:p w14:paraId="58EEE493" w14:textId="4D5D2533" w:rsidR="00C804E7" w:rsidRDefault="00C804E7" w:rsidP="00C804E7">
      <w:pPr>
        <w:pStyle w:val="ListNumber"/>
      </w:pPr>
      <w:r>
        <w:t>Do it better</w:t>
      </w:r>
    </w:p>
    <w:p w14:paraId="25B191B3" w14:textId="264F5ADA" w:rsidR="00C804E7" w:rsidRDefault="00C804E7" w:rsidP="00C804E7">
      <w:pPr>
        <w:pStyle w:val="ListNumber"/>
      </w:pPr>
      <w:r>
        <w:t>Make it better</w:t>
      </w:r>
    </w:p>
    <w:p w14:paraId="2403F802" w14:textId="77777777" w:rsidR="008C51BB" w:rsidRDefault="008C51BB" w:rsidP="008C51BB">
      <w:pPr>
        <w:pStyle w:val="ListNumber"/>
        <w:numPr>
          <w:ilvl w:val="0"/>
          <w:numId w:val="0"/>
        </w:numPr>
        <w:ind w:left="369" w:hanging="369"/>
      </w:pPr>
    </w:p>
    <w:p w14:paraId="620B431A" w14:textId="0E725169" w:rsidR="008C51BB" w:rsidRDefault="008C51BB" w:rsidP="003E0D59">
      <w:pPr>
        <w:pStyle w:val="Heading3"/>
      </w:pPr>
      <w:r>
        <w:t>Work Plan Priority</w:t>
      </w:r>
    </w:p>
    <w:p w14:paraId="1B0EA88A" w14:textId="48841AB9" w:rsidR="008C51BB" w:rsidRPr="00700920" w:rsidRDefault="008C51BB" w:rsidP="00710DFC">
      <w:pPr>
        <w:pStyle w:val="ListBullet"/>
      </w:pPr>
      <w:r w:rsidRPr="008C51BB">
        <w:rPr>
          <w:bCs/>
        </w:rPr>
        <w:t>Holding responsible Commonwealth agencies and Basin States accountable on Basin Plan implementation</w:t>
      </w:r>
    </w:p>
    <w:p w14:paraId="70F60B91" w14:textId="586BD883" w:rsidR="00710DFC" w:rsidRDefault="00710DFC" w:rsidP="00FE505A">
      <w:r>
        <w:rPr>
          <w:noProof/>
        </w:rPr>
        <w:drawing>
          <wp:inline distT="0" distB="0" distL="0" distR="0" wp14:anchorId="4737AA63" wp14:editId="4BB9D99A">
            <wp:extent cx="5686425" cy="4819650"/>
            <wp:effectExtent l="0" t="0" r="9525" b="0"/>
            <wp:docPr id="229787240" name="Picture 2" descr="A diagram of icons showing the IGWC core vales of Integrity, Accountability and Transparency,  and strategic plan outcomes of Ensure It's Lawful, Ensure It's Visible, Do It Better, and Make It B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87240" name="Picture 2" descr="A diagram of icons showing the IGWC core vales of Integrity, Accountability and Transparency,  and strategic plan outcomes of Ensure It's Lawful, Ensure It's Visible, Do It Better, and Make It Bett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86425" cy="4819650"/>
                    </a:xfrm>
                    <a:prstGeom prst="rect">
                      <a:avLst/>
                    </a:prstGeom>
                    <a:noFill/>
                    <a:ln>
                      <a:noFill/>
                    </a:ln>
                  </pic:spPr>
                </pic:pic>
              </a:graphicData>
            </a:graphic>
          </wp:inline>
        </w:drawing>
      </w:r>
    </w:p>
    <w:p w14:paraId="18C70051" w14:textId="006720BF" w:rsidR="00F26DAA" w:rsidRDefault="00D64917" w:rsidP="00DA4F80">
      <w:pPr>
        <w:pStyle w:val="Heading2"/>
      </w:pPr>
      <w:r>
        <w:rPr>
          <w:noProof/>
        </w:rPr>
        <w:lastRenderedPageBreak/>
        <w:drawing>
          <wp:inline distT="0" distB="0" distL="0" distR="0" wp14:anchorId="599D1616" wp14:editId="58A804D1">
            <wp:extent cx="6113780" cy="3200400"/>
            <wp:effectExtent l="0" t="0" r="1270" b="0"/>
            <wp:docPr id="411209740" name="Picture 3" descr="A tree next to a body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09740" name="Picture 3" descr="A tree next to a body of wat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3780" cy="3200400"/>
                    </a:xfrm>
                    <a:prstGeom prst="rect">
                      <a:avLst/>
                    </a:prstGeom>
                    <a:noFill/>
                    <a:ln>
                      <a:noFill/>
                    </a:ln>
                  </pic:spPr>
                </pic:pic>
              </a:graphicData>
            </a:graphic>
          </wp:inline>
        </w:drawing>
      </w:r>
    </w:p>
    <w:p w14:paraId="2088A8AA" w14:textId="50CE635E" w:rsidR="00DA4F80" w:rsidRDefault="00DA4F80" w:rsidP="00DA4F80">
      <w:pPr>
        <w:pStyle w:val="Heading2"/>
      </w:pPr>
      <w:r>
        <w:t>2025-26 Priority</w:t>
      </w:r>
    </w:p>
    <w:p w14:paraId="6EE727AD" w14:textId="7FBEB015" w:rsidR="009A13B6" w:rsidRDefault="009A13B6" w:rsidP="009A13B6">
      <w:pPr>
        <w:rPr>
          <w:b/>
          <w:bCs/>
        </w:rPr>
      </w:pPr>
      <w:r w:rsidRPr="009A13B6">
        <w:rPr>
          <w:b/>
          <w:bCs/>
        </w:rPr>
        <w:t>Holding responsible Commonwealth agencies and Basin States accountable on Basin Plan implementation</w:t>
      </w:r>
    </w:p>
    <w:p w14:paraId="3E426E66" w14:textId="4EDC8F8D" w:rsidR="009A13B6" w:rsidRDefault="00495C7F" w:rsidP="003E0D59">
      <w:pPr>
        <w:pStyle w:val="Heading3"/>
      </w:pPr>
      <w:r>
        <w:t>Why it’s a priority</w:t>
      </w:r>
    </w:p>
    <w:p w14:paraId="73B929DC" w14:textId="25E6341C" w:rsidR="00495C7F" w:rsidRDefault="00495C7F" w:rsidP="009A13B6">
      <w:r w:rsidRPr="00495C7F">
        <w:t>The deadline for the implementation of multiple components of the Basin Plan was extended to the end of 2026 via the</w:t>
      </w:r>
      <w:r w:rsidRPr="00495C7F">
        <w:rPr>
          <w:i/>
          <w:iCs/>
        </w:rPr>
        <w:t xml:space="preserve"> Water Amendment (Restoring Our Rivers) Act 2023</w:t>
      </w:r>
      <w:r w:rsidRPr="00495C7F">
        <w:t xml:space="preserve"> (Restoring Our Rivers Act). With this new deadline approaching, the effective implementation of activities by responsible agencies is crucial to delivering the Basin Plan’s intended outcomes.</w:t>
      </w:r>
    </w:p>
    <w:p w14:paraId="62519D49" w14:textId="0A8FB41F" w:rsidR="00495C7F" w:rsidRDefault="00495C7F" w:rsidP="003E0D59">
      <w:pPr>
        <w:pStyle w:val="Heading3"/>
      </w:pPr>
      <w:r>
        <w:t>The role of the Inspector–General</w:t>
      </w:r>
    </w:p>
    <w:p w14:paraId="31331C5C" w14:textId="1D366102" w:rsidR="00495C7F" w:rsidRDefault="00495C7F" w:rsidP="009A13B6">
      <w:r w:rsidRPr="00495C7F">
        <w:t>The Inspector–General is responsible for overseeing Commonwealth and Basin State water management agencies' performance in relation to the Basin Plan under section 215C of the Water Act</w:t>
      </w:r>
      <w:r w:rsidRPr="00495C7F">
        <w:rPr>
          <w:i/>
          <w:iCs/>
        </w:rPr>
        <w:t>.</w:t>
      </w:r>
      <w:r w:rsidRPr="00495C7F">
        <w:t xml:space="preserve"> This includes the oversight of the implementation of commitments in intergovernmental agreements that support the effective operation of the Water Act and delivery of the Basin Plan, as well as Water Resource Plans (WRPs).</w:t>
      </w:r>
    </w:p>
    <w:p w14:paraId="5685CE34" w14:textId="7D4834A5" w:rsidR="00F20908" w:rsidRDefault="00F20908" w:rsidP="003E0D59">
      <w:pPr>
        <w:pStyle w:val="Heading3"/>
      </w:pPr>
      <w:r>
        <w:t>Strategic Plan Outcomes</w:t>
      </w:r>
    </w:p>
    <w:p w14:paraId="17625D27" w14:textId="7127070D" w:rsidR="00F20908" w:rsidRPr="00B41CB6" w:rsidRDefault="00F20908" w:rsidP="00F20908">
      <w:r w:rsidRPr="00B41CB6">
        <w:t>2. Ensure it's visible</w:t>
      </w:r>
    </w:p>
    <w:p w14:paraId="5B2D77AF" w14:textId="5744F63D" w:rsidR="00313D57" w:rsidRDefault="00F20908" w:rsidP="00B3483B">
      <w:r w:rsidRPr="00B41CB6">
        <w:t>3. Do it better</w:t>
      </w:r>
    </w:p>
    <w:p w14:paraId="6E8A7EBE" w14:textId="291039B6" w:rsidR="00D64917" w:rsidRDefault="00D64917" w:rsidP="00B3483B">
      <w:r>
        <w:br w:type="page"/>
      </w:r>
    </w:p>
    <w:p w14:paraId="4492D664" w14:textId="02F55FDF" w:rsidR="00186E73" w:rsidRDefault="00186E73" w:rsidP="00186E73">
      <w:pPr>
        <w:pStyle w:val="Heading2"/>
      </w:pPr>
      <w:r>
        <w:lastRenderedPageBreak/>
        <w:t>What the Inspector–General will do</w:t>
      </w:r>
    </w:p>
    <w:tbl>
      <w:tblPr>
        <w:tblStyle w:val="PlainTable2"/>
        <w:tblW w:w="0" w:type="auto"/>
        <w:tblLook w:val="04A0" w:firstRow="1" w:lastRow="0" w:firstColumn="1" w:lastColumn="0" w:noHBand="0" w:noVBand="1"/>
      </w:tblPr>
      <w:tblGrid>
        <w:gridCol w:w="2384"/>
        <w:gridCol w:w="7254"/>
      </w:tblGrid>
      <w:tr w:rsidR="007132FF" w:rsidRPr="007132FF" w14:paraId="2326D77D" w14:textId="77777777" w:rsidTr="00713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2CC79F0" w14:textId="77777777" w:rsidR="00313D57" w:rsidRPr="007132FF" w:rsidRDefault="00313D57" w:rsidP="00313D57">
            <w:pPr>
              <w:rPr>
                <w:b w:val="0"/>
                <w:bCs w:val="0"/>
                <w:color w:val="48545E" w:themeColor="accent2"/>
              </w:rPr>
            </w:pPr>
            <w:r w:rsidRPr="007132FF" w:rsidDel="00D40EB2">
              <w:rPr>
                <w:color w:val="48545E" w:themeColor="accent2"/>
              </w:rPr>
              <w:t>Activity</w:t>
            </w:r>
          </w:p>
        </w:tc>
        <w:tc>
          <w:tcPr>
            <w:tcW w:w="7513" w:type="dxa"/>
          </w:tcPr>
          <w:p w14:paraId="796E9A6A" w14:textId="77777777" w:rsidR="00313D57" w:rsidRPr="007132FF" w:rsidRDefault="00313D57" w:rsidP="00313D57">
            <w:pPr>
              <w:cnfStyle w:val="100000000000" w:firstRow="1" w:lastRow="0" w:firstColumn="0" w:lastColumn="0" w:oddVBand="0" w:evenVBand="0" w:oddHBand="0" w:evenHBand="0" w:firstRowFirstColumn="0" w:firstRowLastColumn="0" w:lastRowFirstColumn="0" w:lastRowLastColumn="0"/>
              <w:rPr>
                <w:b w:val="0"/>
                <w:bCs w:val="0"/>
                <w:color w:val="48545E" w:themeColor="accent2"/>
              </w:rPr>
            </w:pPr>
            <w:r w:rsidRPr="007132FF">
              <w:rPr>
                <w:color w:val="48545E" w:themeColor="accent2"/>
              </w:rPr>
              <w:t>Details</w:t>
            </w:r>
          </w:p>
        </w:tc>
      </w:tr>
      <w:tr w:rsidR="00313D57" w:rsidRPr="00313D57" w14:paraId="5CDE90FB" w14:textId="77777777" w:rsidTr="0071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4258E15" w14:textId="77777777" w:rsidR="00313D57" w:rsidRPr="00313D57" w:rsidRDefault="00313D57" w:rsidP="00313D57">
            <w:pPr>
              <w:rPr>
                <w:b w:val="0"/>
              </w:rPr>
            </w:pPr>
            <w:r w:rsidRPr="00313D57">
              <w:t>Inquiry – Northern Basin Toolkit</w:t>
            </w:r>
          </w:p>
        </w:tc>
        <w:tc>
          <w:tcPr>
            <w:tcW w:w="7513" w:type="dxa"/>
          </w:tcPr>
          <w:p w14:paraId="4FC893E5" w14:textId="77777777" w:rsidR="00313D57" w:rsidRPr="00313D57" w:rsidRDefault="00313D57" w:rsidP="00313D57">
            <w:pPr>
              <w:cnfStyle w:val="000000100000" w:firstRow="0" w:lastRow="0" w:firstColumn="0" w:lastColumn="0" w:oddVBand="0" w:evenVBand="0" w:oddHBand="1" w:evenHBand="0" w:firstRowFirstColumn="0" w:firstRowLastColumn="0" w:lastRowFirstColumn="0" w:lastRowLastColumn="0"/>
            </w:pPr>
            <w:r w:rsidRPr="00313D57">
              <w:t>Deliver a report on the Inquiry into the Northern Basin Toolkit. The terms of reference for the inquiry, commenced in October 2024, allow for a comprehensive review of all aspects of the Toolkit program, including implementation, design, governance, expenditure, effectiveness and outcomes.</w:t>
            </w:r>
          </w:p>
        </w:tc>
      </w:tr>
      <w:tr w:rsidR="00313D57" w:rsidRPr="00313D57" w14:paraId="1707F2EC" w14:textId="77777777" w:rsidTr="007132FF">
        <w:tc>
          <w:tcPr>
            <w:cnfStyle w:val="001000000000" w:firstRow="0" w:lastRow="0" w:firstColumn="1" w:lastColumn="0" w:oddVBand="0" w:evenVBand="0" w:oddHBand="0" w:evenHBand="0" w:firstRowFirstColumn="0" w:firstRowLastColumn="0" w:lastRowFirstColumn="0" w:lastRowLastColumn="0"/>
            <w:tcW w:w="2410" w:type="dxa"/>
          </w:tcPr>
          <w:p w14:paraId="616CD063" w14:textId="77777777" w:rsidR="00313D57" w:rsidRPr="00313D57" w:rsidRDefault="00313D57" w:rsidP="00313D57">
            <w:pPr>
              <w:rPr>
                <w:b w:val="0"/>
              </w:rPr>
            </w:pPr>
            <w:r w:rsidRPr="00313D57">
              <w:t>Audit – sustainable use and management of groundwater resources in NSW</w:t>
            </w:r>
          </w:p>
        </w:tc>
        <w:tc>
          <w:tcPr>
            <w:tcW w:w="7513" w:type="dxa"/>
          </w:tcPr>
          <w:p w14:paraId="268352B0" w14:textId="77777777" w:rsidR="00313D57" w:rsidRPr="00313D57" w:rsidRDefault="00313D57" w:rsidP="00313D57">
            <w:pPr>
              <w:cnfStyle w:val="000000000000" w:firstRow="0" w:lastRow="0" w:firstColumn="0" w:lastColumn="0" w:oddVBand="0" w:evenVBand="0" w:oddHBand="0" w:evenHBand="0" w:firstRowFirstColumn="0" w:firstRowLastColumn="0" w:lastRowFirstColumn="0" w:lastRowLastColumn="0"/>
            </w:pPr>
            <w:r w:rsidRPr="00313D57">
              <w:t>Deliver an audit report into the sustainable use and management of groundwater resources in the Macquarie-Castlereagh water resource plan area. The audit will focus on the rules and commitments made in water resource plan addressing sections 10.18, 10.19 and 10.20 of the Basin Plan. The audit report will determine whether rules are being implemented to ensure the integrity of groundwater systems is protected and that environmental watering requirements are not being compromised.</w:t>
            </w:r>
          </w:p>
        </w:tc>
      </w:tr>
      <w:tr w:rsidR="00313D57" w:rsidRPr="00313D57" w14:paraId="173B48DE" w14:textId="77777777" w:rsidTr="0071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6FEF811" w14:textId="77777777" w:rsidR="00313D57" w:rsidRPr="00313D57" w:rsidRDefault="00313D57" w:rsidP="00313D57">
            <w:pPr>
              <w:rPr>
                <w:b w:val="0"/>
              </w:rPr>
            </w:pPr>
            <w:r w:rsidRPr="00313D57">
              <w:t>Audit – Planning for environmental watering</w:t>
            </w:r>
          </w:p>
        </w:tc>
        <w:tc>
          <w:tcPr>
            <w:tcW w:w="7513" w:type="dxa"/>
          </w:tcPr>
          <w:p w14:paraId="1E7F5DB9" w14:textId="77777777" w:rsidR="00313D57" w:rsidRPr="00313D57" w:rsidRDefault="00313D57" w:rsidP="00313D57">
            <w:pPr>
              <w:cnfStyle w:val="000000100000" w:firstRow="0" w:lastRow="0" w:firstColumn="0" w:lastColumn="0" w:oddVBand="0" w:evenVBand="0" w:oddHBand="1" w:evenHBand="0" w:firstRowFirstColumn="0" w:firstRowLastColumn="0" w:lastRowFirstColumn="0" w:lastRowLastColumn="0"/>
            </w:pPr>
            <w:r w:rsidRPr="00313D57">
              <w:t>Deliver an audit report into the implementation of rules and commitments made in the NSW Intersecting Streams and Victorian Murray water resource plans when planning for environmental watering. The audit focusses on sections 10.26, 10.27 and 10.28 of the Basin Plan and aims to provide visibility on how environmental watering is planned for in water resource plan areas that contain significant wetlands.</w:t>
            </w:r>
          </w:p>
        </w:tc>
      </w:tr>
      <w:tr w:rsidR="00313D57" w:rsidRPr="00313D57" w14:paraId="4BD333ED" w14:textId="77777777" w:rsidTr="007132FF">
        <w:tc>
          <w:tcPr>
            <w:cnfStyle w:val="001000000000" w:firstRow="0" w:lastRow="0" w:firstColumn="1" w:lastColumn="0" w:oddVBand="0" w:evenVBand="0" w:oddHBand="0" w:evenHBand="0" w:firstRowFirstColumn="0" w:firstRowLastColumn="0" w:lastRowFirstColumn="0" w:lastRowLastColumn="0"/>
            <w:tcW w:w="2410" w:type="dxa"/>
          </w:tcPr>
          <w:p w14:paraId="58672B23" w14:textId="77777777" w:rsidR="00313D57" w:rsidRPr="00313D57" w:rsidRDefault="00313D57" w:rsidP="00313D57">
            <w:pPr>
              <w:rPr>
                <w:bCs w:val="0"/>
              </w:rPr>
            </w:pPr>
            <w:r w:rsidRPr="00313D57">
              <w:t>Compliance Compact review</w:t>
            </w:r>
          </w:p>
        </w:tc>
        <w:tc>
          <w:tcPr>
            <w:tcW w:w="7513" w:type="dxa"/>
          </w:tcPr>
          <w:p w14:paraId="08EECA4A" w14:textId="77777777" w:rsidR="00313D57" w:rsidRPr="00313D57" w:rsidRDefault="00313D57" w:rsidP="00313D57">
            <w:pPr>
              <w:cnfStyle w:val="000000000000" w:firstRow="0" w:lastRow="0" w:firstColumn="0" w:lastColumn="0" w:oddVBand="0" w:evenVBand="0" w:oddHBand="0" w:evenHBand="0" w:firstRowFirstColumn="0" w:firstRowLastColumn="0" w:lastRowFirstColumn="0" w:lastRowLastColumn="0"/>
            </w:pPr>
            <w:r w:rsidRPr="00313D57">
              <w:t xml:space="preserve">Complete a stocktake of the status of implementation of commitments under the </w:t>
            </w:r>
            <w:r w:rsidRPr="00313D57">
              <w:rPr>
                <w:i/>
                <w:iCs/>
              </w:rPr>
              <w:t>Murray-Darling Basin Plan Compliance Compact</w:t>
            </w:r>
            <w:r w:rsidRPr="00313D57">
              <w:t xml:space="preserve"> (Compliance Compact), producing an evidence base on Compliance Compact implementation and allowing for consideration of further compliance priorities to support Basin Plan outcomes once the Compact concludes at the end of 2025.</w:t>
            </w:r>
          </w:p>
        </w:tc>
      </w:tr>
      <w:tr w:rsidR="00313D57" w:rsidRPr="00313D57" w14:paraId="78E49DE0" w14:textId="77777777" w:rsidTr="00713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07BEA09" w14:textId="77777777" w:rsidR="00313D57" w:rsidRPr="00313D57" w:rsidRDefault="00313D57" w:rsidP="00313D57">
            <w:pPr>
              <w:rPr>
                <w:b w:val="0"/>
              </w:rPr>
            </w:pPr>
            <w:r w:rsidRPr="00313D57">
              <w:t>Compliance performance reporting</w:t>
            </w:r>
          </w:p>
        </w:tc>
        <w:tc>
          <w:tcPr>
            <w:tcW w:w="7513" w:type="dxa"/>
          </w:tcPr>
          <w:p w14:paraId="2CCE1411" w14:textId="77777777" w:rsidR="00313D57" w:rsidRPr="00313D57" w:rsidRDefault="00313D57" w:rsidP="00313D57">
            <w:pPr>
              <w:cnfStyle w:val="000000100000" w:firstRow="0" w:lastRow="0" w:firstColumn="0" w:lastColumn="0" w:oddVBand="0" w:evenVBand="0" w:oddHBand="1" w:evenHBand="0" w:firstRowFirstColumn="0" w:firstRowLastColumn="0" w:lastRowFirstColumn="0" w:lastRowLastColumn="0"/>
            </w:pPr>
            <w:r w:rsidRPr="00313D57">
              <w:t>Establish foundations for consistent annual reporting on water compliance performance and outcomes by Basin States, addressing a current gap in visibility from a Basin-wide perspective. Publish an annual compliance performance and outcomes report to provide transparency on Basin State compliance performance and outcomes to support Basin Plan implementation.</w:t>
            </w:r>
          </w:p>
        </w:tc>
      </w:tr>
    </w:tbl>
    <w:p w14:paraId="2EE2814B" w14:textId="77777777" w:rsidR="00186E73" w:rsidRPr="00186E73" w:rsidRDefault="00186E73" w:rsidP="00186E73"/>
    <w:sectPr w:rsidR="00186E73" w:rsidRPr="00186E73" w:rsidSect="00D775D1">
      <w:headerReference w:type="even" r:id="rId24"/>
      <w:headerReference w:type="default" r:id="rId25"/>
      <w:footerReference w:type="even" r:id="rId26"/>
      <w:footerReference w:type="default" r:id="rId27"/>
      <w:headerReference w:type="first" r:id="rId28"/>
      <w:footerReference w:type="first" r:id="rId29"/>
      <w:pgSz w:w="11906" w:h="16838"/>
      <w:pgMar w:top="1284" w:right="1134" w:bottom="816" w:left="1134" w:header="425" w:footer="9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FEC2A" w14:textId="77777777" w:rsidR="002E72A8" w:rsidRDefault="002E72A8">
      <w:r>
        <w:separator/>
      </w:r>
    </w:p>
  </w:endnote>
  <w:endnote w:type="continuationSeparator" w:id="0">
    <w:p w14:paraId="1DD3711A" w14:textId="77777777" w:rsidR="002E72A8" w:rsidRDefault="002E72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37AE6" w14:textId="09DCD460" w:rsidR="0046450A" w:rsidRPr="00473F5B" w:rsidRDefault="00473F5B" w:rsidP="00473F5B">
    <w:pPr>
      <w:pStyle w:val="Footer"/>
      <w:tabs>
        <w:tab w:val="clear" w:pos="4513"/>
        <w:tab w:val="clear" w:pos="9026"/>
        <w:tab w:val="right" w:pos="9638"/>
      </w:tabs>
    </w:pPr>
    <w:r>
      <w:t>Inspector-General of Water Compliance</w:t>
    </w:r>
    <w:r w:rsidR="009251B9">
      <w:t xml:space="preserve"> | Annual Work Plan 2025-26</w:t>
    </w:r>
    <w:r>
      <w:tab/>
    </w:r>
    <w:r>
      <w:fldChar w:fldCharType="begin"/>
    </w:r>
    <w:r>
      <w:instrText xml:space="preserve"> PAGE   \* MERGEFORMAT </w:instrText>
    </w:r>
    <w:r>
      <w:fldChar w:fldCharType="separate"/>
    </w:r>
    <w: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52873" w14:textId="2BD3E59E" w:rsidR="009F0367" w:rsidRPr="002C07A5" w:rsidRDefault="009F0367" w:rsidP="002C07A5">
    <w:pPr>
      <w:pStyle w:val="Footer"/>
      <w:tabs>
        <w:tab w:val="clear" w:pos="4513"/>
        <w:tab w:val="clear" w:pos="9026"/>
        <w:tab w:val="right" w:pos="9638"/>
      </w:tabs>
      <w:rPr>
        <w:color w:val="FFFFF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ED997" w14:textId="77777777" w:rsidR="000031BF" w:rsidRDefault="000031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A8E91" w14:textId="43830CF4" w:rsidR="000031BF" w:rsidRDefault="00EA74F0">
    <w:pPr>
      <w:pStyle w:val="Footer"/>
    </w:pPr>
    <w:r>
      <w:t>Inspector-General of Water Compliance | Annual Work Plan 2025-26</w:t>
    </w:r>
    <w:r>
      <w:tab/>
    </w:r>
    <w:r w:rsidR="008C2DF2">
      <w:fldChar w:fldCharType="begin"/>
    </w:r>
    <w:r w:rsidR="008C2DF2">
      <w:instrText xml:space="preserve"> PAGE   \* MERGEFORMAT </w:instrText>
    </w:r>
    <w:r w:rsidR="008C2DF2">
      <w:fldChar w:fldCharType="separate"/>
    </w:r>
    <w:r w:rsidR="008C2DF2">
      <w:rPr>
        <w:noProof/>
      </w:rPr>
      <w:t>1</w:t>
    </w:r>
    <w:r w:rsidR="008C2DF2">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E4A9C" w14:textId="7CD2CAD1" w:rsidR="00B25458" w:rsidRPr="002C07A5" w:rsidRDefault="00B25458" w:rsidP="002C07A5">
    <w:pPr>
      <w:pStyle w:val="Footer"/>
      <w:tabs>
        <w:tab w:val="clear" w:pos="4513"/>
        <w:tab w:val="clear" w:pos="9026"/>
        <w:tab w:val="right" w:pos="9638"/>
      </w:tabs>
      <w:rPr>
        <w:color w:val="FFFFFF"/>
      </w:rPr>
    </w:pPr>
    <w:r w:rsidRPr="002C07A5">
      <w:rPr>
        <w:color w:val="FFFFFF"/>
      </w:rPr>
      <w:t>Inspector-General of Water Compliance</w:t>
    </w:r>
    <w:r w:rsidR="00EA74F0">
      <w:rPr>
        <w:color w:val="FFFFFF"/>
      </w:rPr>
      <w:t xml:space="preserve"> | Annual Work Plan 2025-26</w:t>
    </w:r>
    <w:r w:rsidRPr="002C07A5">
      <w:rPr>
        <w:color w:val="FFFFFF"/>
      </w:rPr>
      <w:tab/>
    </w:r>
    <w:r w:rsidRPr="002C07A5">
      <w:rPr>
        <w:color w:val="FFFFFF"/>
      </w:rPr>
      <w:fldChar w:fldCharType="begin"/>
    </w:r>
    <w:r w:rsidRPr="002C07A5">
      <w:rPr>
        <w:color w:val="FFFFFF"/>
      </w:rPr>
      <w:instrText xml:space="preserve"> PAGE   \* MERGEFORMAT </w:instrText>
    </w:r>
    <w:r w:rsidRPr="002C07A5">
      <w:rPr>
        <w:color w:val="FFFFFF"/>
      </w:rPr>
      <w:fldChar w:fldCharType="separate"/>
    </w:r>
    <w:r w:rsidRPr="002C07A5">
      <w:rPr>
        <w:color w:val="FFFFFF"/>
      </w:rPr>
      <w:t>3</w:t>
    </w:r>
    <w:r w:rsidRPr="002C07A5">
      <w:rPr>
        <w:noProof/>
        <w:color w:val="FFFFF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2168D" w14:textId="77777777" w:rsidR="002E72A8" w:rsidRDefault="002E72A8">
      <w:r>
        <w:separator/>
      </w:r>
    </w:p>
  </w:footnote>
  <w:footnote w:type="continuationSeparator" w:id="0">
    <w:p w14:paraId="4565122D" w14:textId="77777777" w:rsidR="002E72A8" w:rsidRDefault="002E72A8">
      <w:r>
        <w:continuationSeparator/>
      </w:r>
    </w:p>
  </w:footnote>
  <w:footnote w:id="1">
    <w:p w14:paraId="06E46D64" w14:textId="512C4356" w:rsidR="00D6375B" w:rsidRPr="00D6375B" w:rsidRDefault="00D6375B">
      <w:pPr>
        <w:pStyle w:val="FootnoteText"/>
        <w:rPr>
          <w:lang w:val="en-US"/>
        </w:rPr>
      </w:pPr>
      <w:r>
        <w:rPr>
          <w:rStyle w:val="FootnoteReference"/>
        </w:rPr>
        <w:footnoteRef/>
      </w:r>
      <w:r>
        <w:t xml:space="preserve"> </w:t>
      </w:r>
      <w:hyperlink r:id="rId1" w:history="1">
        <w:r w:rsidR="006E0BD1" w:rsidRPr="006E0BD1">
          <w:rPr>
            <w:rStyle w:val="Hyperlink"/>
          </w:rPr>
          <w:t>Roadmap to the 2026 Basin Plan Review | Murray–Darling Basin Authority</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FF934" w14:textId="44329794" w:rsidR="00CD346C" w:rsidRDefault="003A39E1">
    <w:pPr>
      <w:pStyle w:val="Header"/>
    </w:pPr>
    <w:r>
      <w:rPr>
        <w:noProof/>
      </w:rPr>
      <w:drawing>
        <wp:anchor distT="0" distB="0" distL="114300" distR="114300" simplePos="0" relativeHeight="251662336" behindDoc="1" locked="0" layoutInCell="1" allowOverlap="1" wp14:anchorId="63EDE2AD" wp14:editId="59B97309">
          <wp:simplePos x="0" y="0"/>
          <wp:positionH relativeFrom="column">
            <wp:posOffset>2410460</wp:posOffset>
          </wp:positionH>
          <wp:positionV relativeFrom="paragraph">
            <wp:posOffset>1670050</wp:posOffset>
          </wp:positionV>
          <wp:extent cx="7150048" cy="8866060"/>
          <wp:effectExtent l="0" t="0" r="63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7150048" cy="886606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D986A" w14:textId="37853894" w:rsidR="00473F5B" w:rsidRDefault="00473F5B" w:rsidP="005C5D99">
    <w:r w:rsidRPr="003A6733">
      <w:rPr>
        <w:noProof/>
      </w:rPr>
      <w:drawing>
        <wp:anchor distT="0" distB="0" distL="114300" distR="114300" simplePos="0" relativeHeight="251658239" behindDoc="1" locked="0" layoutInCell="1" allowOverlap="1" wp14:anchorId="1BD1B32C" wp14:editId="2C76A437">
          <wp:simplePos x="0" y="0"/>
          <wp:positionH relativeFrom="column">
            <wp:posOffset>-732790</wp:posOffset>
          </wp:positionH>
          <wp:positionV relativeFrom="paragraph">
            <wp:posOffset>-339725</wp:posOffset>
          </wp:positionV>
          <wp:extent cx="7597588" cy="10751549"/>
          <wp:effectExtent l="0" t="0" r="0" b="571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7588" cy="10751549"/>
                  </a:xfrm>
                  <a:prstGeom prst="rect">
                    <a:avLst/>
                  </a:prstGeom>
                </pic:spPr>
              </pic:pic>
            </a:graphicData>
          </a:graphic>
          <wp14:sizeRelH relativeFrom="page">
            <wp14:pctWidth>0</wp14:pctWidth>
          </wp14:sizeRelH>
          <wp14:sizeRelV relativeFrom="page">
            <wp14:pctHeight>0</wp14:pctHeight>
          </wp14:sizeRelV>
        </wp:anchor>
      </w:drawing>
    </w:r>
  </w:p>
  <w:p w14:paraId="252C6567" w14:textId="7641654D" w:rsidR="00473F5B" w:rsidRDefault="00473F5B" w:rsidP="005C5D99"/>
  <w:p w14:paraId="73BFFFC6" w14:textId="7FF26F01" w:rsidR="00473F5B" w:rsidRDefault="00473F5B" w:rsidP="005C5D99"/>
  <w:p w14:paraId="2EDDB6F7" w14:textId="635470C0" w:rsidR="00473F5B" w:rsidRDefault="00473F5B" w:rsidP="005C5D99"/>
  <w:p w14:paraId="2683189A" w14:textId="4C5888D5" w:rsidR="00473F5B" w:rsidRDefault="00473F5B" w:rsidP="005C5D99"/>
  <w:p w14:paraId="3A0EC190" w14:textId="1CADC713" w:rsidR="00473F5B" w:rsidRDefault="00473F5B" w:rsidP="005C5D99"/>
  <w:p w14:paraId="0B4BD0BB" w14:textId="77777777" w:rsidR="00473F5B" w:rsidRDefault="00473F5B" w:rsidP="005C5D99"/>
  <w:p w14:paraId="5DA02233" w14:textId="5CAEC33F" w:rsidR="001345C9" w:rsidRDefault="001345C9" w:rsidP="005C5D99"/>
  <w:p w14:paraId="79B3195C" w14:textId="30DA5E69" w:rsidR="00617D03" w:rsidRPr="00DC6237" w:rsidRDefault="001345C9" w:rsidP="00071327">
    <w:pPr>
      <w:rPr>
        <w:color w:val="00B050"/>
      </w:rPr>
    </w:pPr>
    <w:r>
      <w:rPr>
        <w:noProof/>
      </w:rPr>
      <w:drawing>
        <wp:anchor distT="0" distB="0" distL="114300" distR="114300" simplePos="0" relativeHeight="251659264" behindDoc="1" locked="0" layoutInCell="1" allowOverlap="1" wp14:anchorId="5FA9B021" wp14:editId="1B68199B">
          <wp:simplePos x="0" y="0"/>
          <wp:positionH relativeFrom="page">
            <wp:posOffset>622300</wp:posOffset>
          </wp:positionH>
          <wp:positionV relativeFrom="page">
            <wp:posOffset>546100</wp:posOffset>
          </wp:positionV>
          <wp:extent cx="3600450" cy="1040130"/>
          <wp:effectExtent l="0" t="0" r="0" b="0"/>
          <wp:wrapNone/>
          <wp:docPr id="6" name="Picture 13" descr="Asustralian Government coat of arms beside the Inspector-General of Water Compliance'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3" descr="Asustralian Government coat of arms beside the Inspector-General of Water Compliance's logo."/>
                  <pic:cNvPicPr>
                    <a:picLocks/>
                  </pic:cNvPicPr>
                </pic:nvPicPr>
                <pic:blipFill>
                  <a:blip r:embed="rId2">
                    <a:extLst>
                      <a:ext uri="{28A0092B-C50C-407E-A947-70E740481C1C}">
                        <a14:useLocalDpi xmlns:a14="http://schemas.microsoft.com/office/drawing/2010/main" val="0"/>
                      </a:ext>
                    </a:extLst>
                  </a:blip>
                  <a:stretch>
                    <a:fillRect/>
                  </a:stretch>
                </pic:blipFill>
                <pic:spPr bwMode="auto">
                  <a:xfrm>
                    <a:off x="0" y="0"/>
                    <a:ext cx="3600450"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24AF20" w14:textId="77777777" w:rsidR="000031BF" w:rsidRDefault="000031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DF5A4" w14:textId="77777777" w:rsidR="000031BF" w:rsidRDefault="000031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BFD6C" w14:textId="50BEDBCF" w:rsidR="002C07A5" w:rsidRPr="00DC6237" w:rsidRDefault="002C07A5" w:rsidP="00071327">
    <w:pPr>
      <w:rPr>
        <w:color w:val="00B050"/>
      </w:rPr>
    </w:pPr>
    <w:r>
      <w:rPr>
        <w:noProof/>
        <w:color w:val="00B050"/>
      </w:rPr>
      <w:drawing>
        <wp:anchor distT="0" distB="0" distL="114300" distR="114300" simplePos="0" relativeHeight="251660288" behindDoc="1" locked="0" layoutInCell="1" allowOverlap="1" wp14:anchorId="45037C59" wp14:editId="03AB1260">
          <wp:simplePos x="0" y="0"/>
          <wp:positionH relativeFrom="column">
            <wp:posOffset>-746984</wp:posOffset>
          </wp:positionH>
          <wp:positionV relativeFrom="paragraph">
            <wp:posOffset>-256428</wp:posOffset>
          </wp:positionV>
          <wp:extent cx="7570694" cy="10713498"/>
          <wp:effectExtent l="0" t="0" r="0" b="571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0648" cy="1072758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0424A5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D2C7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3BCAD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F4869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5D4BD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708B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0469A8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4401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744B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D2E6B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1" w15:restartNumberingAfterBreak="0">
    <w:nsid w:val="0F6F4874"/>
    <w:multiLevelType w:val="hybridMultilevel"/>
    <w:tmpl w:val="7FA08D24"/>
    <w:lvl w:ilvl="0" w:tplc="0C090019">
      <w:start w:val="1"/>
      <w:numFmt w:val="lowerLetter"/>
      <w:lvlText w:val="%1."/>
      <w:lvlJc w:val="left"/>
      <w:pPr>
        <w:ind w:left="1089" w:hanging="360"/>
      </w:pPr>
    </w:lvl>
    <w:lvl w:ilvl="1" w:tplc="0C090019" w:tentative="1">
      <w:start w:val="1"/>
      <w:numFmt w:val="lowerLetter"/>
      <w:lvlText w:val="%2."/>
      <w:lvlJc w:val="left"/>
      <w:pPr>
        <w:ind w:left="1809" w:hanging="360"/>
      </w:pPr>
    </w:lvl>
    <w:lvl w:ilvl="2" w:tplc="0C09001B" w:tentative="1">
      <w:start w:val="1"/>
      <w:numFmt w:val="lowerRoman"/>
      <w:lvlText w:val="%3."/>
      <w:lvlJc w:val="right"/>
      <w:pPr>
        <w:ind w:left="2529" w:hanging="180"/>
      </w:pPr>
    </w:lvl>
    <w:lvl w:ilvl="3" w:tplc="0C09000F" w:tentative="1">
      <w:start w:val="1"/>
      <w:numFmt w:val="decimal"/>
      <w:lvlText w:val="%4."/>
      <w:lvlJc w:val="left"/>
      <w:pPr>
        <w:ind w:left="3249" w:hanging="360"/>
      </w:pPr>
    </w:lvl>
    <w:lvl w:ilvl="4" w:tplc="0C090019" w:tentative="1">
      <w:start w:val="1"/>
      <w:numFmt w:val="lowerLetter"/>
      <w:lvlText w:val="%5."/>
      <w:lvlJc w:val="left"/>
      <w:pPr>
        <w:ind w:left="3969" w:hanging="360"/>
      </w:pPr>
    </w:lvl>
    <w:lvl w:ilvl="5" w:tplc="0C09001B" w:tentative="1">
      <w:start w:val="1"/>
      <w:numFmt w:val="lowerRoman"/>
      <w:lvlText w:val="%6."/>
      <w:lvlJc w:val="right"/>
      <w:pPr>
        <w:ind w:left="4689" w:hanging="180"/>
      </w:pPr>
    </w:lvl>
    <w:lvl w:ilvl="6" w:tplc="0C09000F" w:tentative="1">
      <w:start w:val="1"/>
      <w:numFmt w:val="decimal"/>
      <w:lvlText w:val="%7."/>
      <w:lvlJc w:val="left"/>
      <w:pPr>
        <w:ind w:left="5409" w:hanging="360"/>
      </w:pPr>
    </w:lvl>
    <w:lvl w:ilvl="7" w:tplc="0C090019" w:tentative="1">
      <w:start w:val="1"/>
      <w:numFmt w:val="lowerLetter"/>
      <w:lvlText w:val="%8."/>
      <w:lvlJc w:val="left"/>
      <w:pPr>
        <w:ind w:left="6129" w:hanging="360"/>
      </w:pPr>
    </w:lvl>
    <w:lvl w:ilvl="8" w:tplc="0C09001B" w:tentative="1">
      <w:start w:val="1"/>
      <w:numFmt w:val="lowerRoman"/>
      <w:lvlText w:val="%9."/>
      <w:lvlJc w:val="right"/>
      <w:pPr>
        <w:ind w:left="6849" w:hanging="180"/>
      </w:pPr>
    </w:lvl>
  </w:abstractNum>
  <w:abstractNum w:abstractNumId="12" w15:restartNumberingAfterBreak="0">
    <w:nsid w:val="1D7120FB"/>
    <w:multiLevelType w:val="singleLevel"/>
    <w:tmpl w:val="2000EDEA"/>
    <w:lvl w:ilvl="0">
      <w:start w:val="1"/>
      <w:numFmt w:val="upperLetter"/>
      <w:lvlText w:val="%1:"/>
      <w:lvlJc w:val="left"/>
      <w:pPr>
        <w:ind w:left="360" w:hanging="360"/>
      </w:pPr>
      <w:rPr>
        <w:rFonts w:hint="default"/>
        <w:sz w:val="22"/>
      </w:rPr>
    </w:lvl>
  </w:abstractNum>
  <w:abstractNum w:abstractNumId="13" w15:restartNumberingAfterBreak="0">
    <w:nsid w:val="1F745BC2"/>
    <w:multiLevelType w:val="multilevel"/>
    <w:tmpl w:val="E5E89F92"/>
    <w:numStyleLink w:val="BulletList"/>
  </w:abstractNum>
  <w:abstractNum w:abstractNumId="14" w15:restartNumberingAfterBreak="0">
    <w:nsid w:val="3098052F"/>
    <w:multiLevelType w:val="multilevel"/>
    <w:tmpl w:val="473EA67C"/>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7F8614D"/>
    <w:multiLevelType w:val="hybridMultilevel"/>
    <w:tmpl w:val="26CE1DDA"/>
    <w:lvl w:ilvl="0" w:tplc="0C090017">
      <w:start w:val="1"/>
      <w:numFmt w:val="lowerLetter"/>
      <w:lvlText w:val="%1)"/>
      <w:lvlJc w:val="left"/>
      <w:pPr>
        <w:ind w:left="1089" w:hanging="360"/>
      </w:pPr>
    </w:lvl>
    <w:lvl w:ilvl="1" w:tplc="0C090019" w:tentative="1">
      <w:start w:val="1"/>
      <w:numFmt w:val="lowerLetter"/>
      <w:lvlText w:val="%2."/>
      <w:lvlJc w:val="left"/>
      <w:pPr>
        <w:ind w:left="1809" w:hanging="360"/>
      </w:pPr>
    </w:lvl>
    <w:lvl w:ilvl="2" w:tplc="0C09001B" w:tentative="1">
      <w:start w:val="1"/>
      <w:numFmt w:val="lowerRoman"/>
      <w:lvlText w:val="%3."/>
      <w:lvlJc w:val="right"/>
      <w:pPr>
        <w:ind w:left="2529" w:hanging="180"/>
      </w:pPr>
    </w:lvl>
    <w:lvl w:ilvl="3" w:tplc="0C09000F" w:tentative="1">
      <w:start w:val="1"/>
      <w:numFmt w:val="decimal"/>
      <w:lvlText w:val="%4."/>
      <w:lvlJc w:val="left"/>
      <w:pPr>
        <w:ind w:left="3249" w:hanging="360"/>
      </w:pPr>
    </w:lvl>
    <w:lvl w:ilvl="4" w:tplc="0C090019" w:tentative="1">
      <w:start w:val="1"/>
      <w:numFmt w:val="lowerLetter"/>
      <w:lvlText w:val="%5."/>
      <w:lvlJc w:val="left"/>
      <w:pPr>
        <w:ind w:left="3969" w:hanging="360"/>
      </w:pPr>
    </w:lvl>
    <w:lvl w:ilvl="5" w:tplc="0C09001B" w:tentative="1">
      <w:start w:val="1"/>
      <w:numFmt w:val="lowerRoman"/>
      <w:lvlText w:val="%6."/>
      <w:lvlJc w:val="right"/>
      <w:pPr>
        <w:ind w:left="4689" w:hanging="180"/>
      </w:pPr>
    </w:lvl>
    <w:lvl w:ilvl="6" w:tplc="0C09000F" w:tentative="1">
      <w:start w:val="1"/>
      <w:numFmt w:val="decimal"/>
      <w:lvlText w:val="%7."/>
      <w:lvlJc w:val="left"/>
      <w:pPr>
        <w:ind w:left="5409" w:hanging="360"/>
      </w:pPr>
    </w:lvl>
    <w:lvl w:ilvl="7" w:tplc="0C090019" w:tentative="1">
      <w:start w:val="1"/>
      <w:numFmt w:val="lowerLetter"/>
      <w:lvlText w:val="%8."/>
      <w:lvlJc w:val="left"/>
      <w:pPr>
        <w:ind w:left="6129" w:hanging="360"/>
      </w:pPr>
    </w:lvl>
    <w:lvl w:ilvl="8" w:tplc="0C09001B" w:tentative="1">
      <w:start w:val="1"/>
      <w:numFmt w:val="lowerRoman"/>
      <w:lvlText w:val="%9."/>
      <w:lvlJc w:val="right"/>
      <w:pPr>
        <w:ind w:left="6849" w:hanging="180"/>
      </w:pPr>
    </w:lvl>
  </w:abstractNum>
  <w:abstractNum w:abstractNumId="17" w15:restartNumberingAfterBreak="0">
    <w:nsid w:val="3CF373BC"/>
    <w:multiLevelType w:val="hybridMultilevel"/>
    <w:tmpl w:val="99AE2040"/>
    <w:lvl w:ilvl="0" w:tplc="0C090001">
      <w:start w:val="1"/>
      <w:numFmt w:val="bullet"/>
      <w:lvlText w:val=""/>
      <w:lvlJc w:val="left"/>
      <w:pPr>
        <w:ind w:left="906" w:hanging="360"/>
      </w:pPr>
      <w:rPr>
        <w:rFonts w:ascii="Symbol" w:hAnsi="Symbol" w:hint="default"/>
      </w:rPr>
    </w:lvl>
    <w:lvl w:ilvl="1" w:tplc="0C090003" w:tentative="1">
      <w:start w:val="1"/>
      <w:numFmt w:val="bullet"/>
      <w:lvlText w:val="o"/>
      <w:lvlJc w:val="left"/>
      <w:pPr>
        <w:ind w:left="1626" w:hanging="360"/>
      </w:pPr>
      <w:rPr>
        <w:rFonts w:ascii="Courier New" w:hAnsi="Courier New" w:cs="Courier New" w:hint="default"/>
      </w:rPr>
    </w:lvl>
    <w:lvl w:ilvl="2" w:tplc="0C090005" w:tentative="1">
      <w:start w:val="1"/>
      <w:numFmt w:val="bullet"/>
      <w:lvlText w:val=""/>
      <w:lvlJc w:val="left"/>
      <w:pPr>
        <w:ind w:left="2346" w:hanging="360"/>
      </w:pPr>
      <w:rPr>
        <w:rFonts w:ascii="Wingdings" w:hAnsi="Wingdings" w:hint="default"/>
      </w:rPr>
    </w:lvl>
    <w:lvl w:ilvl="3" w:tplc="0C090001" w:tentative="1">
      <w:start w:val="1"/>
      <w:numFmt w:val="bullet"/>
      <w:lvlText w:val=""/>
      <w:lvlJc w:val="left"/>
      <w:pPr>
        <w:ind w:left="3066" w:hanging="360"/>
      </w:pPr>
      <w:rPr>
        <w:rFonts w:ascii="Symbol" w:hAnsi="Symbol" w:hint="default"/>
      </w:rPr>
    </w:lvl>
    <w:lvl w:ilvl="4" w:tplc="0C090003" w:tentative="1">
      <w:start w:val="1"/>
      <w:numFmt w:val="bullet"/>
      <w:lvlText w:val="o"/>
      <w:lvlJc w:val="left"/>
      <w:pPr>
        <w:ind w:left="3786" w:hanging="360"/>
      </w:pPr>
      <w:rPr>
        <w:rFonts w:ascii="Courier New" w:hAnsi="Courier New" w:cs="Courier New" w:hint="default"/>
      </w:rPr>
    </w:lvl>
    <w:lvl w:ilvl="5" w:tplc="0C090005" w:tentative="1">
      <w:start w:val="1"/>
      <w:numFmt w:val="bullet"/>
      <w:lvlText w:val=""/>
      <w:lvlJc w:val="left"/>
      <w:pPr>
        <w:ind w:left="4506" w:hanging="360"/>
      </w:pPr>
      <w:rPr>
        <w:rFonts w:ascii="Wingdings" w:hAnsi="Wingdings" w:hint="default"/>
      </w:rPr>
    </w:lvl>
    <w:lvl w:ilvl="6" w:tplc="0C090001" w:tentative="1">
      <w:start w:val="1"/>
      <w:numFmt w:val="bullet"/>
      <w:lvlText w:val=""/>
      <w:lvlJc w:val="left"/>
      <w:pPr>
        <w:ind w:left="5226" w:hanging="360"/>
      </w:pPr>
      <w:rPr>
        <w:rFonts w:ascii="Symbol" w:hAnsi="Symbol" w:hint="default"/>
      </w:rPr>
    </w:lvl>
    <w:lvl w:ilvl="7" w:tplc="0C090003" w:tentative="1">
      <w:start w:val="1"/>
      <w:numFmt w:val="bullet"/>
      <w:lvlText w:val="o"/>
      <w:lvlJc w:val="left"/>
      <w:pPr>
        <w:ind w:left="5946" w:hanging="360"/>
      </w:pPr>
      <w:rPr>
        <w:rFonts w:ascii="Courier New" w:hAnsi="Courier New" w:cs="Courier New" w:hint="default"/>
      </w:rPr>
    </w:lvl>
    <w:lvl w:ilvl="8" w:tplc="0C090005" w:tentative="1">
      <w:start w:val="1"/>
      <w:numFmt w:val="bullet"/>
      <w:lvlText w:val=""/>
      <w:lvlJc w:val="left"/>
      <w:pPr>
        <w:ind w:left="6666" w:hanging="360"/>
      </w:pPr>
      <w:rPr>
        <w:rFonts w:ascii="Wingdings" w:hAnsi="Wingdings" w:hint="default"/>
      </w:rPr>
    </w:lvl>
  </w:abstractNum>
  <w:abstractNum w:abstractNumId="18" w15:restartNumberingAfterBreak="0">
    <w:nsid w:val="4BBA5DEF"/>
    <w:multiLevelType w:val="singleLevel"/>
    <w:tmpl w:val="27625AB4"/>
    <w:lvl w:ilvl="0">
      <w:start w:val="1"/>
      <w:numFmt w:val="decimal"/>
      <w:lvlText w:val="%1."/>
      <w:lvlJc w:val="left"/>
      <w:pPr>
        <w:tabs>
          <w:tab w:val="num" w:pos="357"/>
        </w:tabs>
        <w:ind w:left="357" w:hanging="357"/>
      </w:pPr>
      <w:rPr>
        <w:rFonts w:hint="default"/>
        <w:b w:val="0"/>
        <w:sz w:val="24"/>
        <w:szCs w:val="24"/>
      </w:rPr>
    </w:lvl>
  </w:abstractNum>
  <w:abstractNum w:abstractNumId="19" w15:restartNumberingAfterBreak="0">
    <w:nsid w:val="4C64641D"/>
    <w:multiLevelType w:val="hybridMultilevel"/>
    <w:tmpl w:val="69EAC6B4"/>
    <w:lvl w:ilvl="0" w:tplc="0C090001">
      <w:start w:val="1"/>
      <w:numFmt w:val="bullet"/>
      <w:lvlText w:val=""/>
      <w:lvlJc w:val="left"/>
      <w:pPr>
        <w:ind w:left="360" w:hanging="360"/>
      </w:pPr>
      <w:rPr>
        <w:rFonts w:ascii="Symbol" w:hAnsi="Symbol" w:hint="default"/>
      </w:rPr>
    </w:lvl>
    <w:lvl w:ilvl="1" w:tplc="6DF4B6FE">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0" w15:restartNumberingAfterBreak="0">
    <w:nsid w:val="56874575"/>
    <w:multiLevelType w:val="multilevel"/>
    <w:tmpl w:val="CEBEDF2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5CC95F71"/>
    <w:multiLevelType w:val="hybridMultilevel"/>
    <w:tmpl w:val="66E6DDBC"/>
    <w:lvl w:ilvl="0" w:tplc="0C09000F">
      <w:start w:val="1"/>
      <w:numFmt w:val="decimal"/>
      <w:lvlText w:val="%1."/>
      <w:lvlJc w:val="left"/>
      <w:pPr>
        <w:ind w:left="1089" w:hanging="360"/>
      </w:pPr>
    </w:lvl>
    <w:lvl w:ilvl="1" w:tplc="0C090019" w:tentative="1">
      <w:start w:val="1"/>
      <w:numFmt w:val="lowerLetter"/>
      <w:lvlText w:val="%2."/>
      <w:lvlJc w:val="left"/>
      <w:pPr>
        <w:ind w:left="1809" w:hanging="360"/>
      </w:pPr>
    </w:lvl>
    <w:lvl w:ilvl="2" w:tplc="0C09001B" w:tentative="1">
      <w:start w:val="1"/>
      <w:numFmt w:val="lowerRoman"/>
      <w:lvlText w:val="%3."/>
      <w:lvlJc w:val="right"/>
      <w:pPr>
        <w:ind w:left="2529" w:hanging="180"/>
      </w:pPr>
    </w:lvl>
    <w:lvl w:ilvl="3" w:tplc="0C09000F" w:tentative="1">
      <w:start w:val="1"/>
      <w:numFmt w:val="decimal"/>
      <w:lvlText w:val="%4."/>
      <w:lvlJc w:val="left"/>
      <w:pPr>
        <w:ind w:left="3249" w:hanging="360"/>
      </w:pPr>
    </w:lvl>
    <w:lvl w:ilvl="4" w:tplc="0C090019" w:tentative="1">
      <w:start w:val="1"/>
      <w:numFmt w:val="lowerLetter"/>
      <w:lvlText w:val="%5."/>
      <w:lvlJc w:val="left"/>
      <w:pPr>
        <w:ind w:left="3969" w:hanging="360"/>
      </w:pPr>
    </w:lvl>
    <w:lvl w:ilvl="5" w:tplc="0C09001B" w:tentative="1">
      <w:start w:val="1"/>
      <w:numFmt w:val="lowerRoman"/>
      <w:lvlText w:val="%6."/>
      <w:lvlJc w:val="right"/>
      <w:pPr>
        <w:ind w:left="4689" w:hanging="180"/>
      </w:pPr>
    </w:lvl>
    <w:lvl w:ilvl="6" w:tplc="0C09000F" w:tentative="1">
      <w:start w:val="1"/>
      <w:numFmt w:val="decimal"/>
      <w:lvlText w:val="%7."/>
      <w:lvlJc w:val="left"/>
      <w:pPr>
        <w:ind w:left="5409" w:hanging="360"/>
      </w:pPr>
    </w:lvl>
    <w:lvl w:ilvl="7" w:tplc="0C090019" w:tentative="1">
      <w:start w:val="1"/>
      <w:numFmt w:val="lowerLetter"/>
      <w:lvlText w:val="%8."/>
      <w:lvlJc w:val="left"/>
      <w:pPr>
        <w:ind w:left="6129" w:hanging="360"/>
      </w:pPr>
    </w:lvl>
    <w:lvl w:ilvl="8" w:tplc="0C09001B" w:tentative="1">
      <w:start w:val="1"/>
      <w:numFmt w:val="lowerRoman"/>
      <w:lvlText w:val="%9."/>
      <w:lvlJc w:val="right"/>
      <w:pPr>
        <w:ind w:left="6849" w:hanging="180"/>
      </w:pPr>
    </w:lvl>
  </w:abstractNum>
  <w:abstractNum w:abstractNumId="22" w15:restartNumberingAfterBreak="0">
    <w:nsid w:val="5FFB6035"/>
    <w:multiLevelType w:val="hybridMultilevel"/>
    <w:tmpl w:val="1B9A4D9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3" w15:restartNumberingAfterBreak="0">
    <w:nsid w:val="65456429"/>
    <w:multiLevelType w:val="multilevel"/>
    <w:tmpl w:val="D5F21E5A"/>
    <w:lvl w:ilvl="0">
      <w:start w:val="1"/>
      <w:numFmt w:val="decimal"/>
      <w:pStyle w:val="ListNumber"/>
      <w:lvlText w:val="%1."/>
      <w:lvlJc w:val="left"/>
      <w:pPr>
        <w:ind w:left="369" w:hanging="369"/>
      </w:pPr>
      <w:rPr>
        <w:rFonts w:ascii="Calibri" w:hAnsi="Calibri" w:hint="default"/>
        <w:sz w:val="22"/>
        <w:szCs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4" w15:restartNumberingAfterBreak="0">
    <w:nsid w:val="686534C1"/>
    <w:multiLevelType w:val="hybridMultilevel"/>
    <w:tmpl w:val="E1087AF8"/>
    <w:lvl w:ilvl="0" w:tplc="CB1ED6A6">
      <w:start w:val="1"/>
      <w:numFmt w:val="bullet"/>
      <w:pStyle w:val="ListParagraph"/>
      <w:lvlText w:val=""/>
      <w:lvlJc w:val="left"/>
      <w:pPr>
        <w:ind w:left="720" w:hanging="360"/>
      </w:pPr>
      <w:rPr>
        <w:rFonts w:ascii="Symbol" w:hAnsi="Symbol" w:hint="default"/>
      </w:rPr>
    </w:lvl>
    <w:lvl w:ilvl="1" w:tplc="59EE7FB0">
      <w:start w:val="1"/>
      <w:numFmt w:val="bullet"/>
      <w:lvlText w:val="o"/>
      <w:lvlJc w:val="left"/>
      <w:pPr>
        <w:ind w:left="1440" w:hanging="360"/>
      </w:pPr>
      <w:rPr>
        <w:rFonts w:ascii="Courier New" w:hAnsi="Courier New" w:cs="Courier New" w:hint="default"/>
      </w:rPr>
    </w:lvl>
    <w:lvl w:ilvl="2" w:tplc="0C4635A6" w:tentative="1">
      <w:start w:val="1"/>
      <w:numFmt w:val="bullet"/>
      <w:lvlText w:val=""/>
      <w:lvlJc w:val="left"/>
      <w:pPr>
        <w:ind w:left="2160" w:hanging="360"/>
      </w:pPr>
      <w:rPr>
        <w:rFonts w:ascii="Wingdings" w:hAnsi="Wingdings" w:hint="default"/>
      </w:rPr>
    </w:lvl>
    <w:lvl w:ilvl="3" w:tplc="8772AED0" w:tentative="1">
      <w:start w:val="1"/>
      <w:numFmt w:val="bullet"/>
      <w:lvlText w:val=""/>
      <w:lvlJc w:val="left"/>
      <w:pPr>
        <w:ind w:left="2880" w:hanging="360"/>
      </w:pPr>
      <w:rPr>
        <w:rFonts w:ascii="Symbol" w:hAnsi="Symbol" w:hint="default"/>
      </w:rPr>
    </w:lvl>
    <w:lvl w:ilvl="4" w:tplc="D95AF5F6" w:tentative="1">
      <w:start w:val="1"/>
      <w:numFmt w:val="bullet"/>
      <w:lvlText w:val="o"/>
      <w:lvlJc w:val="left"/>
      <w:pPr>
        <w:ind w:left="3600" w:hanging="360"/>
      </w:pPr>
      <w:rPr>
        <w:rFonts w:ascii="Courier New" w:hAnsi="Courier New" w:cs="Courier New" w:hint="default"/>
      </w:rPr>
    </w:lvl>
    <w:lvl w:ilvl="5" w:tplc="682A80A0" w:tentative="1">
      <w:start w:val="1"/>
      <w:numFmt w:val="bullet"/>
      <w:lvlText w:val=""/>
      <w:lvlJc w:val="left"/>
      <w:pPr>
        <w:ind w:left="4320" w:hanging="360"/>
      </w:pPr>
      <w:rPr>
        <w:rFonts w:ascii="Wingdings" w:hAnsi="Wingdings" w:hint="default"/>
      </w:rPr>
    </w:lvl>
    <w:lvl w:ilvl="6" w:tplc="D90AEAEA" w:tentative="1">
      <w:start w:val="1"/>
      <w:numFmt w:val="bullet"/>
      <w:lvlText w:val=""/>
      <w:lvlJc w:val="left"/>
      <w:pPr>
        <w:ind w:left="5040" w:hanging="360"/>
      </w:pPr>
      <w:rPr>
        <w:rFonts w:ascii="Symbol" w:hAnsi="Symbol" w:hint="default"/>
      </w:rPr>
    </w:lvl>
    <w:lvl w:ilvl="7" w:tplc="CD6AD74C" w:tentative="1">
      <w:start w:val="1"/>
      <w:numFmt w:val="bullet"/>
      <w:lvlText w:val="o"/>
      <w:lvlJc w:val="left"/>
      <w:pPr>
        <w:ind w:left="5760" w:hanging="360"/>
      </w:pPr>
      <w:rPr>
        <w:rFonts w:ascii="Courier New" w:hAnsi="Courier New" w:cs="Courier New" w:hint="default"/>
      </w:rPr>
    </w:lvl>
    <w:lvl w:ilvl="8" w:tplc="3FEEF1CE" w:tentative="1">
      <w:start w:val="1"/>
      <w:numFmt w:val="bullet"/>
      <w:lvlText w:val=""/>
      <w:lvlJc w:val="left"/>
      <w:pPr>
        <w:ind w:left="6480" w:hanging="360"/>
      </w:pPr>
      <w:rPr>
        <w:rFonts w:ascii="Wingdings" w:hAnsi="Wingdings" w:hint="default"/>
      </w:rPr>
    </w:lvl>
  </w:abstractNum>
  <w:abstractNum w:abstractNumId="25" w15:restartNumberingAfterBreak="0">
    <w:nsid w:val="691B6BA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E4B7B4D"/>
    <w:multiLevelType w:val="multilevel"/>
    <w:tmpl w:val="1000160E"/>
    <w:lvl w:ilvl="0">
      <w:start w:val="1"/>
      <w:numFmt w:val="bullet"/>
      <w:lvlText w:val=""/>
      <w:lvlJc w:val="left"/>
      <w:pPr>
        <w:ind w:left="369" w:hanging="369"/>
      </w:pPr>
      <w:rPr>
        <w:rFonts w:ascii="Symbol" w:hAnsi="Symbol" w:hint="default"/>
        <w:sz w:val="24"/>
        <w:szCs w:val="24"/>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7" w15:restartNumberingAfterBreak="0">
    <w:nsid w:val="6F5C7C61"/>
    <w:multiLevelType w:val="hybridMultilevel"/>
    <w:tmpl w:val="D58E68B2"/>
    <w:lvl w:ilvl="0" w:tplc="43FC7C2E">
      <w:start w:val="1"/>
      <w:numFmt w:val="decimal"/>
      <w:lvlText w:val="%1."/>
      <w:lvlJc w:val="left"/>
      <w:pPr>
        <w:ind w:left="720" w:hanging="360"/>
      </w:pPr>
    </w:lvl>
    <w:lvl w:ilvl="1" w:tplc="6706BADE">
      <w:start w:val="1"/>
      <w:numFmt w:val="lowerLetter"/>
      <w:lvlText w:val="%2."/>
      <w:lvlJc w:val="left"/>
      <w:pPr>
        <w:ind w:left="1440" w:hanging="360"/>
      </w:pPr>
    </w:lvl>
    <w:lvl w:ilvl="2" w:tplc="4FA27204">
      <w:start w:val="1"/>
      <w:numFmt w:val="lowerRoman"/>
      <w:lvlText w:val="%3."/>
      <w:lvlJc w:val="right"/>
      <w:pPr>
        <w:ind w:left="2160" w:hanging="180"/>
      </w:pPr>
    </w:lvl>
    <w:lvl w:ilvl="3" w:tplc="86B67F6E" w:tentative="1">
      <w:start w:val="1"/>
      <w:numFmt w:val="decimal"/>
      <w:lvlText w:val="%4."/>
      <w:lvlJc w:val="left"/>
      <w:pPr>
        <w:ind w:left="2880" w:hanging="360"/>
      </w:pPr>
    </w:lvl>
    <w:lvl w:ilvl="4" w:tplc="06424DDA" w:tentative="1">
      <w:start w:val="1"/>
      <w:numFmt w:val="lowerLetter"/>
      <w:lvlText w:val="%5."/>
      <w:lvlJc w:val="left"/>
      <w:pPr>
        <w:ind w:left="3600" w:hanging="360"/>
      </w:pPr>
    </w:lvl>
    <w:lvl w:ilvl="5" w:tplc="01D6EEB4" w:tentative="1">
      <w:start w:val="1"/>
      <w:numFmt w:val="lowerRoman"/>
      <w:lvlText w:val="%6."/>
      <w:lvlJc w:val="right"/>
      <w:pPr>
        <w:ind w:left="4320" w:hanging="180"/>
      </w:pPr>
    </w:lvl>
    <w:lvl w:ilvl="6" w:tplc="FE0223E2" w:tentative="1">
      <w:start w:val="1"/>
      <w:numFmt w:val="decimal"/>
      <w:lvlText w:val="%7."/>
      <w:lvlJc w:val="left"/>
      <w:pPr>
        <w:ind w:left="5040" w:hanging="360"/>
      </w:pPr>
    </w:lvl>
    <w:lvl w:ilvl="7" w:tplc="E4BED4AE" w:tentative="1">
      <w:start w:val="1"/>
      <w:numFmt w:val="lowerLetter"/>
      <w:lvlText w:val="%8."/>
      <w:lvlJc w:val="left"/>
      <w:pPr>
        <w:ind w:left="5760" w:hanging="360"/>
      </w:pPr>
    </w:lvl>
    <w:lvl w:ilvl="8" w:tplc="C05871AE" w:tentative="1">
      <w:start w:val="1"/>
      <w:numFmt w:val="lowerRoman"/>
      <w:lvlText w:val="%9."/>
      <w:lvlJc w:val="right"/>
      <w:pPr>
        <w:ind w:left="6480" w:hanging="180"/>
      </w:pPr>
    </w:lvl>
  </w:abstractNum>
  <w:abstractNum w:abstractNumId="28" w15:restartNumberingAfterBreak="0">
    <w:nsid w:val="6FAE23A7"/>
    <w:multiLevelType w:val="singleLevel"/>
    <w:tmpl w:val="BE3C85A2"/>
    <w:lvl w:ilvl="0">
      <w:start w:val="1"/>
      <w:numFmt w:val="upperLetter"/>
      <w:lvlText w:val="%1:"/>
      <w:lvlJc w:val="left"/>
      <w:pPr>
        <w:ind w:left="360" w:hanging="360"/>
      </w:pPr>
      <w:rPr>
        <w:rFonts w:hint="default"/>
        <w:sz w:val="24"/>
        <w:szCs w:val="24"/>
      </w:rPr>
    </w:lvl>
  </w:abstractNum>
  <w:abstractNum w:abstractNumId="29" w15:restartNumberingAfterBreak="0">
    <w:nsid w:val="72336E17"/>
    <w:multiLevelType w:val="hybridMultilevel"/>
    <w:tmpl w:val="7AC693D4"/>
    <w:lvl w:ilvl="0" w:tplc="BDA0316E">
      <w:start w:val="1"/>
      <w:numFmt w:val="bullet"/>
      <w:lvlText w:val=""/>
      <w:lvlJc w:val="left"/>
      <w:pPr>
        <w:ind w:left="720" w:hanging="360"/>
      </w:pPr>
      <w:rPr>
        <w:rFonts w:ascii="Symbol" w:hAnsi="Symbol" w:hint="default"/>
        <w:color w:val="44545C"/>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2964D5"/>
    <w:multiLevelType w:val="multilevel"/>
    <w:tmpl w:val="E898CC72"/>
    <w:styleLink w:val="KeyPoints"/>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16cid:durableId="1873422421">
    <w:abstractNumId w:val="30"/>
  </w:num>
  <w:num w:numId="2" w16cid:durableId="1369183811">
    <w:abstractNumId w:val="10"/>
  </w:num>
  <w:num w:numId="3" w16cid:durableId="1050762136">
    <w:abstractNumId w:val="27"/>
  </w:num>
  <w:num w:numId="4" w16cid:durableId="680820616">
    <w:abstractNumId w:val="25"/>
  </w:num>
  <w:num w:numId="5" w16cid:durableId="1296981726">
    <w:abstractNumId w:val="15"/>
  </w:num>
  <w:num w:numId="6" w16cid:durableId="1155218116">
    <w:abstractNumId w:val="14"/>
  </w:num>
  <w:num w:numId="7" w16cid:durableId="794908898">
    <w:abstractNumId w:val="23"/>
  </w:num>
  <w:num w:numId="8" w16cid:durableId="521748715">
    <w:abstractNumId w:val="13"/>
  </w:num>
  <w:num w:numId="9" w16cid:durableId="630326436">
    <w:abstractNumId w:val="12"/>
  </w:num>
  <w:num w:numId="10" w16cid:durableId="1911840279">
    <w:abstractNumId w:val="28"/>
  </w:num>
  <w:num w:numId="11" w16cid:durableId="732780042">
    <w:abstractNumId w:val="23"/>
  </w:num>
  <w:num w:numId="12" w16cid:durableId="10337261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2413359">
    <w:abstractNumId w:val="18"/>
  </w:num>
  <w:num w:numId="14" w16cid:durableId="1729523979">
    <w:abstractNumId w:val="22"/>
  </w:num>
  <w:num w:numId="15" w16cid:durableId="2036496886">
    <w:abstractNumId w:val="26"/>
  </w:num>
  <w:num w:numId="16" w16cid:durableId="1039166682">
    <w:abstractNumId w:val="23"/>
  </w:num>
  <w:num w:numId="17" w16cid:durableId="134879719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21466982">
    <w:abstractNumId w:val="23"/>
  </w:num>
  <w:num w:numId="19" w16cid:durableId="908737065">
    <w:abstractNumId w:val="19"/>
  </w:num>
  <w:num w:numId="20" w16cid:durableId="758906977">
    <w:abstractNumId w:val="23"/>
  </w:num>
  <w:num w:numId="21" w16cid:durableId="1322077478">
    <w:abstractNumId w:val="21"/>
  </w:num>
  <w:num w:numId="22" w16cid:durableId="989089942">
    <w:abstractNumId w:val="16"/>
  </w:num>
  <w:num w:numId="23" w16cid:durableId="344088894">
    <w:abstractNumId w:val="11"/>
  </w:num>
  <w:num w:numId="24" w16cid:durableId="660549014">
    <w:abstractNumId w:val="23"/>
  </w:num>
  <w:num w:numId="25" w16cid:durableId="2971045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71687277">
    <w:abstractNumId w:val="8"/>
  </w:num>
  <w:num w:numId="27" w16cid:durableId="1962026904">
    <w:abstractNumId w:val="20"/>
  </w:num>
  <w:num w:numId="28" w16cid:durableId="19844324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957931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06400980">
    <w:abstractNumId w:val="23"/>
  </w:num>
  <w:num w:numId="31" w16cid:durableId="18677901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888768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325716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1533620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314566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48284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029377656">
    <w:abstractNumId w:val="0"/>
  </w:num>
  <w:num w:numId="38" w16cid:durableId="1055008973">
    <w:abstractNumId w:val="1"/>
  </w:num>
  <w:num w:numId="39" w16cid:durableId="716708820">
    <w:abstractNumId w:val="4"/>
  </w:num>
  <w:num w:numId="40" w16cid:durableId="2026786817">
    <w:abstractNumId w:val="5"/>
  </w:num>
  <w:num w:numId="41" w16cid:durableId="2050450974">
    <w:abstractNumId w:val="6"/>
  </w:num>
  <w:num w:numId="42" w16cid:durableId="1441876043">
    <w:abstractNumId w:val="9"/>
  </w:num>
  <w:num w:numId="43" w16cid:durableId="2008432762">
    <w:abstractNumId w:val="7"/>
  </w:num>
  <w:num w:numId="44" w16cid:durableId="1742175781">
    <w:abstractNumId w:val="3"/>
  </w:num>
  <w:num w:numId="45" w16cid:durableId="1659918085">
    <w:abstractNumId w:val="2"/>
  </w:num>
  <w:num w:numId="46" w16cid:durableId="2051343634">
    <w:abstractNumId w:val="17"/>
  </w:num>
  <w:num w:numId="47" w16cid:durableId="727874587">
    <w:abstractNumId w:val="29"/>
  </w:num>
  <w:num w:numId="48" w16cid:durableId="1697806685">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DateAndTim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TableGridLight"/>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41E"/>
    <w:rsid w:val="000001A1"/>
    <w:rsid w:val="000031BF"/>
    <w:rsid w:val="000032A0"/>
    <w:rsid w:val="00007DE1"/>
    <w:rsid w:val="000131EE"/>
    <w:rsid w:val="00024635"/>
    <w:rsid w:val="00034A6C"/>
    <w:rsid w:val="000514BD"/>
    <w:rsid w:val="00055582"/>
    <w:rsid w:val="00055589"/>
    <w:rsid w:val="000613B1"/>
    <w:rsid w:val="0006574A"/>
    <w:rsid w:val="00071327"/>
    <w:rsid w:val="00082E59"/>
    <w:rsid w:val="00091B06"/>
    <w:rsid w:val="000D06D9"/>
    <w:rsid w:val="000D1751"/>
    <w:rsid w:val="000E5C12"/>
    <w:rsid w:val="000F00F9"/>
    <w:rsid w:val="000F55E7"/>
    <w:rsid w:val="00114BA0"/>
    <w:rsid w:val="001345C9"/>
    <w:rsid w:val="0014182C"/>
    <w:rsid w:val="00142E0B"/>
    <w:rsid w:val="00156132"/>
    <w:rsid w:val="0015695F"/>
    <w:rsid w:val="0017077A"/>
    <w:rsid w:val="00170D66"/>
    <w:rsid w:val="00170DC6"/>
    <w:rsid w:val="0017351A"/>
    <w:rsid w:val="001827C2"/>
    <w:rsid w:val="00186E6F"/>
    <w:rsid w:val="00186E73"/>
    <w:rsid w:val="001C0255"/>
    <w:rsid w:val="001C0F11"/>
    <w:rsid w:val="001C1ABF"/>
    <w:rsid w:val="001F2A15"/>
    <w:rsid w:val="00204E35"/>
    <w:rsid w:val="002202C3"/>
    <w:rsid w:val="002248C0"/>
    <w:rsid w:val="00231A97"/>
    <w:rsid w:val="00234917"/>
    <w:rsid w:val="002561B9"/>
    <w:rsid w:val="00261ED4"/>
    <w:rsid w:val="00272B0B"/>
    <w:rsid w:val="002A5A1E"/>
    <w:rsid w:val="002A7384"/>
    <w:rsid w:val="002B4251"/>
    <w:rsid w:val="002B5779"/>
    <w:rsid w:val="002C07A5"/>
    <w:rsid w:val="002C086E"/>
    <w:rsid w:val="002C6C13"/>
    <w:rsid w:val="002D3EC0"/>
    <w:rsid w:val="002D4A31"/>
    <w:rsid w:val="002E351B"/>
    <w:rsid w:val="002E72A8"/>
    <w:rsid w:val="002E7966"/>
    <w:rsid w:val="00313D57"/>
    <w:rsid w:val="0032356E"/>
    <w:rsid w:val="003268F7"/>
    <w:rsid w:val="00327BDF"/>
    <w:rsid w:val="0034657B"/>
    <w:rsid w:val="00352BB1"/>
    <w:rsid w:val="00374588"/>
    <w:rsid w:val="00374903"/>
    <w:rsid w:val="00376A5A"/>
    <w:rsid w:val="00384EC2"/>
    <w:rsid w:val="0039416C"/>
    <w:rsid w:val="003A39E1"/>
    <w:rsid w:val="003A6733"/>
    <w:rsid w:val="003A7927"/>
    <w:rsid w:val="003B005B"/>
    <w:rsid w:val="003B10AF"/>
    <w:rsid w:val="003B3811"/>
    <w:rsid w:val="003B64C4"/>
    <w:rsid w:val="003B7B80"/>
    <w:rsid w:val="003C464C"/>
    <w:rsid w:val="003D63BD"/>
    <w:rsid w:val="003E0289"/>
    <w:rsid w:val="003E0D59"/>
    <w:rsid w:val="003F7DA8"/>
    <w:rsid w:val="00402EF9"/>
    <w:rsid w:val="00406DCC"/>
    <w:rsid w:val="00407D3B"/>
    <w:rsid w:val="00412531"/>
    <w:rsid w:val="0041656D"/>
    <w:rsid w:val="0042763B"/>
    <w:rsid w:val="00435004"/>
    <w:rsid w:val="004403CD"/>
    <w:rsid w:val="00451178"/>
    <w:rsid w:val="00463BE8"/>
    <w:rsid w:val="0046450A"/>
    <w:rsid w:val="00473F5B"/>
    <w:rsid w:val="00474D5B"/>
    <w:rsid w:val="00490047"/>
    <w:rsid w:val="00495C7F"/>
    <w:rsid w:val="00496DD1"/>
    <w:rsid w:val="004A3264"/>
    <w:rsid w:val="004B6AB8"/>
    <w:rsid w:val="004C561D"/>
    <w:rsid w:val="004D0EE6"/>
    <w:rsid w:val="004E09A7"/>
    <w:rsid w:val="004E30CC"/>
    <w:rsid w:val="004E7BFE"/>
    <w:rsid w:val="004F20F9"/>
    <w:rsid w:val="004F33A8"/>
    <w:rsid w:val="004F5BB5"/>
    <w:rsid w:val="005102AB"/>
    <w:rsid w:val="00510BCE"/>
    <w:rsid w:val="005268BF"/>
    <w:rsid w:val="005359F0"/>
    <w:rsid w:val="005370F4"/>
    <w:rsid w:val="00537A12"/>
    <w:rsid w:val="00542413"/>
    <w:rsid w:val="00564FB9"/>
    <w:rsid w:val="00574210"/>
    <w:rsid w:val="0058014E"/>
    <w:rsid w:val="00585FD1"/>
    <w:rsid w:val="005B2F67"/>
    <w:rsid w:val="005B6693"/>
    <w:rsid w:val="005C4C7E"/>
    <w:rsid w:val="005C5D99"/>
    <w:rsid w:val="005E3F3F"/>
    <w:rsid w:val="00606C45"/>
    <w:rsid w:val="00617D03"/>
    <w:rsid w:val="00622053"/>
    <w:rsid w:val="006318A8"/>
    <w:rsid w:val="00635521"/>
    <w:rsid w:val="006435E1"/>
    <w:rsid w:val="0066217F"/>
    <w:rsid w:val="006701E1"/>
    <w:rsid w:val="006A7C79"/>
    <w:rsid w:val="006B2B83"/>
    <w:rsid w:val="006C6CA6"/>
    <w:rsid w:val="006D01B3"/>
    <w:rsid w:val="006E0BD1"/>
    <w:rsid w:val="006E0EC3"/>
    <w:rsid w:val="006E2B5F"/>
    <w:rsid w:val="006E4731"/>
    <w:rsid w:val="006F3470"/>
    <w:rsid w:val="00700920"/>
    <w:rsid w:val="00710673"/>
    <w:rsid w:val="00710DFC"/>
    <w:rsid w:val="007132FF"/>
    <w:rsid w:val="007140F9"/>
    <w:rsid w:val="00723BDE"/>
    <w:rsid w:val="00725B2A"/>
    <w:rsid w:val="00743ABB"/>
    <w:rsid w:val="007440F7"/>
    <w:rsid w:val="0074454B"/>
    <w:rsid w:val="00744F0C"/>
    <w:rsid w:val="00770DD9"/>
    <w:rsid w:val="00774B4C"/>
    <w:rsid w:val="00783454"/>
    <w:rsid w:val="00792822"/>
    <w:rsid w:val="007935B6"/>
    <w:rsid w:val="007A29DB"/>
    <w:rsid w:val="007C3F00"/>
    <w:rsid w:val="007E17AB"/>
    <w:rsid w:val="008015ED"/>
    <w:rsid w:val="0080536E"/>
    <w:rsid w:val="00827969"/>
    <w:rsid w:val="00843C1C"/>
    <w:rsid w:val="00851C43"/>
    <w:rsid w:val="00854106"/>
    <w:rsid w:val="00861326"/>
    <w:rsid w:val="0086221E"/>
    <w:rsid w:val="0087312F"/>
    <w:rsid w:val="008773E5"/>
    <w:rsid w:val="00886551"/>
    <w:rsid w:val="00892B80"/>
    <w:rsid w:val="008A0665"/>
    <w:rsid w:val="008A2AB3"/>
    <w:rsid w:val="008A611E"/>
    <w:rsid w:val="008A6BDC"/>
    <w:rsid w:val="008A7636"/>
    <w:rsid w:val="008B1BA2"/>
    <w:rsid w:val="008B7E56"/>
    <w:rsid w:val="008C2DF2"/>
    <w:rsid w:val="008C51BB"/>
    <w:rsid w:val="008D5EF9"/>
    <w:rsid w:val="008E64EA"/>
    <w:rsid w:val="008F1E81"/>
    <w:rsid w:val="008F202F"/>
    <w:rsid w:val="009067DC"/>
    <w:rsid w:val="009125C0"/>
    <w:rsid w:val="009251B9"/>
    <w:rsid w:val="00941FD8"/>
    <w:rsid w:val="009427AA"/>
    <w:rsid w:val="00951AD8"/>
    <w:rsid w:val="00993DC0"/>
    <w:rsid w:val="009A13B6"/>
    <w:rsid w:val="009A2AF8"/>
    <w:rsid w:val="009A412F"/>
    <w:rsid w:val="009A74DE"/>
    <w:rsid w:val="009C3510"/>
    <w:rsid w:val="009C47DF"/>
    <w:rsid w:val="009E078F"/>
    <w:rsid w:val="009F0367"/>
    <w:rsid w:val="00A0041E"/>
    <w:rsid w:val="00A00BC7"/>
    <w:rsid w:val="00A122AB"/>
    <w:rsid w:val="00A24B18"/>
    <w:rsid w:val="00A27E49"/>
    <w:rsid w:val="00A4261E"/>
    <w:rsid w:val="00A43709"/>
    <w:rsid w:val="00A645E5"/>
    <w:rsid w:val="00A67179"/>
    <w:rsid w:val="00A74736"/>
    <w:rsid w:val="00A74C3E"/>
    <w:rsid w:val="00A74C64"/>
    <w:rsid w:val="00A7776C"/>
    <w:rsid w:val="00A94BCC"/>
    <w:rsid w:val="00AA2167"/>
    <w:rsid w:val="00AA7CB2"/>
    <w:rsid w:val="00AB1971"/>
    <w:rsid w:val="00AC305A"/>
    <w:rsid w:val="00AC4678"/>
    <w:rsid w:val="00AF02F5"/>
    <w:rsid w:val="00AF63BF"/>
    <w:rsid w:val="00B1156A"/>
    <w:rsid w:val="00B12041"/>
    <w:rsid w:val="00B25458"/>
    <w:rsid w:val="00B311A1"/>
    <w:rsid w:val="00B3483B"/>
    <w:rsid w:val="00B41CB6"/>
    <w:rsid w:val="00B51968"/>
    <w:rsid w:val="00B86445"/>
    <w:rsid w:val="00B924B6"/>
    <w:rsid w:val="00BA0F24"/>
    <w:rsid w:val="00BA1CA9"/>
    <w:rsid w:val="00BA7881"/>
    <w:rsid w:val="00BE76F0"/>
    <w:rsid w:val="00BF7140"/>
    <w:rsid w:val="00BF7940"/>
    <w:rsid w:val="00C0103F"/>
    <w:rsid w:val="00C118DE"/>
    <w:rsid w:val="00C31363"/>
    <w:rsid w:val="00C322D8"/>
    <w:rsid w:val="00C4688F"/>
    <w:rsid w:val="00C47057"/>
    <w:rsid w:val="00C5495A"/>
    <w:rsid w:val="00C65F8C"/>
    <w:rsid w:val="00C721EA"/>
    <w:rsid w:val="00C804E7"/>
    <w:rsid w:val="00C827DA"/>
    <w:rsid w:val="00C82C04"/>
    <w:rsid w:val="00C83D74"/>
    <w:rsid w:val="00C96673"/>
    <w:rsid w:val="00CA62BF"/>
    <w:rsid w:val="00CB2FC2"/>
    <w:rsid w:val="00CC0D65"/>
    <w:rsid w:val="00CC1DAC"/>
    <w:rsid w:val="00CC76D5"/>
    <w:rsid w:val="00CC7983"/>
    <w:rsid w:val="00CD12E6"/>
    <w:rsid w:val="00CD346C"/>
    <w:rsid w:val="00CF7A50"/>
    <w:rsid w:val="00D02834"/>
    <w:rsid w:val="00D22692"/>
    <w:rsid w:val="00D3516F"/>
    <w:rsid w:val="00D37335"/>
    <w:rsid w:val="00D446A8"/>
    <w:rsid w:val="00D50C76"/>
    <w:rsid w:val="00D55F96"/>
    <w:rsid w:val="00D56A53"/>
    <w:rsid w:val="00D624A3"/>
    <w:rsid w:val="00D6375B"/>
    <w:rsid w:val="00D64917"/>
    <w:rsid w:val="00D775D1"/>
    <w:rsid w:val="00D80621"/>
    <w:rsid w:val="00DA4F80"/>
    <w:rsid w:val="00DB4BB7"/>
    <w:rsid w:val="00DC6237"/>
    <w:rsid w:val="00DE06C0"/>
    <w:rsid w:val="00DE4CBB"/>
    <w:rsid w:val="00DF2153"/>
    <w:rsid w:val="00E200CC"/>
    <w:rsid w:val="00E37723"/>
    <w:rsid w:val="00E40F5E"/>
    <w:rsid w:val="00E51BFA"/>
    <w:rsid w:val="00E54934"/>
    <w:rsid w:val="00E56ACF"/>
    <w:rsid w:val="00E61820"/>
    <w:rsid w:val="00E75161"/>
    <w:rsid w:val="00E7682C"/>
    <w:rsid w:val="00E77B8C"/>
    <w:rsid w:val="00E97A4A"/>
    <w:rsid w:val="00EA3911"/>
    <w:rsid w:val="00EA74F0"/>
    <w:rsid w:val="00ED12E9"/>
    <w:rsid w:val="00ED1B2C"/>
    <w:rsid w:val="00ED30D0"/>
    <w:rsid w:val="00ED327E"/>
    <w:rsid w:val="00EE0AF0"/>
    <w:rsid w:val="00F20908"/>
    <w:rsid w:val="00F2312E"/>
    <w:rsid w:val="00F23F93"/>
    <w:rsid w:val="00F267AC"/>
    <w:rsid w:val="00F26DAA"/>
    <w:rsid w:val="00F3130F"/>
    <w:rsid w:val="00F33200"/>
    <w:rsid w:val="00F33452"/>
    <w:rsid w:val="00F70602"/>
    <w:rsid w:val="00F8107D"/>
    <w:rsid w:val="00F81F21"/>
    <w:rsid w:val="00F92297"/>
    <w:rsid w:val="00F93899"/>
    <w:rsid w:val="00FA0421"/>
    <w:rsid w:val="00FA69DC"/>
    <w:rsid w:val="00FB0DE5"/>
    <w:rsid w:val="00FB2BF4"/>
    <w:rsid w:val="00FC2697"/>
    <w:rsid w:val="00FD1C48"/>
    <w:rsid w:val="00FE0C2F"/>
    <w:rsid w:val="00FE21E0"/>
    <w:rsid w:val="00FE505A"/>
    <w:rsid w:val="00FF20D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3787BA"/>
  <w15:docId w15:val="{482308D9-A3C2-4A9A-BD60-DA3EC8B4E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0908"/>
    <w:pPr>
      <w:spacing w:after="200"/>
    </w:pPr>
    <w:rPr>
      <w:rFonts w:ascii="Verdana" w:hAnsi="Verdana"/>
      <w:sz w:val="20"/>
      <w:lang w:eastAsia="en-US"/>
    </w:rPr>
  </w:style>
  <w:style w:type="paragraph" w:styleId="Heading1">
    <w:name w:val="heading 1"/>
    <w:basedOn w:val="Normal"/>
    <w:next w:val="Normal"/>
    <w:link w:val="Heading1Char"/>
    <w:uiPriority w:val="9"/>
    <w:qFormat/>
    <w:rsid w:val="00DF2153"/>
    <w:pPr>
      <w:pageBreakBefore/>
      <w:tabs>
        <w:tab w:val="center" w:pos="4513"/>
        <w:tab w:val="right" w:pos="9026"/>
      </w:tabs>
      <w:spacing w:after="480"/>
      <w:outlineLvl w:val="0"/>
    </w:pPr>
    <w:rPr>
      <w:b/>
      <w:color w:val="4C6968" w:themeColor="text1"/>
      <w:sz w:val="50"/>
      <w:szCs w:val="24"/>
    </w:rPr>
  </w:style>
  <w:style w:type="paragraph" w:styleId="Heading2">
    <w:name w:val="heading 2"/>
    <w:basedOn w:val="Normal"/>
    <w:next w:val="Normal"/>
    <w:link w:val="Heading2Char"/>
    <w:uiPriority w:val="9"/>
    <w:qFormat/>
    <w:rsid w:val="003268F7"/>
    <w:pPr>
      <w:keepNext/>
      <w:spacing w:before="360" w:after="240"/>
      <w:outlineLvl w:val="1"/>
    </w:pPr>
    <w:rPr>
      <w:b/>
      <w:color w:val="48555E" w:themeColor="text2"/>
      <w:sz w:val="32"/>
      <w:szCs w:val="20"/>
    </w:rPr>
  </w:style>
  <w:style w:type="paragraph" w:styleId="Heading3">
    <w:name w:val="heading 3"/>
    <w:basedOn w:val="Normal"/>
    <w:next w:val="Normal"/>
    <w:link w:val="Heading3Char"/>
    <w:uiPriority w:val="9"/>
    <w:qFormat/>
    <w:rsid w:val="003268F7"/>
    <w:pPr>
      <w:keepNext/>
      <w:spacing w:before="120" w:after="120"/>
      <w:outlineLvl w:val="2"/>
    </w:pPr>
    <w:rPr>
      <w:rFonts w:cs="Arial"/>
      <w:b/>
      <w:color w:val="48555E" w:themeColor="text2"/>
      <w:sz w:val="26"/>
    </w:rPr>
  </w:style>
  <w:style w:type="paragraph" w:styleId="Heading4">
    <w:name w:val="heading 4"/>
    <w:basedOn w:val="Normal"/>
    <w:next w:val="Normal"/>
    <w:link w:val="Heading4Char"/>
    <w:uiPriority w:val="9"/>
    <w:qFormat/>
    <w:rsid w:val="003268F7"/>
    <w:pPr>
      <w:keepNext/>
      <w:spacing w:before="120"/>
      <w:outlineLvl w:val="3"/>
    </w:pPr>
    <w:rPr>
      <w:rFonts w:cs="Arial"/>
      <w:sz w:val="22"/>
    </w:rPr>
  </w:style>
  <w:style w:type="paragraph" w:styleId="Heading5">
    <w:name w:val="heading 5"/>
    <w:basedOn w:val="Normal"/>
    <w:next w:val="Normal"/>
    <w:link w:val="Heading5Char"/>
    <w:uiPriority w:val="9"/>
    <w:unhideWhenUsed/>
    <w:rsid w:val="008015ED"/>
    <w:pPr>
      <w:keepNext/>
      <w:keepLines/>
      <w:spacing w:before="40" w:after="240"/>
      <w:outlineLvl w:val="4"/>
    </w:pPr>
    <w:rPr>
      <w:rFonts w:eastAsiaTheme="majorEastAsia" w:cstheme="majorBidi"/>
      <w:i/>
      <w:color w:val="4C6968"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unhideWhenUsed/>
    <w:rsid w:val="00CA62BF"/>
    <w:rPr>
      <w:b/>
      <w:color w:val="4C6968" w:themeColor="text1"/>
      <w:sz w:val="24"/>
    </w:rPr>
  </w:style>
  <w:style w:type="character" w:customStyle="1" w:styleId="DateChar">
    <w:name w:val="Date Char"/>
    <w:basedOn w:val="DefaultParagraphFont"/>
    <w:link w:val="Date"/>
    <w:uiPriority w:val="99"/>
    <w:rsid w:val="00CA62BF"/>
    <w:rPr>
      <w:rFonts w:ascii="Verdana" w:hAnsi="Verdana"/>
      <w:b/>
      <w:color w:val="4C6968" w:themeColor="text1"/>
      <w:sz w:val="24"/>
      <w:lang w:eastAsia="en-US"/>
    </w:rPr>
  </w:style>
  <w:style w:type="paragraph" w:styleId="Footer">
    <w:name w:val="footer"/>
    <w:basedOn w:val="Normal"/>
    <w:link w:val="FooterChar"/>
    <w:uiPriority w:val="99"/>
    <w:unhideWhenUsed/>
    <w:rsid w:val="00DE06C0"/>
    <w:pPr>
      <w:tabs>
        <w:tab w:val="center" w:pos="4513"/>
        <w:tab w:val="right" w:pos="9026"/>
      </w:tabs>
      <w:spacing w:after="0"/>
    </w:pPr>
    <w:rPr>
      <w:sz w:val="16"/>
    </w:rPr>
  </w:style>
  <w:style w:type="character" w:customStyle="1" w:styleId="FooterChar">
    <w:name w:val="Footer Char"/>
    <w:basedOn w:val="DefaultParagraphFont"/>
    <w:link w:val="Footer"/>
    <w:uiPriority w:val="99"/>
    <w:rsid w:val="00DE06C0"/>
    <w:rPr>
      <w:rFonts w:ascii="Verdana" w:hAnsi="Verdana"/>
      <w:sz w:val="16"/>
      <w:lang w:eastAsia="en-US"/>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numbering" w:customStyle="1" w:styleId="KeyPoints">
    <w:name w:val="Key Points"/>
    <w:basedOn w:val="NoList"/>
    <w:uiPriority w:val="99"/>
    <w:pPr>
      <w:numPr>
        <w:numId w:val="1"/>
      </w:numPr>
    </w:pPr>
  </w:style>
  <w:style w:type="paragraph" w:customStyle="1" w:styleId="1NumberedPointsStyle">
    <w:name w:val="1. Numbered Points Style"/>
    <w:basedOn w:val="Normal"/>
    <w:uiPriority w:val="99"/>
    <w:semiHidden/>
  </w:style>
  <w:style w:type="numbering" w:customStyle="1" w:styleId="BulletList">
    <w:name w:val="Bullet List"/>
    <w:uiPriority w:val="99"/>
    <w:pPr>
      <w:numPr>
        <w:numId w:val="2"/>
      </w:numPr>
    </w:pPr>
  </w:style>
  <w:style w:type="paragraph" w:customStyle="1" w:styleId="1BulletStyleList">
    <w:name w:val="1. Bullet Style List"/>
    <w:basedOn w:val="Normal"/>
    <w:uiPriority w:val="99"/>
    <w:semiHidden/>
    <w:rPr>
      <w:rFonts w:eastAsia="Times New Roman"/>
      <w:szCs w:val="20"/>
      <w:lang w:eastAsia="en-AU"/>
    </w:rPr>
  </w:style>
  <w:style w:type="character" w:customStyle="1" w:styleId="Heading1Char">
    <w:name w:val="Heading 1 Char"/>
    <w:basedOn w:val="DefaultParagraphFont"/>
    <w:link w:val="Heading1"/>
    <w:uiPriority w:val="9"/>
    <w:rsid w:val="00DF2153"/>
    <w:rPr>
      <w:rFonts w:ascii="Verdana" w:hAnsi="Verdana"/>
      <w:b/>
      <w:color w:val="4C6968" w:themeColor="text1"/>
      <w:sz w:val="50"/>
      <w:szCs w:val="24"/>
      <w:lang w:eastAsia="en-US"/>
    </w:rPr>
  </w:style>
  <w:style w:type="character" w:customStyle="1" w:styleId="Heading2Char">
    <w:name w:val="Heading 2 Char"/>
    <w:basedOn w:val="DefaultParagraphFont"/>
    <w:link w:val="Heading2"/>
    <w:uiPriority w:val="9"/>
    <w:rsid w:val="003268F7"/>
    <w:rPr>
      <w:rFonts w:ascii="Verdana" w:hAnsi="Verdana"/>
      <w:b/>
      <w:color w:val="48555E" w:themeColor="text2"/>
      <w:sz w:val="32"/>
      <w:szCs w:val="20"/>
      <w:lang w:eastAsia="en-US"/>
    </w:rPr>
  </w:style>
  <w:style w:type="character" w:customStyle="1" w:styleId="Heading3Char">
    <w:name w:val="Heading 3 Char"/>
    <w:basedOn w:val="DefaultParagraphFont"/>
    <w:link w:val="Heading3"/>
    <w:uiPriority w:val="9"/>
    <w:rsid w:val="003268F7"/>
    <w:rPr>
      <w:rFonts w:ascii="Verdana" w:hAnsi="Verdana" w:cs="Arial"/>
      <w:b/>
      <w:color w:val="48555E" w:themeColor="text2"/>
      <w:sz w:val="26"/>
      <w:lang w:eastAsia="en-US"/>
    </w:rPr>
  </w:style>
  <w:style w:type="character" w:customStyle="1" w:styleId="Heading4Char">
    <w:name w:val="Heading 4 Char"/>
    <w:basedOn w:val="DefaultParagraphFont"/>
    <w:link w:val="Heading4"/>
    <w:uiPriority w:val="9"/>
    <w:rsid w:val="003268F7"/>
    <w:rPr>
      <w:rFonts w:ascii="Verdana" w:hAnsi="Verdana" w:cs="Arial"/>
      <w:lang w:eastAsia="en-US"/>
    </w:rPr>
  </w:style>
  <w:style w:type="paragraph" w:styleId="ListBullet">
    <w:name w:val="List Bullet"/>
    <w:basedOn w:val="Normal"/>
    <w:uiPriority w:val="99"/>
    <w:unhideWhenUsed/>
    <w:qFormat/>
    <w:rsid w:val="007C3F00"/>
    <w:pPr>
      <w:numPr>
        <w:numId w:val="8"/>
      </w:numPr>
      <w:spacing w:after="120"/>
    </w:pPr>
  </w:style>
  <w:style w:type="paragraph" w:styleId="ListBullet2">
    <w:name w:val="List Bullet 2"/>
    <w:basedOn w:val="Normal"/>
    <w:uiPriority w:val="99"/>
    <w:unhideWhenUsed/>
    <w:pPr>
      <w:numPr>
        <w:ilvl w:val="1"/>
        <w:numId w:val="8"/>
      </w:numPr>
    </w:pPr>
  </w:style>
  <w:style w:type="numbering" w:customStyle="1" w:styleId="Attach">
    <w:name w:val="Attach"/>
    <w:basedOn w:val="NoList"/>
    <w:uiPriority w:val="99"/>
    <w:pPr>
      <w:numPr>
        <w:numId w:val="5"/>
      </w:numPr>
    </w:pPr>
  </w:style>
  <w:style w:type="character" w:customStyle="1" w:styleId="Heading5Char">
    <w:name w:val="Heading 5 Char"/>
    <w:basedOn w:val="DefaultParagraphFont"/>
    <w:link w:val="Heading5"/>
    <w:uiPriority w:val="9"/>
    <w:rsid w:val="008015ED"/>
    <w:rPr>
      <w:rFonts w:ascii="Verdana" w:eastAsiaTheme="majorEastAsia" w:hAnsi="Verdana" w:cstheme="majorBidi"/>
      <w:i/>
      <w:color w:val="4C6968" w:themeColor="text1"/>
      <w:sz w:val="20"/>
      <w:lang w:eastAsia="en-US"/>
    </w:rPr>
  </w:style>
  <w:style w:type="paragraph" w:styleId="ListNumber">
    <w:name w:val="List Number"/>
    <w:basedOn w:val="Normal"/>
    <w:uiPriority w:val="99"/>
    <w:qFormat/>
    <w:pPr>
      <w:numPr>
        <w:numId w:val="11"/>
      </w:numPr>
      <w:spacing w:before="120" w:after="120"/>
    </w:pPr>
  </w:style>
  <w:style w:type="paragraph" w:styleId="ListNumber2">
    <w:name w:val="List Number 2"/>
    <w:basedOn w:val="Normal"/>
    <w:uiPriority w:val="99"/>
    <w:rsid w:val="00FE0C2F"/>
    <w:pPr>
      <w:numPr>
        <w:ilvl w:val="1"/>
        <w:numId w:val="11"/>
      </w:numPr>
      <w:spacing w:after="120"/>
    </w:pPr>
    <w:rPr>
      <w:rFonts w:cs="Segoe UI"/>
    </w:rPr>
  </w:style>
  <w:style w:type="paragraph" w:styleId="ListNumber3">
    <w:name w:val="List Number 3"/>
    <w:basedOn w:val="Normal"/>
    <w:uiPriority w:val="99"/>
    <w:rsid w:val="00FE0C2F"/>
    <w:pPr>
      <w:numPr>
        <w:ilvl w:val="2"/>
        <w:numId w:val="11"/>
      </w:numPr>
      <w:spacing w:after="120"/>
      <w:ind w:left="1106"/>
    </w:pPr>
    <w:rPr>
      <w:rFonts w:cs="Segoe UI"/>
    </w:rPr>
  </w:style>
  <w:style w:type="paragraph" w:styleId="Header">
    <w:name w:val="header"/>
    <w:basedOn w:val="Normal"/>
    <w:link w:val="HeaderChar"/>
    <w:uiPriority w:val="99"/>
    <w:unhideWhenUsed/>
    <w:rsid w:val="004E09A7"/>
    <w:pPr>
      <w:tabs>
        <w:tab w:val="center" w:pos="4513"/>
        <w:tab w:val="right" w:pos="9026"/>
      </w:tabs>
      <w:spacing w:after="0"/>
    </w:pPr>
  </w:style>
  <w:style w:type="character" w:customStyle="1" w:styleId="HeaderChar">
    <w:name w:val="Header Char"/>
    <w:basedOn w:val="DefaultParagraphFont"/>
    <w:link w:val="Header"/>
    <w:uiPriority w:val="99"/>
    <w:rsid w:val="004E09A7"/>
    <w:rPr>
      <w:rFonts w:ascii="Verdana" w:hAnsi="Verdana"/>
      <w:sz w:val="20"/>
      <w:lang w:eastAsia="en-US"/>
    </w:rPr>
  </w:style>
  <w:style w:type="table" w:styleId="TableGrid">
    <w:name w:val="Table Grid"/>
    <w:basedOn w:val="TableNormal"/>
    <w:uiPriority w:val="59"/>
    <w:tblPr>
      <w:tblBorders>
        <w:top w:val="single" w:sz="4" w:space="0" w:color="4C6968" w:themeColor="text1"/>
        <w:left w:val="single" w:sz="4" w:space="0" w:color="4C6968" w:themeColor="text1"/>
        <w:bottom w:val="single" w:sz="4" w:space="0" w:color="4C6968" w:themeColor="text1"/>
        <w:right w:val="single" w:sz="4" w:space="0" w:color="4C6968" w:themeColor="text1"/>
        <w:insideH w:val="single" w:sz="4" w:space="0" w:color="4C6968" w:themeColor="text1"/>
        <w:insideV w:val="single" w:sz="4" w:space="0" w:color="4C6968" w:themeColor="text1"/>
      </w:tblBorders>
    </w:tblPr>
  </w:style>
  <w:style w:type="paragraph" w:styleId="Title">
    <w:name w:val="Title"/>
    <w:basedOn w:val="Normal"/>
    <w:next w:val="Normal"/>
    <w:link w:val="TitleChar"/>
    <w:uiPriority w:val="10"/>
    <w:qFormat/>
    <w:rsid w:val="00473F5B"/>
    <w:pPr>
      <w:spacing w:after="0"/>
      <w:contextualSpacing/>
    </w:pPr>
    <w:rPr>
      <w:rFonts w:eastAsiaTheme="majorEastAsia" w:cstheme="majorBidi"/>
      <w:b/>
      <w:color w:val="FFFFFF"/>
      <w:spacing w:val="-10"/>
      <w:kern w:val="28"/>
      <w:sz w:val="70"/>
      <w:szCs w:val="56"/>
    </w:rPr>
  </w:style>
  <w:style w:type="character" w:customStyle="1" w:styleId="TitleChar">
    <w:name w:val="Title Char"/>
    <w:basedOn w:val="DefaultParagraphFont"/>
    <w:link w:val="Title"/>
    <w:uiPriority w:val="10"/>
    <w:rsid w:val="00473F5B"/>
    <w:rPr>
      <w:rFonts w:ascii="Verdana" w:eastAsiaTheme="majorEastAsia" w:hAnsi="Verdana" w:cstheme="majorBidi"/>
      <w:b/>
      <w:color w:val="FFFFFF"/>
      <w:spacing w:val="-10"/>
      <w:kern w:val="28"/>
      <w:sz w:val="70"/>
      <w:szCs w:val="56"/>
      <w:lang w:eastAsia="en-US"/>
    </w:rPr>
  </w:style>
  <w:style w:type="character" w:styleId="CommentReference">
    <w:name w:val="annotation reference"/>
    <w:basedOn w:val="DefaultParagraphFont"/>
    <w:uiPriority w:val="99"/>
    <w:semiHidden/>
    <w:unhideWhenUsed/>
    <w:rPr>
      <w:sz w:val="16"/>
      <w:szCs w:val="16"/>
    </w:rPr>
  </w:style>
  <w:style w:type="table" w:styleId="PlainTable1">
    <w:name w:val="Plain Table 1"/>
    <w:basedOn w:val="TableNormal"/>
    <w:uiPriority w:val="41"/>
    <w:rsid w:val="007C3F00"/>
    <w:tblPr>
      <w:tblStyleRowBandSize w:val="1"/>
      <w:tblStyleColBandSize w:val="1"/>
      <w:tblBorders>
        <w:top w:val="single" w:sz="4" w:space="0" w:color="72ADC4" w:themeColor="background1" w:themeShade="BF"/>
        <w:left w:val="single" w:sz="4" w:space="0" w:color="72ADC4" w:themeColor="background1" w:themeShade="BF"/>
        <w:bottom w:val="single" w:sz="4" w:space="0" w:color="72ADC4" w:themeColor="background1" w:themeShade="BF"/>
        <w:right w:val="single" w:sz="4" w:space="0" w:color="72ADC4" w:themeColor="background1" w:themeShade="BF"/>
        <w:insideH w:val="single" w:sz="4" w:space="0" w:color="72ADC4" w:themeColor="background1" w:themeShade="BF"/>
        <w:insideV w:val="single" w:sz="4" w:space="0" w:color="72ADC4" w:themeColor="background1" w:themeShade="BF"/>
      </w:tblBorders>
    </w:tblPr>
    <w:tblStylePr w:type="firstRow">
      <w:rPr>
        <w:b/>
        <w:bCs/>
      </w:rPr>
    </w:tblStylePr>
    <w:tblStylePr w:type="lastRow">
      <w:rPr>
        <w:b/>
        <w:bCs/>
      </w:rPr>
      <w:tblPr/>
      <w:tcPr>
        <w:tcBorders>
          <w:top w:val="double" w:sz="4" w:space="0" w:color="72ADC4" w:themeColor="background1" w:themeShade="BF"/>
        </w:tcBorders>
      </w:tcPr>
    </w:tblStylePr>
    <w:tblStylePr w:type="firstCol">
      <w:rPr>
        <w:b/>
        <w:bCs/>
      </w:rPr>
    </w:tblStylePr>
    <w:tblStylePr w:type="lastCol">
      <w:rPr>
        <w:b/>
        <w:bCs/>
      </w:rPr>
    </w:tblStylePr>
    <w:tblStylePr w:type="band1Vert">
      <w:tblPr/>
      <w:tcPr>
        <w:shd w:val="clear" w:color="auto" w:fill="ACCFDC" w:themeFill="background1" w:themeFillShade="F2"/>
      </w:tcPr>
    </w:tblStylePr>
    <w:tblStylePr w:type="band1Horz">
      <w:tblPr/>
      <w:tcPr>
        <w:shd w:val="clear" w:color="auto" w:fill="ACCFDC" w:themeFill="background1" w:themeFillShade="F2"/>
      </w:tcPr>
    </w:tblStylePr>
  </w:style>
  <w:style w:type="paragraph" w:customStyle="1" w:styleId="TableHeader">
    <w:name w:val="Table Header"/>
    <w:basedOn w:val="Normal"/>
    <w:qFormat/>
    <w:rsid w:val="003268F7"/>
    <w:pPr>
      <w:spacing w:before="120" w:after="120"/>
    </w:pPr>
    <w:rPr>
      <w:b/>
      <w:color w:val="FFFFFF"/>
    </w:rPr>
  </w:style>
  <w:style w:type="paragraph" w:styleId="CommentSubject">
    <w:name w:val="annotation subject"/>
    <w:basedOn w:val="Normal"/>
    <w:next w:val="Normal"/>
    <w:link w:val="CommentSubjectChar"/>
    <w:uiPriority w:val="99"/>
    <w:semiHidden/>
    <w:unhideWhenUsed/>
    <w:rsid w:val="00CA62BF"/>
    <w:rPr>
      <w:b/>
      <w:bCs/>
      <w:szCs w:val="20"/>
    </w:rPr>
  </w:style>
  <w:style w:type="character" w:customStyle="1" w:styleId="CommentSubjectChar">
    <w:name w:val="Comment Subject Char"/>
    <w:basedOn w:val="DefaultParagraphFont"/>
    <w:link w:val="CommentSubject"/>
    <w:uiPriority w:val="99"/>
    <w:semiHidden/>
    <w:rsid w:val="00CA62BF"/>
    <w:rPr>
      <w:rFonts w:ascii="Calibri" w:hAnsi="Calibri"/>
      <w:b/>
      <w:bCs/>
      <w:sz w:val="20"/>
      <w:szCs w:val="20"/>
      <w:lang w:eastAsia="en-US"/>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szCs w:val="24"/>
      <w:lang w:eastAsia="en-AU"/>
    </w:rPr>
  </w:style>
  <w:style w:type="paragraph" w:customStyle="1" w:styleId="TableText">
    <w:name w:val="Table Text"/>
    <w:basedOn w:val="Normal"/>
    <w:qFormat/>
    <w:rsid w:val="003268F7"/>
    <w:pPr>
      <w:spacing w:before="120" w:after="120"/>
    </w:p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Pr>
      <w:color w:val="48545E" w:themeColor="hyperlink"/>
      <w:u w:val="single"/>
    </w:r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rsid w:val="00AA7CB2"/>
    <w:rPr>
      <w:color w:val="FFFFFF" w:themeColor="followedHyperlink"/>
      <w:u w:val="single"/>
    </w:rPr>
  </w:style>
  <w:style w:type="character" w:styleId="UnresolvedMention">
    <w:name w:val="Unresolved Mention"/>
    <w:basedOn w:val="DefaultParagraphFont"/>
    <w:uiPriority w:val="99"/>
    <w:semiHidden/>
    <w:unhideWhenUsed/>
    <w:rsid w:val="00AA7CB2"/>
    <w:rPr>
      <w:color w:val="605E5C"/>
      <w:shd w:val="clear" w:color="auto" w:fill="E1DFDD"/>
    </w:rPr>
  </w:style>
  <w:style w:type="paragraph" w:customStyle="1" w:styleId="TableHeading">
    <w:name w:val="Table Heading"/>
    <w:basedOn w:val="Normal"/>
    <w:qFormat/>
    <w:rsid w:val="003268F7"/>
    <w:pPr>
      <w:spacing w:before="240" w:after="120"/>
    </w:pPr>
    <w:rPr>
      <w:color w:val="4C6968" w:themeColor="text1"/>
    </w:rPr>
  </w:style>
  <w:style w:type="table" w:styleId="TableGridLight">
    <w:name w:val="Grid Table Light"/>
    <w:basedOn w:val="TableNormal"/>
    <w:uiPriority w:val="40"/>
    <w:rsid w:val="003268F7"/>
    <w:rPr>
      <w:rFonts w:ascii="Verdana" w:hAnsi="Verdana"/>
      <w:sz w:val="20"/>
    </w:rPr>
    <w:tblPr>
      <w:tblBorders>
        <w:top w:val="single" w:sz="4" w:space="0" w:color="48555E" w:themeColor="text2"/>
        <w:bottom w:val="single" w:sz="4" w:space="0" w:color="48555E" w:themeColor="text2"/>
        <w:insideH w:val="single" w:sz="4" w:space="0" w:color="48555E" w:themeColor="text2"/>
      </w:tblBorders>
    </w:tblPr>
    <w:tblStylePr w:type="firstRow">
      <w:tblPr/>
      <w:tcPr>
        <w:shd w:val="clear" w:color="auto" w:fill="4C6968" w:themeFill="text1"/>
      </w:tcPr>
    </w:tblStylePr>
  </w:style>
  <w:style w:type="paragraph" w:styleId="Subtitle">
    <w:name w:val="Subtitle"/>
    <w:basedOn w:val="Normal"/>
    <w:next w:val="Normal"/>
    <w:link w:val="SubtitleChar"/>
    <w:uiPriority w:val="11"/>
    <w:unhideWhenUsed/>
    <w:qFormat/>
    <w:rsid w:val="00E56ACF"/>
    <w:pPr>
      <w:numPr>
        <w:ilvl w:val="1"/>
      </w:numPr>
      <w:spacing w:before="360" w:after="160"/>
    </w:pPr>
    <w:rPr>
      <w:rFonts w:eastAsiaTheme="minorEastAsia" w:cstheme="minorBidi"/>
      <w:color w:val="FFFFFF"/>
      <w:spacing w:val="15"/>
      <w:sz w:val="30"/>
    </w:rPr>
  </w:style>
  <w:style w:type="character" w:customStyle="1" w:styleId="SubtitleChar">
    <w:name w:val="Subtitle Char"/>
    <w:basedOn w:val="DefaultParagraphFont"/>
    <w:link w:val="Subtitle"/>
    <w:uiPriority w:val="11"/>
    <w:rsid w:val="00E56ACF"/>
    <w:rPr>
      <w:rFonts w:ascii="Verdana" w:eastAsiaTheme="minorEastAsia" w:hAnsi="Verdana" w:cstheme="minorBidi"/>
      <w:color w:val="FFFFFF"/>
      <w:spacing w:val="15"/>
      <w:sz w:val="30"/>
      <w:lang w:eastAsia="en-US"/>
    </w:rPr>
  </w:style>
  <w:style w:type="paragraph" w:customStyle="1" w:styleId="Author">
    <w:name w:val="Author"/>
    <w:basedOn w:val="Normal"/>
    <w:qFormat/>
    <w:rsid w:val="00E56ACF"/>
    <w:pPr>
      <w:spacing w:before="600" w:after="120"/>
    </w:pPr>
    <w:rPr>
      <w:color w:val="FFFFFF"/>
    </w:rPr>
  </w:style>
  <w:style w:type="paragraph" w:customStyle="1" w:styleId="IntroductionParagraph">
    <w:name w:val="Introduction Paragraph"/>
    <w:basedOn w:val="Normal"/>
    <w:qFormat/>
    <w:rsid w:val="002C07A5"/>
    <w:pPr>
      <w:spacing w:after="360"/>
    </w:pPr>
    <w:rPr>
      <w:b/>
      <w:color w:val="FFFFFF"/>
      <w:sz w:val="28"/>
    </w:rPr>
  </w:style>
  <w:style w:type="paragraph" w:customStyle="1" w:styleId="NormalWhite">
    <w:name w:val="Normal White"/>
    <w:basedOn w:val="Normal"/>
    <w:qFormat/>
    <w:rsid w:val="002C07A5"/>
    <w:rPr>
      <w:color w:val="FFFFFF"/>
    </w:rPr>
  </w:style>
  <w:style w:type="paragraph" w:customStyle="1" w:styleId="FigureHeading">
    <w:name w:val="Figure Heading"/>
    <w:basedOn w:val="TableHeading"/>
    <w:qFormat/>
    <w:rsid w:val="00142E0B"/>
  </w:style>
  <w:style w:type="paragraph" w:styleId="TOC2">
    <w:name w:val="toc 2"/>
    <w:basedOn w:val="Normal"/>
    <w:next w:val="Normal"/>
    <w:autoRedefine/>
    <w:uiPriority w:val="39"/>
    <w:unhideWhenUsed/>
    <w:rsid w:val="0066217F"/>
    <w:pPr>
      <w:tabs>
        <w:tab w:val="right" w:leader="dot" w:pos="9628"/>
      </w:tabs>
      <w:spacing w:after="100"/>
      <w:ind w:left="200"/>
    </w:pPr>
    <w:rPr>
      <w:noProof/>
    </w:rPr>
  </w:style>
  <w:style w:type="paragraph" w:styleId="TOC1">
    <w:name w:val="toc 1"/>
    <w:basedOn w:val="Normal"/>
    <w:next w:val="Normal"/>
    <w:autoRedefine/>
    <w:uiPriority w:val="39"/>
    <w:unhideWhenUsed/>
    <w:rsid w:val="001C0F11"/>
    <w:pPr>
      <w:tabs>
        <w:tab w:val="right" w:leader="dot" w:pos="9628"/>
      </w:tabs>
      <w:spacing w:before="240" w:after="100"/>
    </w:pPr>
    <w:rPr>
      <w:b/>
      <w:noProof/>
      <w:color w:val="48555E" w:themeColor="text2"/>
      <w:sz w:val="24"/>
    </w:rPr>
  </w:style>
  <w:style w:type="paragraph" w:styleId="TOC3">
    <w:name w:val="toc 3"/>
    <w:basedOn w:val="Normal"/>
    <w:next w:val="Normal"/>
    <w:autoRedefine/>
    <w:uiPriority w:val="39"/>
    <w:unhideWhenUsed/>
    <w:rsid w:val="0066217F"/>
    <w:pPr>
      <w:tabs>
        <w:tab w:val="right" w:leader="dot" w:pos="9628"/>
      </w:tabs>
      <w:spacing w:after="100"/>
      <w:ind w:left="400"/>
    </w:pPr>
    <w:rPr>
      <w:noProof/>
    </w:rPr>
  </w:style>
  <w:style w:type="paragraph" w:customStyle="1" w:styleId="AppendicesHeading1">
    <w:name w:val="Appendices Heading 1"/>
    <w:basedOn w:val="Heading1"/>
    <w:qFormat/>
    <w:rsid w:val="007935B6"/>
  </w:style>
  <w:style w:type="paragraph" w:customStyle="1" w:styleId="AppendicesHeading2">
    <w:name w:val="Appendices Heading 2"/>
    <w:basedOn w:val="Heading2"/>
    <w:qFormat/>
    <w:rsid w:val="007935B6"/>
  </w:style>
  <w:style w:type="paragraph" w:customStyle="1" w:styleId="AppendicesHeading3">
    <w:name w:val="Appendices Heading 3"/>
    <w:basedOn w:val="Heading3"/>
    <w:qFormat/>
    <w:rsid w:val="007935B6"/>
  </w:style>
  <w:style w:type="paragraph" w:customStyle="1" w:styleId="AppendicesHeading4">
    <w:name w:val="Appendices Heading 4"/>
    <w:basedOn w:val="Heading4"/>
    <w:qFormat/>
    <w:rsid w:val="007935B6"/>
  </w:style>
  <w:style w:type="paragraph" w:customStyle="1" w:styleId="AppendicesHeading5">
    <w:name w:val="Appendices Heading 5"/>
    <w:basedOn w:val="Heading5"/>
    <w:qFormat/>
    <w:rsid w:val="007935B6"/>
  </w:style>
  <w:style w:type="paragraph" w:customStyle="1" w:styleId="Instructions">
    <w:name w:val="Instructions"/>
    <w:basedOn w:val="Normal"/>
    <w:qFormat/>
    <w:rsid w:val="001C0F11"/>
    <w:pPr>
      <w:pBdr>
        <w:top w:val="single" w:sz="4" w:space="1" w:color="BCD8E3" w:themeColor="background1"/>
        <w:left w:val="single" w:sz="4" w:space="4" w:color="BCD8E3" w:themeColor="background1"/>
        <w:bottom w:val="single" w:sz="4" w:space="1" w:color="BCD8E3" w:themeColor="background1"/>
        <w:right w:val="single" w:sz="4" w:space="4" w:color="BCD8E3" w:themeColor="background1"/>
      </w:pBdr>
      <w:shd w:val="clear" w:color="auto" w:fill="BCD8E3" w:themeFill="background1"/>
      <w:ind w:left="113" w:right="113"/>
    </w:pPr>
  </w:style>
  <w:style w:type="character" w:styleId="Emphasis">
    <w:name w:val="Emphasis"/>
    <w:basedOn w:val="DefaultParagraphFont"/>
    <w:uiPriority w:val="20"/>
    <w:qFormat/>
    <w:rsid w:val="00C118DE"/>
    <w:rPr>
      <w:i/>
      <w:iCs/>
    </w:rPr>
  </w:style>
  <w:style w:type="paragraph" w:styleId="CommentText">
    <w:name w:val="annotation text"/>
    <w:basedOn w:val="Normal"/>
    <w:link w:val="CommentTextChar"/>
    <w:uiPriority w:val="99"/>
    <w:semiHidden/>
    <w:unhideWhenUsed/>
    <w:rsid w:val="00C118DE"/>
    <w:pPr>
      <w:suppressAutoHyphens/>
      <w:spacing w:before="60" w:after="60"/>
    </w:pPr>
    <w:rPr>
      <w:rFonts w:ascii="Arial" w:eastAsiaTheme="minorEastAsia" w:hAnsi="Arial" w:cstheme="minorBidi"/>
      <w:szCs w:val="20"/>
      <w:lang w:eastAsia="en-GB"/>
    </w:rPr>
  </w:style>
  <w:style w:type="character" w:customStyle="1" w:styleId="CommentTextChar">
    <w:name w:val="Comment Text Char"/>
    <w:basedOn w:val="DefaultParagraphFont"/>
    <w:link w:val="CommentText"/>
    <w:uiPriority w:val="99"/>
    <w:semiHidden/>
    <w:rsid w:val="00C118DE"/>
    <w:rPr>
      <w:rFonts w:eastAsiaTheme="minorEastAsia" w:cstheme="minorBidi"/>
      <w:sz w:val="20"/>
      <w:szCs w:val="20"/>
      <w:lang w:eastAsia="en-GB"/>
    </w:rPr>
  </w:style>
  <w:style w:type="paragraph" w:styleId="ListParagraph">
    <w:name w:val="List Paragraph"/>
    <w:basedOn w:val="Normal"/>
    <w:uiPriority w:val="34"/>
    <w:qFormat/>
    <w:rsid w:val="00D22692"/>
    <w:pPr>
      <w:numPr>
        <w:numId w:val="48"/>
      </w:numPr>
      <w:spacing w:line="276" w:lineRule="auto"/>
      <w:contextualSpacing/>
    </w:pPr>
    <w:rPr>
      <w:rFonts w:asciiTheme="minorHAnsi" w:eastAsiaTheme="minorHAnsi" w:hAnsiTheme="minorHAnsi" w:cstheme="minorHAnsi"/>
      <w:sz w:val="22"/>
    </w:rPr>
  </w:style>
  <w:style w:type="paragraph" w:styleId="FootnoteText">
    <w:name w:val="footnote text"/>
    <w:basedOn w:val="Normal"/>
    <w:link w:val="FootnoteTextChar"/>
    <w:uiPriority w:val="99"/>
    <w:semiHidden/>
    <w:unhideWhenUsed/>
    <w:rsid w:val="00D6375B"/>
    <w:pPr>
      <w:spacing w:after="0"/>
    </w:pPr>
    <w:rPr>
      <w:szCs w:val="20"/>
    </w:rPr>
  </w:style>
  <w:style w:type="character" w:customStyle="1" w:styleId="FootnoteTextChar">
    <w:name w:val="Footnote Text Char"/>
    <w:basedOn w:val="DefaultParagraphFont"/>
    <w:link w:val="FootnoteText"/>
    <w:uiPriority w:val="99"/>
    <w:semiHidden/>
    <w:rsid w:val="00D6375B"/>
    <w:rPr>
      <w:rFonts w:ascii="Verdana" w:hAnsi="Verdana"/>
      <w:sz w:val="20"/>
      <w:szCs w:val="20"/>
      <w:lang w:eastAsia="en-US"/>
    </w:rPr>
  </w:style>
  <w:style w:type="character" w:styleId="FootnoteReference">
    <w:name w:val="footnote reference"/>
    <w:basedOn w:val="DefaultParagraphFont"/>
    <w:uiPriority w:val="99"/>
    <w:semiHidden/>
    <w:unhideWhenUsed/>
    <w:rsid w:val="00D6375B"/>
    <w:rPr>
      <w:vertAlign w:val="superscript"/>
    </w:rPr>
  </w:style>
  <w:style w:type="table" w:styleId="PlainTable2">
    <w:name w:val="Plain Table 2"/>
    <w:basedOn w:val="TableNormal"/>
    <w:uiPriority w:val="42"/>
    <w:rsid w:val="007132FF"/>
    <w:tblPr>
      <w:tblStyleRowBandSize w:val="1"/>
      <w:tblStyleColBandSize w:val="1"/>
      <w:tblBorders>
        <w:top w:val="single" w:sz="4" w:space="0" w:color="9FB9B8" w:themeColor="text1" w:themeTint="80"/>
        <w:bottom w:val="single" w:sz="4" w:space="0" w:color="9FB9B8" w:themeColor="text1" w:themeTint="80"/>
      </w:tblBorders>
    </w:tblPr>
    <w:tblStylePr w:type="firstRow">
      <w:rPr>
        <w:b/>
        <w:bCs/>
      </w:rPr>
      <w:tblPr/>
      <w:tcPr>
        <w:tcBorders>
          <w:bottom w:val="single" w:sz="4" w:space="0" w:color="9FB9B8" w:themeColor="text1" w:themeTint="80"/>
        </w:tcBorders>
      </w:tcPr>
    </w:tblStylePr>
    <w:tblStylePr w:type="lastRow">
      <w:rPr>
        <w:b/>
        <w:bCs/>
      </w:rPr>
      <w:tblPr/>
      <w:tcPr>
        <w:tcBorders>
          <w:top w:val="single" w:sz="4" w:space="0" w:color="9FB9B8" w:themeColor="text1" w:themeTint="80"/>
        </w:tcBorders>
      </w:tcPr>
    </w:tblStylePr>
    <w:tblStylePr w:type="firstCol">
      <w:rPr>
        <w:b/>
        <w:bCs/>
      </w:rPr>
    </w:tblStylePr>
    <w:tblStylePr w:type="lastCol">
      <w:rPr>
        <w:b/>
        <w:bCs/>
      </w:rPr>
    </w:tblStylePr>
    <w:tblStylePr w:type="band1Vert">
      <w:tblPr/>
      <w:tcPr>
        <w:tcBorders>
          <w:left w:val="single" w:sz="4" w:space="0" w:color="9FB9B8" w:themeColor="text1" w:themeTint="80"/>
          <w:right w:val="single" w:sz="4" w:space="0" w:color="9FB9B8" w:themeColor="text1" w:themeTint="80"/>
        </w:tcBorders>
      </w:tcPr>
    </w:tblStylePr>
    <w:tblStylePr w:type="band2Vert">
      <w:tblPr/>
      <w:tcPr>
        <w:tcBorders>
          <w:left w:val="single" w:sz="4" w:space="0" w:color="9FB9B8" w:themeColor="text1" w:themeTint="80"/>
          <w:right w:val="single" w:sz="4" w:space="0" w:color="9FB9B8" w:themeColor="text1" w:themeTint="80"/>
        </w:tcBorders>
      </w:tcPr>
    </w:tblStylePr>
    <w:tblStylePr w:type="band1Horz">
      <w:tblPr/>
      <w:tcPr>
        <w:tcBorders>
          <w:top w:val="single" w:sz="4" w:space="0" w:color="9FB9B8" w:themeColor="text1" w:themeTint="80"/>
          <w:bottom w:val="single" w:sz="4" w:space="0" w:color="9FB9B8"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0003767">
      <w:bodyDiv w:val="1"/>
      <w:marLeft w:val="0"/>
      <w:marRight w:val="0"/>
      <w:marTop w:val="0"/>
      <w:marBottom w:val="0"/>
      <w:divBdr>
        <w:top w:val="none" w:sz="0" w:space="0" w:color="auto"/>
        <w:left w:val="none" w:sz="0" w:space="0" w:color="auto"/>
        <w:bottom w:val="none" w:sz="0" w:space="0" w:color="auto"/>
        <w:right w:val="none" w:sz="0" w:space="0" w:color="auto"/>
      </w:divBdr>
      <w:divsChild>
        <w:div w:id="144397795">
          <w:marLeft w:val="0"/>
          <w:marRight w:val="0"/>
          <w:marTop w:val="0"/>
          <w:marBottom w:val="0"/>
          <w:divBdr>
            <w:top w:val="none" w:sz="0" w:space="0" w:color="auto"/>
            <w:left w:val="none" w:sz="0" w:space="0" w:color="auto"/>
            <w:bottom w:val="none" w:sz="0" w:space="0" w:color="auto"/>
            <w:right w:val="none" w:sz="0" w:space="0" w:color="auto"/>
          </w:divBdr>
          <w:divsChild>
            <w:div w:id="1157264909">
              <w:marLeft w:val="0"/>
              <w:marRight w:val="0"/>
              <w:marTop w:val="0"/>
              <w:marBottom w:val="0"/>
              <w:divBdr>
                <w:top w:val="single" w:sz="6" w:space="0" w:color="666666"/>
                <w:left w:val="single" w:sz="6" w:space="0" w:color="666666"/>
                <w:bottom w:val="single" w:sz="48" w:space="0" w:color="000000"/>
                <w:right w:val="single" w:sz="6" w:space="0" w:color="666666"/>
              </w:divBdr>
              <w:divsChild>
                <w:div w:id="562184448">
                  <w:marLeft w:val="0"/>
                  <w:marRight w:val="0"/>
                  <w:marTop w:val="0"/>
                  <w:marBottom w:val="0"/>
                  <w:divBdr>
                    <w:top w:val="none" w:sz="0" w:space="0" w:color="auto"/>
                    <w:left w:val="none" w:sz="0" w:space="0" w:color="auto"/>
                    <w:bottom w:val="none" w:sz="0" w:space="0" w:color="auto"/>
                    <w:right w:val="none" w:sz="0" w:space="0" w:color="auto"/>
                  </w:divBdr>
                  <w:divsChild>
                    <w:div w:id="629476871">
                      <w:marLeft w:val="150"/>
                      <w:marRight w:val="0"/>
                      <w:marTop w:val="150"/>
                      <w:marBottom w:val="0"/>
                      <w:divBdr>
                        <w:top w:val="none" w:sz="0" w:space="0" w:color="auto"/>
                        <w:left w:val="none" w:sz="0" w:space="0" w:color="auto"/>
                        <w:bottom w:val="none" w:sz="0" w:space="0" w:color="auto"/>
                        <w:right w:val="none" w:sz="0" w:space="0" w:color="auto"/>
                      </w:divBdr>
                      <w:divsChild>
                        <w:div w:id="805513206">
                          <w:marLeft w:val="0"/>
                          <w:marRight w:val="0"/>
                          <w:marTop w:val="0"/>
                          <w:marBottom w:val="0"/>
                          <w:divBdr>
                            <w:top w:val="none" w:sz="0" w:space="0" w:color="auto"/>
                            <w:left w:val="none" w:sz="0" w:space="0" w:color="auto"/>
                            <w:bottom w:val="none" w:sz="0" w:space="0" w:color="auto"/>
                            <w:right w:val="none" w:sz="0" w:space="0" w:color="auto"/>
                          </w:divBdr>
                          <w:divsChild>
                            <w:div w:id="1205947322">
                              <w:marLeft w:val="0"/>
                              <w:marRight w:val="0"/>
                              <w:marTop w:val="0"/>
                              <w:marBottom w:val="0"/>
                              <w:divBdr>
                                <w:top w:val="none" w:sz="0" w:space="0" w:color="auto"/>
                                <w:left w:val="none" w:sz="0" w:space="0" w:color="auto"/>
                                <w:bottom w:val="none" w:sz="0" w:space="0" w:color="auto"/>
                                <w:right w:val="none" w:sz="0" w:space="0" w:color="auto"/>
                              </w:divBdr>
                              <w:divsChild>
                                <w:div w:id="1520924222">
                                  <w:marLeft w:val="0"/>
                                  <w:marRight w:val="0"/>
                                  <w:marTop w:val="0"/>
                                  <w:marBottom w:val="0"/>
                                  <w:divBdr>
                                    <w:top w:val="none" w:sz="0" w:space="0" w:color="auto"/>
                                    <w:left w:val="none" w:sz="0" w:space="0" w:color="auto"/>
                                    <w:bottom w:val="none" w:sz="0" w:space="0" w:color="auto"/>
                                    <w:right w:val="none" w:sz="0" w:space="0" w:color="auto"/>
                                  </w:divBdr>
                                  <w:divsChild>
                                    <w:div w:id="1266616800">
                                      <w:marLeft w:val="0"/>
                                      <w:marRight w:val="0"/>
                                      <w:marTop w:val="0"/>
                                      <w:marBottom w:val="0"/>
                                      <w:divBdr>
                                        <w:top w:val="none" w:sz="0" w:space="0" w:color="auto"/>
                                        <w:left w:val="none" w:sz="0" w:space="0" w:color="auto"/>
                                        <w:bottom w:val="none" w:sz="0" w:space="0" w:color="auto"/>
                                        <w:right w:val="none" w:sz="0" w:space="0" w:color="auto"/>
                                      </w:divBdr>
                                      <w:divsChild>
                                        <w:div w:id="327951791">
                                          <w:marLeft w:val="0"/>
                                          <w:marRight w:val="0"/>
                                          <w:marTop w:val="0"/>
                                          <w:marBottom w:val="0"/>
                                          <w:divBdr>
                                            <w:top w:val="none" w:sz="0" w:space="0" w:color="auto"/>
                                            <w:left w:val="none" w:sz="0" w:space="0" w:color="auto"/>
                                            <w:bottom w:val="none" w:sz="0" w:space="0" w:color="auto"/>
                                            <w:right w:val="none" w:sz="0" w:space="0" w:color="auto"/>
                                          </w:divBdr>
                                          <w:divsChild>
                                            <w:div w:id="2080905658">
                                              <w:marLeft w:val="0"/>
                                              <w:marRight w:val="0"/>
                                              <w:marTop w:val="0"/>
                                              <w:marBottom w:val="0"/>
                                              <w:divBdr>
                                                <w:top w:val="none" w:sz="0" w:space="0" w:color="auto"/>
                                                <w:left w:val="none" w:sz="0" w:space="0" w:color="auto"/>
                                                <w:bottom w:val="none" w:sz="0" w:space="0" w:color="auto"/>
                                                <w:right w:val="none" w:sz="0" w:space="0" w:color="auto"/>
                                              </w:divBdr>
                                              <w:divsChild>
                                                <w:div w:id="209881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0452024">
      <w:bodyDiv w:val="1"/>
      <w:marLeft w:val="0"/>
      <w:marRight w:val="0"/>
      <w:marTop w:val="0"/>
      <w:marBottom w:val="0"/>
      <w:divBdr>
        <w:top w:val="none" w:sz="0" w:space="0" w:color="auto"/>
        <w:left w:val="none" w:sz="0" w:space="0" w:color="auto"/>
        <w:bottom w:val="none" w:sz="0" w:space="0" w:color="auto"/>
        <w:right w:val="none" w:sz="0" w:space="0" w:color="auto"/>
      </w:divBdr>
    </w:div>
    <w:div w:id="1031422349">
      <w:bodyDiv w:val="1"/>
      <w:marLeft w:val="0"/>
      <w:marRight w:val="0"/>
      <w:marTop w:val="0"/>
      <w:marBottom w:val="0"/>
      <w:divBdr>
        <w:top w:val="none" w:sz="0" w:space="0" w:color="auto"/>
        <w:left w:val="none" w:sz="0" w:space="0" w:color="auto"/>
        <w:bottom w:val="none" w:sz="0" w:space="0" w:color="auto"/>
        <w:right w:val="none" w:sz="0" w:space="0" w:color="auto"/>
      </w:divBdr>
    </w:div>
    <w:div w:id="1708990622">
      <w:bodyDiv w:val="1"/>
      <w:marLeft w:val="0"/>
      <w:marRight w:val="0"/>
      <w:marTop w:val="0"/>
      <w:marBottom w:val="0"/>
      <w:divBdr>
        <w:top w:val="none" w:sz="0" w:space="0" w:color="auto"/>
        <w:left w:val="none" w:sz="0" w:space="0" w:color="auto"/>
        <w:bottom w:val="none" w:sz="0" w:space="0" w:color="auto"/>
        <w:right w:val="none" w:sz="0" w:space="0" w:color="auto"/>
      </w:divBdr>
      <w:divsChild>
        <w:div w:id="986591248">
          <w:marLeft w:val="0"/>
          <w:marRight w:val="0"/>
          <w:marTop w:val="0"/>
          <w:marBottom w:val="0"/>
          <w:divBdr>
            <w:top w:val="none" w:sz="0" w:space="0" w:color="auto"/>
            <w:left w:val="none" w:sz="0" w:space="0" w:color="auto"/>
            <w:bottom w:val="none" w:sz="0" w:space="0" w:color="auto"/>
            <w:right w:val="none" w:sz="0" w:space="0" w:color="auto"/>
          </w:divBdr>
          <w:divsChild>
            <w:div w:id="1172724320">
              <w:marLeft w:val="0"/>
              <w:marRight w:val="0"/>
              <w:marTop w:val="0"/>
              <w:marBottom w:val="0"/>
              <w:divBdr>
                <w:top w:val="single" w:sz="6" w:space="0" w:color="666666"/>
                <w:left w:val="single" w:sz="6" w:space="0" w:color="666666"/>
                <w:bottom w:val="single" w:sz="48" w:space="0" w:color="000000"/>
                <w:right w:val="single" w:sz="6" w:space="0" w:color="666666"/>
              </w:divBdr>
              <w:divsChild>
                <w:div w:id="1874033384">
                  <w:marLeft w:val="0"/>
                  <w:marRight w:val="0"/>
                  <w:marTop w:val="0"/>
                  <w:marBottom w:val="0"/>
                  <w:divBdr>
                    <w:top w:val="none" w:sz="0" w:space="0" w:color="auto"/>
                    <w:left w:val="none" w:sz="0" w:space="0" w:color="auto"/>
                    <w:bottom w:val="none" w:sz="0" w:space="0" w:color="auto"/>
                    <w:right w:val="none" w:sz="0" w:space="0" w:color="auto"/>
                  </w:divBdr>
                  <w:divsChild>
                    <w:div w:id="290744654">
                      <w:marLeft w:val="150"/>
                      <w:marRight w:val="0"/>
                      <w:marTop w:val="150"/>
                      <w:marBottom w:val="0"/>
                      <w:divBdr>
                        <w:top w:val="none" w:sz="0" w:space="0" w:color="auto"/>
                        <w:left w:val="none" w:sz="0" w:space="0" w:color="auto"/>
                        <w:bottom w:val="none" w:sz="0" w:space="0" w:color="auto"/>
                        <w:right w:val="none" w:sz="0" w:space="0" w:color="auto"/>
                      </w:divBdr>
                      <w:divsChild>
                        <w:div w:id="1945720995">
                          <w:marLeft w:val="0"/>
                          <w:marRight w:val="0"/>
                          <w:marTop w:val="0"/>
                          <w:marBottom w:val="0"/>
                          <w:divBdr>
                            <w:top w:val="none" w:sz="0" w:space="0" w:color="auto"/>
                            <w:left w:val="none" w:sz="0" w:space="0" w:color="auto"/>
                            <w:bottom w:val="none" w:sz="0" w:space="0" w:color="auto"/>
                            <w:right w:val="none" w:sz="0" w:space="0" w:color="auto"/>
                          </w:divBdr>
                          <w:divsChild>
                            <w:div w:id="572086575">
                              <w:marLeft w:val="0"/>
                              <w:marRight w:val="0"/>
                              <w:marTop w:val="0"/>
                              <w:marBottom w:val="0"/>
                              <w:divBdr>
                                <w:top w:val="none" w:sz="0" w:space="0" w:color="auto"/>
                                <w:left w:val="none" w:sz="0" w:space="0" w:color="auto"/>
                                <w:bottom w:val="none" w:sz="0" w:space="0" w:color="auto"/>
                                <w:right w:val="none" w:sz="0" w:space="0" w:color="auto"/>
                              </w:divBdr>
                              <w:divsChild>
                                <w:div w:id="143010660">
                                  <w:marLeft w:val="0"/>
                                  <w:marRight w:val="0"/>
                                  <w:marTop w:val="0"/>
                                  <w:marBottom w:val="0"/>
                                  <w:divBdr>
                                    <w:top w:val="none" w:sz="0" w:space="0" w:color="auto"/>
                                    <w:left w:val="none" w:sz="0" w:space="0" w:color="auto"/>
                                    <w:bottom w:val="none" w:sz="0" w:space="0" w:color="auto"/>
                                    <w:right w:val="none" w:sz="0" w:space="0" w:color="auto"/>
                                  </w:divBdr>
                                  <w:divsChild>
                                    <w:div w:id="499203016">
                                      <w:marLeft w:val="0"/>
                                      <w:marRight w:val="0"/>
                                      <w:marTop w:val="0"/>
                                      <w:marBottom w:val="0"/>
                                      <w:divBdr>
                                        <w:top w:val="none" w:sz="0" w:space="0" w:color="auto"/>
                                        <w:left w:val="none" w:sz="0" w:space="0" w:color="auto"/>
                                        <w:bottom w:val="none" w:sz="0" w:space="0" w:color="auto"/>
                                        <w:right w:val="none" w:sz="0" w:space="0" w:color="auto"/>
                                      </w:divBdr>
                                      <w:divsChild>
                                        <w:div w:id="485636354">
                                          <w:marLeft w:val="0"/>
                                          <w:marRight w:val="0"/>
                                          <w:marTop w:val="0"/>
                                          <w:marBottom w:val="0"/>
                                          <w:divBdr>
                                            <w:top w:val="none" w:sz="0" w:space="0" w:color="auto"/>
                                            <w:left w:val="none" w:sz="0" w:space="0" w:color="auto"/>
                                            <w:bottom w:val="none" w:sz="0" w:space="0" w:color="auto"/>
                                            <w:right w:val="none" w:sz="0" w:space="0" w:color="auto"/>
                                          </w:divBdr>
                                          <w:divsChild>
                                            <w:div w:id="200362086">
                                              <w:marLeft w:val="0"/>
                                              <w:marRight w:val="0"/>
                                              <w:marTop w:val="0"/>
                                              <w:marBottom w:val="0"/>
                                              <w:divBdr>
                                                <w:top w:val="none" w:sz="0" w:space="0" w:color="auto"/>
                                                <w:left w:val="none" w:sz="0" w:space="0" w:color="auto"/>
                                                <w:bottom w:val="none" w:sz="0" w:space="0" w:color="auto"/>
                                                <w:right w:val="none" w:sz="0" w:space="0" w:color="auto"/>
                                              </w:divBdr>
                                              <w:divsChild>
                                                <w:div w:id="213976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gwc.gov.au/what-we-do/reviews-and-reports" TargetMode="External"/><Relationship Id="rId18" Type="http://schemas.openxmlformats.org/officeDocument/2006/relationships/footer" Target="footer1.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pyright@dcceew.gov.au"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act@igwc.gov.au" TargetMode="External"/><Relationship Id="rId22" Type="http://schemas.openxmlformats.org/officeDocument/2006/relationships/image" Target="media/image8.png"/><Relationship Id="rId27" Type="http://schemas.openxmlformats.org/officeDocument/2006/relationships/footer" Target="footer4.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mdba.gov.au/publications-and-data/publications/roadmap-2026-basin-plan-review-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L:\Templates\Internal%20briefing\Internal_general_briefing_template.dotx" TargetMode="External"/></Relationships>
</file>

<file path=word/theme/theme1.xml><?xml version="1.0" encoding="utf-8"?>
<a:theme xmlns:a="http://schemas.openxmlformats.org/drawingml/2006/main" name="Office Theme">
  <a:themeElements>
    <a:clrScheme name="IGWC">
      <a:dk1>
        <a:srgbClr val="4C6968"/>
      </a:dk1>
      <a:lt1>
        <a:srgbClr val="BCD8E3"/>
      </a:lt1>
      <a:dk2>
        <a:srgbClr val="48555E"/>
      </a:dk2>
      <a:lt2>
        <a:srgbClr val="E7E6E6"/>
      </a:lt2>
      <a:accent1>
        <a:srgbClr val="4C6968"/>
      </a:accent1>
      <a:accent2>
        <a:srgbClr val="48545E"/>
      </a:accent2>
      <a:accent3>
        <a:srgbClr val="BCD7E2"/>
      </a:accent3>
      <a:accent4>
        <a:srgbClr val="6E8C81"/>
      </a:accent4>
      <a:accent5>
        <a:srgbClr val="F0C88A"/>
      </a:accent5>
      <a:accent6>
        <a:srgbClr val="CE9282"/>
      </a:accent6>
      <a:hlink>
        <a:srgbClr val="48545E"/>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6" ma:contentTypeDescription="Create a new document." ma:contentTypeScope="" ma:versionID="29ebb019d354d671b53245c09b1e2d80">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a95247a4-6a6b-40fb-87b6-0fb2f012c536" targetNamespace="http://schemas.microsoft.com/office/2006/metadata/properties" ma:root="true" ma:fieldsID="25bdb6a5bc4ffbbe42be2b4704fa052c" ns1:_="" ns2:_="" ns3:_="" ns4:_="" ns5:_="">
    <xsd:import namespace="http://schemas.microsoft.com/sharepoint/v3"/>
    <xsd:import namespace="b98728ac-f998-415c-abee-6b046fb1441e"/>
    <xsd:import namespace="d869c146-c82e-4435-92e4-da91542262fd"/>
    <xsd:import namespace="d81c2681-db7b-4a56-9abd-a3238a78f6b2"/>
    <xsd:import namespace="a95247a4-6a6b-40fb-87b6-0fb2f012c536"/>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95247a4-6a6b-40fb-87b6-0fb2f012c536"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d81c2681-db7b-4a56-9abd-a3238a78f6b2">
      <Terms xmlns="http://schemas.microsoft.com/office/infopath/2007/PartnerControls"/>
    </lcf76f155ced4ddcb4097134ff3c332f>
    <TaxCatchAll xmlns="a95247a4-6a6b-40fb-87b6-0fb2f012c536" xsi:nil="true"/>
  </documentManagement>
</p:properties>
</file>

<file path=customXml/itemProps1.xml><?xml version="1.0" encoding="utf-8"?>
<ds:datastoreItem xmlns:ds="http://schemas.openxmlformats.org/officeDocument/2006/customXml" ds:itemID="{E86B28C6-7962-401A-8875-07C73F611300}">
  <ds:schemaRefs>
    <ds:schemaRef ds:uri="http://schemas.microsoft.com/sharepoint/v3/contenttype/forms"/>
  </ds:schemaRefs>
</ds:datastoreItem>
</file>

<file path=customXml/itemProps2.xml><?xml version="1.0" encoding="utf-8"?>
<ds:datastoreItem xmlns:ds="http://schemas.openxmlformats.org/officeDocument/2006/customXml" ds:itemID="{CA445226-175A-4CEE-8C32-0D4C4ADE3EDB}"/>
</file>

<file path=customXml/itemProps3.xml><?xml version="1.0" encoding="utf-8"?>
<ds:datastoreItem xmlns:ds="http://schemas.openxmlformats.org/officeDocument/2006/customXml" ds:itemID="{4A309D61-B96E-4185-A354-C8898E3C8587}">
  <ds:schemaRefs>
    <ds:schemaRef ds:uri="http://schemas.openxmlformats.org/officeDocument/2006/bibliography"/>
  </ds:schemaRefs>
</ds:datastoreItem>
</file>

<file path=customXml/itemProps4.xml><?xml version="1.0" encoding="utf-8"?>
<ds:datastoreItem xmlns:ds="http://schemas.openxmlformats.org/officeDocument/2006/customXml" ds:itemID="{5FB376BB-38E8-4490-87E8-7BC8669BBA75}">
  <ds:schemaRefs>
    <ds:schemaRef ds:uri="http://schemas.microsoft.com/office/2006/metadata/properties"/>
    <ds:schemaRef ds:uri="http://schemas.microsoft.com/office/infopath/2007/PartnerControls"/>
    <ds:schemaRef ds:uri="http://schemas.microsoft.com/sharepoint/v3"/>
    <ds:schemaRef ds:uri="d81c2681-db7b-4a56-9abd-a3238a78f6b2"/>
    <ds:schemaRef ds:uri="a95247a4-6a6b-40fb-87b6-0fb2f012c536"/>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Internal_general_briefing_template</Template>
  <TotalTime>9</TotalTime>
  <Pages>11</Pages>
  <Words>2278</Words>
  <Characters>12986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Annual Work Plan 2025-26</vt:lpstr>
    </vt:vector>
  </TitlesOfParts>
  <Manager/>
  <Company/>
  <LinksUpToDate>false</LinksUpToDate>
  <CharactersWithSpaces>15234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Work Plan 2025-26</dc:title>
  <dc:subject>
  </dc:subject>
  <dc:creator>IGWC</dc:creator>
  <cp:keywords>
  </cp:keywords>
  <dc:description>
  </dc:description>
  <cp:revision>10</cp:revision>
  <cp:lastPrinted>2021-12-15T06:45:00Z</cp:lastPrinted>
  <dcterms:created xsi:type="dcterms:W3CDTF">2025-08-12T00:01:00Z</dcterms:created>
  <dcterms:modified xsi:type="dcterms:W3CDTF">2025-08-12T02:31:00Z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0x010100D001B2BE74D025469E1D0E28F10DD2C8</vt:lpwstr>
  </property>
  <property fmtid="{D5CDD505-2E9C-101B-9397-08002B2CF9AE}" pid="3" name="MediaServiceImageTags">
    <vt:lpwstr/>
  </property>
</Properties>
</file>