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225E6" w14:textId="60BCA20A" w:rsidR="61363AEF" w:rsidRDefault="00663B72">
      <w:r>
        <w:t xml:space="preserve"> </w:t>
      </w:r>
    </w:p>
    <w:p w14:paraId="32AF73CB" w14:textId="38F4BA17" w:rsidR="00B00BB1" w:rsidRDefault="00B00BB1" w:rsidP="00B00BB1">
      <w:pPr>
        <w:pStyle w:val="Title"/>
      </w:pPr>
    </w:p>
    <w:p w14:paraId="569AF57A" w14:textId="6CF20392" w:rsidR="00C50364" w:rsidRDefault="00B00BB1" w:rsidP="00B00BB1">
      <w:pPr>
        <w:pStyle w:val="Title"/>
      </w:pPr>
      <w:r>
        <w:t xml:space="preserve">Sustainable Diversion Limit Compliance </w:t>
      </w:r>
      <w:r w:rsidR="0000089D">
        <w:t>Report</w:t>
      </w:r>
      <w:r>
        <w:t xml:space="preserve"> </w:t>
      </w:r>
    </w:p>
    <w:p w14:paraId="0FF9FE80" w14:textId="09CC145A" w:rsidR="00B00BB1" w:rsidRDefault="00B00BB1" w:rsidP="00B00BB1">
      <w:pPr>
        <w:pStyle w:val="Title"/>
      </w:pPr>
      <w:r>
        <w:t>for 202</w:t>
      </w:r>
      <w:r w:rsidR="00014CFD">
        <w:t>3</w:t>
      </w:r>
      <w:r>
        <w:t>-202</w:t>
      </w:r>
      <w:r w:rsidR="00014CFD">
        <w:t>4</w:t>
      </w:r>
    </w:p>
    <w:p w14:paraId="04A5407B" w14:textId="2FDBD092" w:rsidR="00B00BB1" w:rsidRDefault="00B00BB1" w:rsidP="00B00BB1">
      <w:pPr>
        <w:pStyle w:val="Subtitle"/>
      </w:pPr>
      <w:r>
        <w:t>Inspector</w:t>
      </w:r>
      <w:r w:rsidR="000F760E">
        <w:t>–</w:t>
      </w:r>
      <w:r>
        <w:t>General of Water Compliance</w:t>
      </w:r>
    </w:p>
    <w:p w14:paraId="52A76934" w14:textId="77777777" w:rsidR="00B00BB1" w:rsidRDefault="00B00BB1" w:rsidP="00B00BB1">
      <w:pPr>
        <w:rPr>
          <w:b/>
          <w:bCs/>
          <w:color w:val="E7E6E6" w:themeColor="background2"/>
        </w:rPr>
      </w:pPr>
    </w:p>
    <w:p w14:paraId="7B7BC468" w14:textId="77777777" w:rsidR="00B00BB1" w:rsidRDefault="00B00BB1" w:rsidP="00B00BB1">
      <w:pPr>
        <w:rPr>
          <w:b/>
          <w:bCs/>
          <w:color w:val="E7E6E6" w:themeColor="background2"/>
        </w:rPr>
      </w:pPr>
    </w:p>
    <w:p w14:paraId="4E50D88C" w14:textId="72254F7C" w:rsidR="00BB62DB" w:rsidRDefault="00A336AA" w:rsidP="00B00BB1">
      <w:pPr>
        <w:rPr>
          <w:b/>
          <w:bCs/>
          <w:color w:val="E7E6E6" w:themeColor="background2"/>
        </w:rPr>
      </w:pPr>
      <w:r>
        <w:rPr>
          <w:b/>
          <w:bCs/>
          <w:color w:val="E7E6E6" w:themeColor="background2"/>
        </w:rPr>
        <w:t>August</w:t>
      </w:r>
      <w:r w:rsidR="00BB62DB" w:rsidRPr="61363AEF">
        <w:rPr>
          <w:b/>
          <w:bCs/>
          <w:color w:val="E7E6E6" w:themeColor="background2"/>
        </w:rPr>
        <w:t xml:space="preserve"> 202</w:t>
      </w:r>
      <w:r w:rsidR="6CC689FD" w:rsidRPr="61363AEF">
        <w:rPr>
          <w:b/>
          <w:bCs/>
          <w:color w:val="E7E6E6" w:themeColor="background2"/>
        </w:rPr>
        <w:t>5</w:t>
      </w:r>
    </w:p>
    <w:p w14:paraId="07FC3C62" w14:textId="1A99C961" w:rsidR="00473F5B" w:rsidRDefault="00473F5B">
      <w:pPr>
        <w:spacing w:after="0"/>
        <w:rPr>
          <w:b/>
          <w:color w:val="FFFFFF"/>
          <w:sz w:val="60"/>
          <w:szCs w:val="24"/>
        </w:rPr>
      </w:pPr>
      <w:r>
        <w:br w:type="page"/>
      </w:r>
    </w:p>
    <w:p w14:paraId="04CA522E" w14:textId="27F031D4" w:rsidR="0089171C" w:rsidRDefault="0089171C">
      <w:pPr>
        <w:spacing w:after="0"/>
        <w:rPr>
          <w:szCs w:val="20"/>
        </w:rPr>
      </w:pPr>
    </w:p>
    <w:p w14:paraId="4044C11E" w14:textId="37626137" w:rsidR="00C118DE" w:rsidRPr="00452256" w:rsidRDefault="00C118DE" w:rsidP="00C118DE">
      <w:pPr>
        <w:rPr>
          <w:szCs w:val="20"/>
        </w:rPr>
      </w:pPr>
      <w:r w:rsidRPr="00452256">
        <w:rPr>
          <w:szCs w:val="20"/>
        </w:rPr>
        <w:t xml:space="preserve">© </w:t>
      </w:r>
      <w:r w:rsidRPr="008905E4">
        <w:rPr>
          <w:szCs w:val="20"/>
        </w:rPr>
        <w:t>Commonwealth of Australia 202</w:t>
      </w:r>
      <w:r w:rsidR="008905E4" w:rsidRPr="008905E4">
        <w:rPr>
          <w:szCs w:val="20"/>
        </w:rPr>
        <w:t>5</w:t>
      </w:r>
    </w:p>
    <w:p w14:paraId="28B179DA" w14:textId="77777777" w:rsidR="00C118DE" w:rsidRPr="00452256" w:rsidRDefault="00C118DE" w:rsidP="00C118DE">
      <w:pPr>
        <w:rPr>
          <w:rStyle w:val="Strong"/>
          <w:szCs w:val="20"/>
        </w:rPr>
      </w:pPr>
      <w:r w:rsidRPr="00452256">
        <w:rPr>
          <w:rStyle w:val="Strong"/>
          <w:szCs w:val="20"/>
        </w:rPr>
        <w:t>Ownership of intellectual property rights</w:t>
      </w:r>
    </w:p>
    <w:p w14:paraId="3B9C6235" w14:textId="77777777" w:rsidR="00C118DE" w:rsidRPr="00452256" w:rsidRDefault="00C118DE" w:rsidP="00C118DE">
      <w:pPr>
        <w:rPr>
          <w:szCs w:val="20"/>
        </w:rPr>
      </w:pPr>
      <w:r w:rsidRPr="00452256">
        <w:rPr>
          <w:szCs w:val="20"/>
        </w:rPr>
        <w:t>Unless otherwise noted, copyright (and any other intellectual property rights) in this publication is owned by the Commonwealth of Australia (referred to as the Commonwealth).</w:t>
      </w:r>
    </w:p>
    <w:p w14:paraId="79706610" w14:textId="77777777" w:rsidR="00C118DE" w:rsidRPr="00452256" w:rsidRDefault="00C118DE" w:rsidP="00C118DE">
      <w:pPr>
        <w:rPr>
          <w:rStyle w:val="Strong"/>
          <w:szCs w:val="20"/>
        </w:rPr>
      </w:pPr>
      <w:r w:rsidRPr="00452256">
        <w:rPr>
          <w:rStyle w:val="Strong"/>
          <w:szCs w:val="20"/>
        </w:rPr>
        <w:t xml:space="preserve">Creative Commons licence </w:t>
      </w:r>
    </w:p>
    <w:p w14:paraId="680879B5" w14:textId="77777777" w:rsidR="00C118DE" w:rsidRPr="00452256" w:rsidRDefault="00C118DE" w:rsidP="00C118DE">
      <w:pPr>
        <w:rPr>
          <w:szCs w:val="20"/>
        </w:rPr>
      </w:pPr>
      <w:r w:rsidRPr="00452256">
        <w:rPr>
          <w:szCs w:val="20"/>
        </w:rPr>
        <w:t xml:space="preserve">All material in this publication is licensed under a Creative Commons Attribution 4.0 International Licence, except for content supplied by third parties, logos and the Commonwealth Coat of Arms. </w:t>
      </w:r>
    </w:p>
    <w:p w14:paraId="2832055F" w14:textId="77777777" w:rsidR="00C118DE" w:rsidRPr="00452256" w:rsidRDefault="00C118DE" w:rsidP="00C118DE">
      <w:pPr>
        <w:rPr>
          <w:szCs w:val="20"/>
        </w:rPr>
      </w:pPr>
      <w:r w:rsidRPr="00452256">
        <w:rPr>
          <w:szCs w:val="20"/>
        </w:rPr>
        <w:t xml:space="preserve">Inquiries about the licence and any use of this document should be emailed to </w:t>
      </w:r>
      <w:hyperlink r:id="rId11" w:history="1">
        <w:r w:rsidRPr="00452256">
          <w:rPr>
            <w:rStyle w:val="Hyperlink"/>
            <w:szCs w:val="20"/>
          </w:rPr>
          <w:t>copyright@dcceew.gov.au</w:t>
        </w:r>
      </w:hyperlink>
      <w:r w:rsidRPr="00452256">
        <w:rPr>
          <w:szCs w:val="20"/>
        </w:rPr>
        <w:t>.</w:t>
      </w:r>
    </w:p>
    <w:p w14:paraId="2204E794" w14:textId="77777777" w:rsidR="00C118DE" w:rsidRPr="00452256" w:rsidRDefault="00C118DE" w:rsidP="00C118DE">
      <w:pPr>
        <w:rPr>
          <w:szCs w:val="20"/>
        </w:rPr>
      </w:pPr>
      <w:r w:rsidRPr="00452256">
        <w:rPr>
          <w:noProof/>
          <w:szCs w:val="20"/>
          <w:lang w:eastAsia="en-AU"/>
        </w:rPr>
        <w:drawing>
          <wp:inline distT="0" distB="0" distL="0" distR="0" wp14:anchorId="05DB0953" wp14:editId="3F0175E4">
            <wp:extent cx="724535" cy="25527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134D8FB" w14:textId="77777777" w:rsidR="00C118DE" w:rsidRPr="00452256" w:rsidRDefault="00C118DE" w:rsidP="00C118DE">
      <w:pPr>
        <w:rPr>
          <w:rStyle w:val="Strong"/>
          <w:szCs w:val="20"/>
        </w:rPr>
      </w:pPr>
      <w:r w:rsidRPr="00452256">
        <w:rPr>
          <w:rStyle w:val="Strong"/>
          <w:szCs w:val="20"/>
        </w:rPr>
        <w:t>Cataloguing data</w:t>
      </w:r>
    </w:p>
    <w:p w14:paraId="5374E236" w14:textId="3B4ED045" w:rsidR="00C118DE" w:rsidRPr="00452256" w:rsidRDefault="00C118DE" w:rsidP="5A2A41A5">
      <w:pPr>
        <w:spacing w:line="259" w:lineRule="auto"/>
      </w:pPr>
      <w:r>
        <w:t xml:space="preserve">This publication (and any material sourced from it) should be attributed as: </w:t>
      </w:r>
      <w:r w:rsidR="001C51BA" w:rsidRPr="008905E4">
        <w:t>Inspector</w:t>
      </w:r>
      <w:r w:rsidR="00A80C75">
        <w:t>–</w:t>
      </w:r>
      <w:r w:rsidR="001C51BA" w:rsidRPr="008905E4">
        <w:t>General of Water Compliance 202</w:t>
      </w:r>
      <w:r w:rsidR="008905E4">
        <w:t>5</w:t>
      </w:r>
      <w:r w:rsidR="001C51BA" w:rsidRPr="008905E4">
        <w:t>, Sustainable Diversion Limit Compliance Statement 202</w:t>
      </w:r>
      <w:r w:rsidR="667F13C6" w:rsidRPr="008905E4">
        <w:t>3</w:t>
      </w:r>
      <w:r w:rsidR="001C51BA" w:rsidRPr="008905E4">
        <w:t>-202</w:t>
      </w:r>
      <w:r w:rsidR="3603DF97" w:rsidRPr="008905E4">
        <w:t>4</w:t>
      </w:r>
      <w:r w:rsidR="001C51BA" w:rsidRPr="008905E4">
        <w:t xml:space="preserve">, </w:t>
      </w:r>
      <w:r w:rsidRPr="008905E4">
        <w:t xml:space="preserve">the Australian Government, Canberra, </w:t>
      </w:r>
      <w:r w:rsidR="00A336AA">
        <w:t>August</w:t>
      </w:r>
      <w:r w:rsidR="1AADB8A5" w:rsidRPr="008905E4">
        <w:t xml:space="preserve"> </w:t>
      </w:r>
      <w:r w:rsidR="00B71A60" w:rsidRPr="008905E4">
        <w:t>202</w:t>
      </w:r>
      <w:r w:rsidR="5FD41535" w:rsidRPr="008905E4">
        <w:t>5</w:t>
      </w:r>
      <w:r w:rsidRPr="008905E4">
        <w:t>. CC BY 4.0.</w:t>
      </w:r>
    </w:p>
    <w:p w14:paraId="461700F7" w14:textId="3331D880" w:rsidR="00C118DE" w:rsidRPr="00452256" w:rsidRDefault="00C118DE" w:rsidP="00C118DE">
      <w:pPr>
        <w:rPr>
          <w:rStyle w:val="Hyperlink"/>
          <w:szCs w:val="20"/>
        </w:rPr>
      </w:pPr>
      <w:r w:rsidRPr="00452256">
        <w:rPr>
          <w:szCs w:val="20"/>
        </w:rPr>
        <w:t xml:space="preserve">This publication is available </w:t>
      </w:r>
      <w:r w:rsidRPr="00511ACA">
        <w:rPr>
          <w:szCs w:val="20"/>
        </w:rPr>
        <w:t xml:space="preserve">at </w:t>
      </w:r>
      <w:hyperlink r:id="rId13" w:history="1">
        <w:r w:rsidRPr="00511ACA">
          <w:rPr>
            <w:rStyle w:val="Hyperlink"/>
            <w:szCs w:val="20"/>
          </w:rPr>
          <w:t>https://www.igwc.gov.au/reviews-reports</w:t>
        </w:r>
      </w:hyperlink>
    </w:p>
    <w:p w14:paraId="7B8CEB47" w14:textId="799BA5F5" w:rsidR="00C118DE" w:rsidRPr="00452256" w:rsidRDefault="00C118DE" w:rsidP="00C118DE">
      <w:pPr>
        <w:rPr>
          <w:szCs w:val="20"/>
        </w:rPr>
      </w:pPr>
      <w:r w:rsidRPr="00452256">
        <w:rPr>
          <w:szCs w:val="20"/>
        </w:rPr>
        <w:t>Inspector</w:t>
      </w:r>
      <w:r w:rsidR="000A1B21">
        <w:rPr>
          <w:szCs w:val="20"/>
        </w:rPr>
        <w:t>–</w:t>
      </w:r>
      <w:r w:rsidRPr="00452256">
        <w:rPr>
          <w:szCs w:val="20"/>
        </w:rPr>
        <w:t>General of Water Compliance</w:t>
      </w:r>
      <w:r w:rsidRPr="00452256">
        <w:rPr>
          <w:szCs w:val="20"/>
        </w:rPr>
        <w:br/>
        <w:t>GPO Box 3090 Canberra ACT 2601</w:t>
      </w:r>
    </w:p>
    <w:p w14:paraId="682B040B" w14:textId="77777777" w:rsidR="00C118DE" w:rsidRPr="00452256" w:rsidRDefault="00C118DE" w:rsidP="00C118DE">
      <w:pPr>
        <w:rPr>
          <w:rStyle w:val="Strong"/>
          <w:szCs w:val="20"/>
        </w:rPr>
      </w:pPr>
      <w:r w:rsidRPr="00452256">
        <w:rPr>
          <w:rStyle w:val="Strong"/>
          <w:szCs w:val="20"/>
        </w:rPr>
        <w:t>Disclaimer</w:t>
      </w:r>
    </w:p>
    <w:p w14:paraId="55470092" w14:textId="2E2FCADD" w:rsidR="00C118DE" w:rsidRPr="00452256" w:rsidRDefault="00C118DE" w:rsidP="00C118DE">
      <w:pPr>
        <w:rPr>
          <w:szCs w:val="20"/>
        </w:rPr>
      </w:pPr>
      <w:r w:rsidRPr="00452256">
        <w:rPr>
          <w:szCs w:val="20"/>
        </w:rPr>
        <w:t>The Australian Government represented by the Inspector</w:t>
      </w:r>
      <w:r w:rsidR="000A1B21">
        <w:rPr>
          <w:szCs w:val="20"/>
        </w:rPr>
        <w:t>–</w:t>
      </w:r>
      <w:r w:rsidRPr="00452256">
        <w:rPr>
          <w:szCs w:val="20"/>
        </w:rPr>
        <w:t>General of Water Compliance, has exercised due care and skill in preparing and compiling the information and data in this publication. Notwithstanding, the</w:t>
      </w:r>
      <w:r w:rsidR="006B7EE8">
        <w:rPr>
          <w:szCs w:val="20"/>
        </w:rPr>
        <w:t xml:space="preserve"> </w:t>
      </w:r>
      <w:r w:rsidRPr="00452256">
        <w:rPr>
          <w:szCs w:val="20"/>
        </w:rPr>
        <w:t>Inspector</w:t>
      </w:r>
      <w:r w:rsidR="006B7EE8">
        <w:rPr>
          <w:szCs w:val="20"/>
        </w:rPr>
        <w:t>–</w:t>
      </w:r>
      <w:r w:rsidRPr="00452256">
        <w:rPr>
          <w:szCs w:val="20"/>
        </w:rPr>
        <w:t>General of Water Compliance, the Australian Government’s employees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FEDD46E" w14:textId="77777777" w:rsidR="00C118DE" w:rsidRPr="00452256" w:rsidRDefault="00C118DE" w:rsidP="00C118DE">
      <w:pPr>
        <w:rPr>
          <w:rStyle w:val="Strong"/>
          <w:szCs w:val="20"/>
        </w:rPr>
      </w:pPr>
      <w:r w:rsidRPr="00452256">
        <w:rPr>
          <w:rStyle w:val="Strong"/>
          <w:szCs w:val="20"/>
        </w:rPr>
        <w:t>Acknowledgement of the Traditional Owners of the Murray–Darling Basin</w:t>
      </w:r>
    </w:p>
    <w:p w14:paraId="45B7AE50" w14:textId="11D70F58" w:rsidR="00537A12" w:rsidRPr="00537A12" w:rsidRDefault="00537A12" w:rsidP="00537A12">
      <w:pPr>
        <w:rPr>
          <w:szCs w:val="20"/>
        </w:rPr>
      </w:pPr>
      <w:r w:rsidRPr="00537A12">
        <w:t>We pay our respects to the Traditional Owners and their Nations of the Murray</w:t>
      </w:r>
      <w:r w:rsidR="006B7EE8">
        <w:t>–</w:t>
      </w:r>
      <w:r w:rsidRPr="00537A12">
        <w:t>Darling Basin. We acknowledge their deep cultural, social, environmental, spiritual and economic connection to their lands and waters.</w:t>
      </w:r>
    </w:p>
    <w:p w14:paraId="4EC63EA8" w14:textId="77777777" w:rsidR="00537A12" w:rsidRPr="00537A12" w:rsidRDefault="00537A12" w:rsidP="00537A12">
      <w:r w:rsidRPr="00537A12">
        <w:t xml:space="preserve">Aboriginal people should be aware that this publication may contain images, names or quotations of deceased persons. </w:t>
      </w:r>
    </w:p>
    <w:p w14:paraId="10795F39" w14:textId="77777777" w:rsidR="00C118DE" w:rsidRPr="00452256" w:rsidRDefault="00C118DE" w:rsidP="00C118DE">
      <w:pPr>
        <w:rPr>
          <w:rStyle w:val="Strong"/>
          <w:szCs w:val="20"/>
        </w:rPr>
      </w:pPr>
      <w:r w:rsidRPr="00452256">
        <w:rPr>
          <w:rStyle w:val="Strong"/>
          <w:szCs w:val="20"/>
        </w:rPr>
        <w:t>Accessibility</w:t>
      </w:r>
    </w:p>
    <w:p w14:paraId="1B46CAB4" w14:textId="6E89D490" w:rsidR="00C118DE" w:rsidRDefault="00C118DE" w:rsidP="00C118DE">
      <w:pPr>
        <w:rPr>
          <w:szCs w:val="20"/>
        </w:rPr>
      </w:pPr>
      <w:r w:rsidRPr="00452256">
        <w:rPr>
          <w:szCs w:val="20"/>
        </w:rPr>
        <w:t>The document and information is available in accessible formats. On some occasions the highly technical nature of the document means that we cannot make some sections fully accessible. If you encounter accessibility problems or the document is in a format that you cannot access, please contact us</w:t>
      </w:r>
      <w:r w:rsidR="002E7966">
        <w:rPr>
          <w:szCs w:val="20"/>
        </w:rPr>
        <w:t xml:space="preserve"> at </w:t>
      </w:r>
      <w:hyperlink r:id="rId14" w:history="1">
        <w:r w:rsidR="002E7966" w:rsidRPr="00574A02">
          <w:rPr>
            <w:rStyle w:val="Hyperlink"/>
            <w:szCs w:val="20"/>
          </w:rPr>
          <w:t>contact@igwc.gov.au</w:t>
        </w:r>
      </w:hyperlink>
      <w:r w:rsidR="002E7966">
        <w:rPr>
          <w:szCs w:val="20"/>
        </w:rPr>
        <w:t xml:space="preserve">. </w:t>
      </w:r>
    </w:p>
    <w:p w14:paraId="3481D538" w14:textId="01C53F82" w:rsidR="00473F5B" w:rsidRDefault="00473F5B" w:rsidP="006318A8">
      <w:r>
        <w:br w:type="page"/>
      </w:r>
    </w:p>
    <w:p w14:paraId="75AAC00F" w14:textId="13D05347" w:rsidR="00473F5B" w:rsidRDefault="00473F5B" w:rsidP="00473F5B">
      <w:pPr>
        <w:pStyle w:val="Heading1"/>
      </w:pPr>
      <w:bookmarkStart w:id="0" w:name="_Toc105590117"/>
      <w:bookmarkStart w:id="1" w:name="_Toc105590325"/>
      <w:bookmarkStart w:id="2" w:name="_Toc203485714"/>
      <w:r>
        <w:lastRenderedPageBreak/>
        <w:t>Table of Contents</w:t>
      </w:r>
      <w:bookmarkEnd w:id="0"/>
      <w:bookmarkEnd w:id="1"/>
      <w:bookmarkEnd w:id="2"/>
    </w:p>
    <w:p w14:paraId="15F80E6E" w14:textId="2CD57962" w:rsidR="00D95126" w:rsidRDefault="0066217F">
      <w:pPr>
        <w:pStyle w:val="TOC1"/>
        <w:rPr>
          <w:rFonts w:asciiTheme="minorHAnsi" w:eastAsiaTheme="minorEastAsia" w:hAnsiTheme="minorHAnsi" w:cstheme="minorBidi"/>
          <w:b w:val="0"/>
          <w:color w:val="auto"/>
          <w:kern w:val="2"/>
          <w:szCs w:val="24"/>
          <w:lang w:eastAsia="en-AU"/>
          <w14:ligatures w14:val="standardContextual"/>
        </w:rPr>
      </w:pPr>
      <w:r>
        <w:fldChar w:fldCharType="begin"/>
      </w:r>
      <w:r>
        <w:instrText xml:space="preserve"> TOC \o "1-3" \h \z \u </w:instrText>
      </w:r>
      <w:r>
        <w:fldChar w:fldCharType="separate"/>
      </w:r>
      <w:hyperlink w:anchor="_Toc203485714" w:history="1">
        <w:r w:rsidR="00D95126" w:rsidRPr="00D029BF">
          <w:rPr>
            <w:rStyle w:val="Hyperlink"/>
          </w:rPr>
          <w:t>Table of Contents</w:t>
        </w:r>
        <w:r w:rsidR="00D95126">
          <w:rPr>
            <w:webHidden/>
          </w:rPr>
          <w:tab/>
        </w:r>
        <w:r w:rsidR="00D95126">
          <w:rPr>
            <w:webHidden/>
          </w:rPr>
          <w:fldChar w:fldCharType="begin"/>
        </w:r>
        <w:r w:rsidR="00D95126">
          <w:rPr>
            <w:webHidden/>
          </w:rPr>
          <w:instrText xml:space="preserve"> PAGEREF _Toc203485714 \h </w:instrText>
        </w:r>
        <w:r w:rsidR="00D95126">
          <w:rPr>
            <w:webHidden/>
          </w:rPr>
        </w:r>
        <w:r w:rsidR="00D95126">
          <w:rPr>
            <w:webHidden/>
          </w:rPr>
          <w:fldChar w:fldCharType="separate"/>
        </w:r>
        <w:r w:rsidR="004072E5">
          <w:rPr>
            <w:webHidden/>
          </w:rPr>
          <w:t>3</w:t>
        </w:r>
        <w:r w:rsidR="00D95126">
          <w:rPr>
            <w:webHidden/>
          </w:rPr>
          <w:fldChar w:fldCharType="end"/>
        </w:r>
      </w:hyperlink>
    </w:p>
    <w:p w14:paraId="684E4669" w14:textId="75386366" w:rsidR="00D95126" w:rsidRDefault="00D95126">
      <w:pPr>
        <w:pStyle w:val="TOC1"/>
        <w:rPr>
          <w:rFonts w:asciiTheme="minorHAnsi" w:eastAsiaTheme="minorEastAsia" w:hAnsiTheme="minorHAnsi" w:cstheme="minorBidi"/>
          <w:b w:val="0"/>
          <w:color w:val="auto"/>
          <w:kern w:val="2"/>
          <w:szCs w:val="24"/>
          <w:lang w:eastAsia="en-AU"/>
          <w14:ligatures w14:val="standardContextual"/>
        </w:rPr>
      </w:pPr>
      <w:hyperlink w:anchor="_Toc203485715" w:history="1">
        <w:r w:rsidRPr="00D029BF">
          <w:rPr>
            <w:rStyle w:val="Hyperlink"/>
          </w:rPr>
          <w:t>Introduction</w:t>
        </w:r>
        <w:r>
          <w:rPr>
            <w:webHidden/>
          </w:rPr>
          <w:tab/>
        </w:r>
        <w:r>
          <w:rPr>
            <w:webHidden/>
          </w:rPr>
          <w:fldChar w:fldCharType="begin"/>
        </w:r>
        <w:r>
          <w:rPr>
            <w:webHidden/>
          </w:rPr>
          <w:instrText xml:space="preserve"> PAGEREF _Toc203485715 \h </w:instrText>
        </w:r>
        <w:r>
          <w:rPr>
            <w:webHidden/>
          </w:rPr>
        </w:r>
        <w:r>
          <w:rPr>
            <w:webHidden/>
          </w:rPr>
          <w:fldChar w:fldCharType="separate"/>
        </w:r>
        <w:r w:rsidR="004072E5">
          <w:rPr>
            <w:webHidden/>
          </w:rPr>
          <w:t>4</w:t>
        </w:r>
        <w:r>
          <w:rPr>
            <w:webHidden/>
          </w:rPr>
          <w:fldChar w:fldCharType="end"/>
        </w:r>
      </w:hyperlink>
    </w:p>
    <w:p w14:paraId="1DF009AE" w14:textId="5D095317" w:rsidR="00D95126" w:rsidRDefault="00D95126">
      <w:pPr>
        <w:pStyle w:val="TOC3"/>
        <w:rPr>
          <w:rFonts w:asciiTheme="minorHAnsi" w:eastAsiaTheme="minorEastAsia" w:hAnsiTheme="minorHAnsi" w:cstheme="minorBidi"/>
          <w:kern w:val="2"/>
          <w:sz w:val="24"/>
          <w:szCs w:val="24"/>
          <w:lang w:eastAsia="en-AU"/>
          <w14:ligatures w14:val="standardContextual"/>
        </w:rPr>
      </w:pPr>
      <w:hyperlink w:anchor="_Toc203485716" w:history="1">
        <w:r w:rsidRPr="00D029BF">
          <w:rPr>
            <w:rStyle w:val="Hyperlink"/>
          </w:rPr>
          <w:t>Purpose of the Compliance Statement</w:t>
        </w:r>
        <w:r>
          <w:rPr>
            <w:webHidden/>
          </w:rPr>
          <w:tab/>
        </w:r>
        <w:r>
          <w:rPr>
            <w:webHidden/>
          </w:rPr>
          <w:fldChar w:fldCharType="begin"/>
        </w:r>
        <w:r>
          <w:rPr>
            <w:webHidden/>
          </w:rPr>
          <w:instrText xml:space="preserve"> PAGEREF _Toc203485716 \h </w:instrText>
        </w:r>
        <w:r>
          <w:rPr>
            <w:webHidden/>
          </w:rPr>
        </w:r>
        <w:r>
          <w:rPr>
            <w:webHidden/>
          </w:rPr>
          <w:fldChar w:fldCharType="separate"/>
        </w:r>
        <w:r w:rsidR="004072E5">
          <w:rPr>
            <w:webHidden/>
          </w:rPr>
          <w:t>4</w:t>
        </w:r>
        <w:r>
          <w:rPr>
            <w:webHidden/>
          </w:rPr>
          <w:fldChar w:fldCharType="end"/>
        </w:r>
      </w:hyperlink>
    </w:p>
    <w:p w14:paraId="1CB02264" w14:textId="1829AE83" w:rsidR="00D95126" w:rsidRDefault="00D95126">
      <w:pPr>
        <w:pStyle w:val="TOC3"/>
        <w:rPr>
          <w:rFonts w:asciiTheme="minorHAnsi" w:eastAsiaTheme="minorEastAsia" w:hAnsiTheme="minorHAnsi" w:cstheme="minorBidi"/>
          <w:kern w:val="2"/>
          <w:sz w:val="24"/>
          <w:szCs w:val="24"/>
          <w:lang w:eastAsia="en-AU"/>
          <w14:ligatures w14:val="standardContextual"/>
        </w:rPr>
      </w:pPr>
      <w:hyperlink w:anchor="_Toc203485717" w:history="1">
        <w:r w:rsidRPr="00D029BF">
          <w:rPr>
            <w:rStyle w:val="Hyperlink"/>
          </w:rPr>
          <w:t>Legislative and Regulatory Framework</w:t>
        </w:r>
        <w:r>
          <w:rPr>
            <w:webHidden/>
          </w:rPr>
          <w:tab/>
        </w:r>
        <w:r>
          <w:rPr>
            <w:webHidden/>
          </w:rPr>
          <w:fldChar w:fldCharType="begin"/>
        </w:r>
        <w:r>
          <w:rPr>
            <w:webHidden/>
          </w:rPr>
          <w:instrText xml:space="preserve"> PAGEREF _Toc203485717 \h </w:instrText>
        </w:r>
        <w:r>
          <w:rPr>
            <w:webHidden/>
          </w:rPr>
        </w:r>
        <w:r>
          <w:rPr>
            <w:webHidden/>
          </w:rPr>
          <w:fldChar w:fldCharType="separate"/>
        </w:r>
        <w:r w:rsidR="004072E5">
          <w:rPr>
            <w:webHidden/>
          </w:rPr>
          <w:t>4</w:t>
        </w:r>
        <w:r>
          <w:rPr>
            <w:webHidden/>
          </w:rPr>
          <w:fldChar w:fldCharType="end"/>
        </w:r>
      </w:hyperlink>
    </w:p>
    <w:p w14:paraId="2C24296D" w14:textId="5CBA540E" w:rsidR="00D95126" w:rsidRDefault="00D95126">
      <w:pPr>
        <w:pStyle w:val="TOC3"/>
        <w:rPr>
          <w:rFonts w:asciiTheme="minorHAnsi" w:eastAsiaTheme="minorEastAsia" w:hAnsiTheme="minorHAnsi" w:cstheme="minorBidi"/>
          <w:kern w:val="2"/>
          <w:sz w:val="24"/>
          <w:szCs w:val="24"/>
          <w:lang w:eastAsia="en-AU"/>
          <w14:ligatures w14:val="standardContextual"/>
        </w:rPr>
      </w:pPr>
      <w:hyperlink w:anchor="_Toc203485718" w:history="1">
        <w:r w:rsidRPr="00D029BF">
          <w:rPr>
            <w:rStyle w:val="Hyperlink"/>
          </w:rPr>
          <w:t>Scope of the Compliance Statement</w:t>
        </w:r>
        <w:r>
          <w:rPr>
            <w:webHidden/>
          </w:rPr>
          <w:tab/>
        </w:r>
        <w:r>
          <w:rPr>
            <w:webHidden/>
          </w:rPr>
          <w:fldChar w:fldCharType="begin"/>
        </w:r>
        <w:r>
          <w:rPr>
            <w:webHidden/>
          </w:rPr>
          <w:instrText xml:space="preserve"> PAGEREF _Toc203485718 \h </w:instrText>
        </w:r>
        <w:r>
          <w:rPr>
            <w:webHidden/>
          </w:rPr>
        </w:r>
        <w:r>
          <w:rPr>
            <w:webHidden/>
          </w:rPr>
          <w:fldChar w:fldCharType="separate"/>
        </w:r>
        <w:r w:rsidR="004072E5">
          <w:rPr>
            <w:webHidden/>
          </w:rPr>
          <w:t>4</w:t>
        </w:r>
        <w:r>
          <w:rPr>
            <w:webHidden/>
          </w:rPr>
          <w:fldChar w:fldCharType="end"/>
        </w:r>
      </w:hyperlink>
    </w:p>
    <w:p w14:paraId="0255FEF0" w14:textId="5C221A36" w:rsidR="00D95126" w:rsidRDefault="00D95126">
      <w:pPr>
        <w:pStyle w:val="TOC1"/>
        <w:rPr>
          <w:rFonts w:asciiTheme="minorHAnsi" w:eastAsiaTheme="minorEastAsia" w:hAnsiTheme="minorHAnsi" w:cstheme="minorBidi"/>
          <w:b w:val="0"/>
          <w:color w:val="auto"/>
          <w:kern w:val="2"/>
          <w:szCs w:val="24"/>
          <w:lang w:eastAsia="en-AU"/>
          <w14:ligatures w14:val="standardContextual"/>
        </w:rPr>
      </w:pPr>
      <w:hyperlink w:anchor="_Toc203485719" w:history="1">
        <w:r w:rsidRPr="00D029BF">
          <w:rPr>
            <w:rStyle w:val="Hyperlink"/>
          </w:rPr>
          <w:t>Assessment Findings</w:t>
        </w:r>
        <w:r>
          <w:rPr>
            <w:webHidden/>
          </w:rPr>
          <w:tab/>
        </w:r>
        <w:r>
          <w:rPr>
            <w:webHidden/>
          </w:rPr>
          <w:fldChar w:fldCharType="begin"/>
        </w:r>
        <w:r>
          <w:rPr>
            <w:webHidden/>
          </w:rPr>
          <w:instrText xml:space="preserve"> PAGEREF _Toc203485719 \h </w:instrText>
        </w:r>
        <w:r>
          <w:rPr>
            <w:webHidden/>
          </w:rPr>
        </w:r>
        <w:r>
          <w:rPr>
            <w:webHidden/>
          </w:rPr>
          <w:fldChar w:fldCharType="separate"/>
        </w:r>
        <w:r w:rsidR="004072E5">
          <w:rPr>
            <w:webHidden/>
          </w:rPr>
          <w:t>5</w:t>
        </w:r>
        <w:r>
          <w:rPr>
            <w:webHidden/>
          </w:rPr>
          <w:fldChar w:fldCharType="end"/>
        </w:r>
      </w:hyperlink>
    </w:p>
    <w:p w14:paraId="3821E37A" w14:textId="79D2EE10" w:rsidR="00D95126" w:rsidRDefault="00D95126">
      <w:pPr>
        <w:pStyle w:val="TOC3"/>
        <w:rPr>
          <w:rFonts w:asciiTheme="minorHAnsi" w:eastAsiaTheme="minorEastAsia" w:hAnsiTheme="minorHAnsi" w:cstheme="minorBidi"/>
          <w:kern w:val="2"/>
          <w:sz w:val="24"/>
          <w:szCs w:val="24"/>
          <w:lang w:eastAsia="en-AU"/>
          <w14:ligatures w14:val="standardContextual"/>
        </w:rPr>
      </w:pPr>
      <w:hyperlink w:anchor="_Toc203485720" w:history="1">
        <w:r w:rsidRPr="00D029BF">
          <w:rPr>
            <w:rStyle w:val="Hyperlink"/>
          </w:rPr>
          <w:t>Areas assessed for SDL Compliance in 2023-2024</w:t>
        </w:r>
        <w:r>
          <w:rPr>
            <w:webHidden/>
          </w:rPr>
          <w:tab/>
        </w:r>
        <w:r>
          <w:rPr>
            <w:webHidden/>
          </w:rPr>
          <w:fldChar w:fldCharType="begin"/>
        </w:r>
        <w:r>
          <w:rPr>
            <w:webHidden/>
          </w:rPr>
          <w:instrText xml:space="preserve"> PAGEREF _Toc203485720 \h </w:instrText>
        </w:r>
        <w:r>
          <w:rPr>
            <w:webHidden/>
          </w:rPr>
        </w:r>
        <w:r>
          <w:rPr>
            <w:webHidden/>
          </w:rPr>
          <w:fldChar w:fldCharType="separate"/>
        </w:r>
        <w:r w:rsidR="004072E5">
          <w:rPr>
            <w:webHidden/>
          </w:rPr>
          <w:t>5</w:t>
        </w:r>
        <w:r>
          <w:rPr>
            <w:webHidden/>
          </w:rPr>
          <w:fldChar w:fldCharType="end"/>
        </w:r>
      </w:hyperlink>
    </w:p>
    <w:p w14:paraId="07209232" w14:textId="2D2624C5" w:rsidR="00D95126" w:rsidRDefault="00D95126">
      <w:pPr>
        <w:pStyle w:val="TOC3"/>
        <w:rPr>
          <w:rFonts w:asciiTheme="minorHAnsi" w:eastAsiaTheme="minorEastAsia" w:hAnsiTheme="minorHAnsi" w:cstheme="minorBidi"/>
          <w:kern w:val="2"/>
          <w:sz w:val="24"/>
          <w:szCs w:val="24"/>
          <w:lang w:eastAsia="en-AU"/>
          <w14:ligatures w14:val="standardContextual"/>
        </w:rPr>
      </w:pPr>
      <w:hyperlink w:anchor="_Toc203485721" w:history="1">
        <w:r w:rsidRPr="00D029BF">
          <w:rPr>
            <w:rStyle w:val="Hyperlink"/>
          </w:rPr>
          <w:t>Uncertainty in Modelled Actual Take</w:t>
        </w:r>
        <w:r>
          <w:rPr>
            <w:webHidden/>
          </w:rPr>
          <w:tab/>
        </w:r>
        <w:r>
          <w:rPr>
            <w:webHidden/>
          </w:rPr>
          <w:fldChar w:fldCharType="begin"/>
        </w:r>
        <w:r>
          <w:rPr>
            <w:webHidden/>
          </w:rPr>
          <w:instrText xml:space="preserve"> PAGEREF _Toc203485721 \h </w:instrText>
        </w:r>
        <w:r>
          <w:rPr>
            <w:webHidden/>
          </w:rPr>
        </w:r>
        <w:r>
          <w:rPr>
            <w:webHidden/>
          </w:rPr>
          <w:fldChar w:fldCharType="separate"/>
        </w:r>
        <w:r w:rsidR="004072E5">
          <w:rPr>
            <w:webHidden/>
          </w:rPr>
          <w:t>11</w:t>
        </w:r>
        <w:r>
          <w:rPr>
            <w:webHidden/>
          </w:rPr>
          <w:fldChar w:fldCharType="end"/>
        </w:r>
      </w:hyperlink>
    </w:p>
    <w:p w14:paraId="07954E9A" w14:textId="164AAB95" w:rsidR="00D95126" w:rsidRDefault="00D95126">
      <w:pPr>
        <w:pStyle w:val="TOC1"/>
        <w:rPr>
          <w:rFonts w:asciiTheme="minorHAnsi" w:eastAsiaTheme="minorEastAsia" w:hAnsiTheme="minorHAnsi" w:cstheme="minorBidi"/>
          <w:b w:val="0"/>
          <w:color w:val="auto"/>
          <w:kern w:val="2"/>
          <w:szCs w:val="24"/>
          <w:lang w:eastAsia="en-AU"/>
          <w14:ligatures w14:val="standardContextual"/>
        </w:rPr>
      </w:pPr>
      <w:hyperlink w:anchor="_Toc203485722" w:history="1">
        <w:r w:rsidRPr="00D029BF">
          <w:rPr>
            <w:rStyle w:val="Hyperlink"/>
          </w:rPr>
          <w:t>Trends in SDL Compliance</w:t>
        </w:r>
        <w:r>
          <w:rPr>
            <w:webHidden/>
          </w:rPr>
          <w:tab/>
        </w:r>
        <w:r>
          <w:rPr>
            <w:webHidden/>
          </w:rPr>
          <w:fldChar w:fldCharType="begin"/>
        </w:r>
        <w:r>
          <w:rPr>
            <w:webHidden/>
          </w:rPr>
          <w:instrText xml:space="preserve"> PAGEREF _Toc203485722 \h </w:instrText>
        </w:r>
        <w:r>
          <w:rPr>
            <w:webHidden/>
          </w:rPr>
        </w:r>
        <w:r>
          <w:rPr>
            <w:webHidden/>
          </w:rPr>
          <w:fldChar w:fldCharType="separate"/>
        </w:r>
        <w:r w:rsidR="004072E5">
          <w:rPr>
            <w:webHidden/>
          </w:rPr>
          <w:t>12</w:t>
        </w:r>
        <w:r>
          <w:rPr>
            <w:webHidden/>
          </w:rPr>
          <w:fldChar w:fldCharType="end"/>
        </w:r>
      </w:hyperlink>
    </w:p>
    <w:p w14:paraId="05F51389" w14:textId="503CA278" w:rsidR="00D95126" w:rsidRDefault="00D95126">
      <w:pPr>
        <w:pStyle w:val="TOC3"/>
        <w:rPr>
          <w:rFonts w:asciiTheme="minorHAnsi" w:eastAsiaTheme="minorEastAsia" w:hAnsiTheme="minorHAnsi" w:cstheme="minorBidi"/>
          <w:kern w:val="2"/>
          <w:sz w:val="24"/>
          <w:szCs w:val="24"/>
          <w:lang w:eastAsia="en-AU"/>
          <w14:ligatures w14:val="standardContextual"/>
        </w:rPr>
      </w:pPr>
      <w:hyperlink w:anchor="_Toc203485723" w:history="1">
        <w:r w:rsidRPr="00D029BF">
          <w:rPr>
            <w:rStyle w:val="Hyperlink"/>
          </w:rPr>
          <w:t>Climatic context</w:t>
        </w:r>
        <w:r>
          <w:rPr>
            <w:webHidden/>
          </w:rPr>
          <w:tab/>
        </w:r>
        <w:r>
          <w:rPr>
            <w:webHidden/>
          </w:rPr>
          <w:fldChar w:fldCharType="begin"/>
        </w:r>
        <w:r>
          <w:rPr>
            <w:webHidden/>
          </w:rPr>
          <w:instrText xml:space="preserve"> PAGEREF _Toc203485723 \h </w:instrText>
        </w:r>
        <w:r>
          <w:rPr>
            <w:webHidden/>
          </w:rPr>
        </w:r>
        <w:r>
          <w:rPr>
            <w:webHidden/>
          </w:rPr>
          <w:fldChar w:fldCharType="separate"/>
        </w:r>
        <w:r w:rsidR="004072E5">
          <w:rPr>
            <w:webHidden/>
          </w:rPr>
          <w:t>12</w:t>
        </w:r>
        <w:r>
          <w:rPr>
            <w:webHidden/>
          </w:rPr>
          <w:fldChar w:fldCharType="end"/>
        </w:r>
      </w:hyperlink>
    </w:p>
    <w:p w14:paraId="25FB1AFB" w14:textId="699332AA" w:rsidR="00D95126" w:rsidRDefault="00D95126">
      <w:pPr>
        <w:pStyle w:val="TOC3"/>
        <w:rPr>
          <w:rFonts w:asciiTheme="minorHAnsi" w:eastAsiaTheme="minorEastAsia" w:hAnsiTheme="minorHAnsi" w:cstheme="minorBidi"/>
          <w:kern w:val="2"/>
          <w:sz w:val="24"/>
          <w:szCs w:val="24"/>
          <w:lang w:eastAsia="en-AU"/>
          <w14:ligatures w14:val="standardContextual"/>
        </w:rPr>
      </w:pPr>
      <w:hyperlink w:anchor="_Toc203485724" w:history="1">
        <w:r w:rsidRPr="00D029BF">
          <w:rPr>
            <w:rStyle w:val="Hyperlink"/>
          </w:rPr>
          <w:t>SDL Trends since implementation</w:t>
        </w:r>
        <w:r>
          <w:rPr>
            <w:webHidden/>
          </w:rPr>
          <w:tab/>
        </w:r>
        <w:r>
          <w:rPr>
            <w:webHidden/>
          </w:rPr>
          <w:fldChar w:fldCharType="begin"/>
        </w:r>
        <w:r>
          <w:rPr>
            <w:webHidden/>
          </w:rPr>
          <w:instrText xml:space="preserve"> PAGEREF _Toc203485724 \h </w:instrText>
        </w:r>
        <w:r>
          <w:rPr>
            <w:webHidden/>
          </w:rPr>
        </w:r>
        <w:r>
          <w:rPr>
            <w:webHidden/>
          </w:rPr>
          <w:fldChar w:fldCharType="separate"/>
        </w:r>
        <w:r w:rsidR="004072E5">
          <w:rPr>
            <w:webHidden/>
          </w:rPr>
          <w:t>12</w:t>
        </w:r>
        <w:r>
          <w:rPr>
            <w:webHidden/>
          </w:rPr>
          <w:fldChar w:fldCharType="end"/>
        </w:r>
      </w:hyperlink>
    </w:p>
    <w:p w14:paraId="2D46C91B" w14:textId="518D5A85" w:rsidR="00D95126" w:rsidRDefault="00D95126">
      <w:pPr>
        <w:pStyle w:val="TOC3"/>
        <w:rPr>
          <w:rFonts w:asciiTheme="minorHAnsi" w:eastAsiaTheme="minorEastAsia" w:hAnsiTheme="minorHAnsi" w:cstheme="minorBidi"/>
          <w:kern w:val="2"/>
          <w:sz w:val="24"/>
          <w:szCs w:val="24"/>
          <w:lang w:eastAsia="en-AU"/>
          <w14:ligatures w14:val="standardContextual"/>
        </w:rPr>
      </w:pPr>
      <w:hyperlink w:anchor="_Toc203485725" w:history="1">
        <w:r w:rsidRPr="00D029BF">
          <w:rPr>
            <w:rStyle w:val="Hyperlink"/>
          </w:rPr>
          <w:t>Water Use across the Basin</w:t>
        </w:r>
        <w:r>
          <w:rPr>
            <w:webHidden/>
          </w:rPr>
          <w:tab/>
        </w:r>
        <w:r>
          <w:rPr>
            <w:webHidden/>
          </w:rPr>
          <w:fldChar w:fldCharType="begin"/>
        </w:r>
        <w:r>
          <w:rPr>
            <w:webHidden/>
          </w:rPr>
          <w:instrText xml:space="preserve"> PAGEREF _Toc203485725 \h </w:instrText>
        </w:r>
        <w:r>
          <w:rPr>
            <w:webHidden/>
          </w:rPr>
        </w:r>
        <w:r>
          <w:rPr>
            <w:webHidden/>
          </w:rPr>
          <w:fldChar w:fldCharType="separate"/>
        </w:r>
        <w:r w:rsidR="004072E5">
          <w:rPr>
            <w:webHidden/>
          </w:rPr>
          <w:t>19</w:t>
        </w:r>
        <w:r>
          <w:rPr>
            <w:webHidden/>
          </w:rPr>
          <w:fldChar w:fldCharType="end"/>
        </w:r>
      </w:hyperlink>
    </w:p>
    <w:p w14:paraId="0F9DD3F3" w14:textId="1B2EF782" w:rsidR="00D95126" w:rsidRDefault="00D95126">
      <w:pPr>
        <w:pStyle w:val="TOC1"/>
        <w:rPr>
          <w:rFonts w:asciiTheme="minorHAnsi" w:eastAsiaTheme="minorEastAsia" w:hAnsiTheme="minorHAnsi" w:cstheme="minorBidi"/>
          <w:b w:val="0"/>
          <w:color w:val="auto"/>
          <w:kern w:val="2"/>
          <w:szCs w:val="24"/>
          <w:lang w:eastAsia="en-AU"/>
          <w14:ligatures w14:val="standardContextual"/>
        </w:rPr>
      </w:pPr>
      <w:hyperlink w:anchor="_Toc203485726" w:history="1">
        <w:r w:rsidRPr="00D029BF">
          <w:rPr>
            <w:rStyle w:val="Hyperlink"/>
          </w:rPr>
          <w:t>Understanding SDL Compliance</w:t>
        </w:r>
        <w:r>
          <w:rPr>
            <w:webHidden/>
          </w:rPr>
          <w:tab/>
        </w:r>
        <w:r>
          <w:rPr>
            <w:webHidden/>
          </w:rPr>
          <w:fldChar w:fldCharType="begin"/>
        </w:r>
        <w:r>
          <w:rPr>
            <w:webHidden/>
          </w:rPr>
          <w:instrText xml:space="preserve"> PAGEREF _Toc203485726 \h </w:instrText>
        </w:r>
        <w:r>
          <w:rPr>
            <w:webHidden/>
          </w:rPr>
        </w:r>
        <w:r>
          <w:rPr>
            <w:webHidden/>
          </w:rPr>
          <w:fldChar w:fldCharType="separate"/>
        </w:r>
        <w:r w:rsidR="004072E5">
          <w:rPr>
            <w:webHidden/>
          </w:rPr>
          <w:t>22</w:t>
        </w:r>
        <w:r>
          <w:rPr>
            <w:webHidden/>
          </w:rPr>
          <w:fldChar w:fldCharType="end"/>
        </w:r>
      </w:hyperlink>
    </w:p>
    <w:p w14:paraId="34D8BB2A" w14:textId="36FED019" w:rsidR="00D95126" w:rsidRDefault="00D95126">
      <w:pPr>
        <w:pStyle w:val="TOC3"/>
        <w:rPr>
          <w:rFonts w:asciiTheme="minorHAnsi" w:eastAsiaTheme="minorEastAsia" w:hAnsiTheme="minorHAnsi" w:cstheme="minorBidi"/>
          <w:kern w:val="2"/>
          <w:sz w:val="24"/>
          <w:szCs w:val="24"/>
          <w:lang w:eastAsia="en-AU"/>
          <w14:ligatures w14:val="standardContextual"/>
        </w:rPr>
      </w:pPr>
      <w:hyperlink w:anchor="_Toc203485727" w:history="1">
        <w:r w:rsidRPr="00D029BF">
          <w:rPr>
            <w:rStyle w:val="Hyperlink"/>
          </w:rPr>
          <w:t>Sustainable Diversion Limits</w:t>
        </w:r>
        <w:r>
          <w:rPr>
            <w:webHidden/>
          </w:rPr>
          <w:tab/>
        </w:r>
        <w:r>
          <w:rPr>
            <w:webHidden/>
          </w:rPr>
          <w:fldChar w:fldCharType="begin"/>
        </w:r>
        <w:r>
          <w:rPr>
            <w:webHidden/>
          </w:rPr>
          <w:instrText xml:space="preserve"> PAGEREF _Toc203485727 \h </w:instrText>
        </w:r>
        <w:r>
          <w:rPr>
            <w:webHidden/>
          </w:rPr>
        </w:r>
        <w:r>
          <w:rPr>
            <w:webHidden/>
          </w:rPr>
          <w:fldChar w:fldCharType="separate"/>
        </w:r>
        <w:r w:rsidR="004072E5">
          <w:rPr>
            <w:webHidden/>
          </w:rPr>
          <w:t>22</w:t>
        </w:r>
        <w:r>
          <w:rPr>
            <w:webHidden/>
          </w:rPr>
          <w:fldChar w:fldCharType="end"/>
        </w:r>
      </w:hyperlink>
    </w:p>
    <w:p w14:paraId="79910256" w14:textId="6B11C150" w:rsidR="00D95126" w:rsidRDefault="00D95126">
      <w:pPr>
        <w:pStyle w:val="TOC3"/>
        <w:rPr>
          <w:rFonts w:asciiTheme="minorHAnsi" w:eastAsiaTheme="minorEastAsia" w:hAnsiTheme="minorHAnsi" w:cstheme="minorBidi"/>
          <w:kern w:val="2"/>
          <w:sz w:val="24"/>
          <w:szCs w:val="24"/>
          <w:lang w:eastAsia="en-AU"/>
          <w14:ligatures w14:val="standardContextual"/>
        </w:rPr>
      </w:pPr>
      <w:hyperlink w:anchor="_Toc203485728" w:history="1">
        <w:r w:rsidRPr="00D029BF">
          <w:rPr>
            <w:rStyle w:val="Hyperlink"/>
          </w:rPr>
          <w:t>Water Resource Plans</w:t>
        </w:r>
        <w:r>
          <w:rPr>
            <w:webHidden/>
          </w:rPr>
          <w:tab/>
        </w:r>
        <w:r>
          <w:rPr>
            <w:webHidden/>
          </w:rPr>
          <w:fldChar w:fldCharType="begin"/>
        </w:r>
        <w:r>
          <w:rPr>
            <w:webHidden/>
          </w:rPr>
          <w:instrText xml:space="preserve"> PAGEREF _Toc203485728 \h </w:instrText>
        </w:r>
        <w:r>
          <w:rPr>
            <w:webHidden/>
          </w:rPr>
        </w:r>
        <w:r>
          <w:rPr>
            <w:webHidden/>
          </w:rPr>
          <w:fldChar w:fldCharType="separate"/>
        </w:r>
        <w:r w:rsidR="004072E5">
          <w:rPr>
            <w:webHidden/>
          </w:rPr>
          <w:t>22</w:t>
        </w:r>
        <w:r>
          <w:rPr>
            <w:webHidden/>
          </w:rPr>
          <w:fldChar w:fldCharType="end"/>
        </w:r>
      </w:hyperlink>
    </w:p>
    <w:p w14:paraId="4B139367" w14:textId="56086FAD" w:rsidR="00D95126" w:rsidRDefault="00D95126">
      <w:pPr>
        <w:pStyle w:val="TOC3"/>
        <w:rPr>
          <w:rFonts w:asciiTheme="minorHAnsi" w:eastAsiaTheme="minorEastAsia" w:hAnsiTheme="minorHAnsi" w:cstheme="minorBidi"/>
          <w:kern w:val="2"/>
          <w:sz w:val="24"/>
          <w:szCs w:val="24"/>
          <w:lang w:eastAsia="en-AU"/>
          <w14:ligatures w14:val="standardContextual"/>
        </w:rPr>
      </w:pPr>
      <w:hyperlink w:anchor="_Toc203485729" w:history="1">
        <w:r w:rsidRPr="00D029BF">
          <w:rPr>
            <w:rStyle w:val="Hyperlink"/>
          </w:rPr>
          <w:t>IGWC’s role in SDL Compliance</w:t>
        </w:r>
        <w:r>
          <w:rPr>
            <w:webHidden/>
          </w:rPr>
          <w:tab/>
        </w:r>
        <w:r>
          <w:rPr>
            <w:webHidden/>
          </w:rPr>
          <w:fldChar w:fldCharType="begin"/>
        </w:r>
        <w:r>
          <w:rPr>
            <w:webHidden/>
          </w:rPr>
          <w:instrText xml:space="preserve"> PAGEREF _Toc203485729 \h </w:instrText>
        </w:r>
        <w:r>
          <w:rPr>
            <w:webHidden/>
          </w:rPr>
        </w:r>
        <w:r>
          <w:rPr>
            <w:webHidden/>
          </w:rPr>
          <w:fldChar w:fldCharType="separate"/>
        </w:r>
        <w:r w:rsidR="004072E5">
          <w:rPr>
            <w:webHidden/>
          </w:rPr>
          <w:t>23</w:t>
        </w:r>
        <w:r>
          <w:rPr>
            <w:webHidden/>
          </w:rPr>
          <w:fldChar w:fldCharType="end"/>
        </w:r>
      </w:hyperlink>
    </w:p>
    <w:p w14:paraId="490AC17E" w14:textId="5BF09EE0" w:rsidR="00D95126" w:rsidRDefault="00D95126">
      <w:pPr>
        <w:pStyle w:val="TOC3"/>
        <w:rPr>
          <w:rFonts w:asciiTheme="minorHAnsi" w:eastAsiaTheme="minorEastAsia" w:hAnsiTheme="minorHAnsi" w:cstheme="minorBidi"/>
          <w:kern w:val="2"/>
          <w:sz w:val="24"/>
          <w:szCs w:val="24"/>
          <w:lang w:eastAsia="en-AU"/>
          <w14:ligatures w14:val="standardContextual"/>
        </w:rPr>
      </w:pPr>
      <w:hyperlink w:anchor="_Toc203485730" w:history="1">
        <w:r w:rsidRPr="00D029BF">
          <w:rPr>
            <w:rStyle w:val="Hyperlink"/>
          </w:rPr>
          <w:t>The SDL Compliance Advisory Panel</w:t>
        </w:r>
        <w:r>
          <w:rPr>
            <w:webHidden/>
          </w:rPr>
          <w:tab/>
        </w:r>
        <w:r>
          <w:rPr>
            <w:webHidden/>
          </w:rPr>
          <w:fldChar w:fldCharType="begin"/>
        </w:r>
        <w:r>
          <w:rPr>
            <w:webHidden/>
          </w:rPr>
          <w:instrText xml:space="preserve"> PAGEREF _Toc203485730 \h </w:instrText>
        </w:r>
        <w:r>
          <w:rPr>
            <w:webHidden/>
          </w:rPr>
        </w:r>
        <w:r>
          <w:rPr>
            <w:webHidden/>
          </w:rPr>
          <w:fldChar w:fldCharType="separate"/>
        </w:r>
        <w:r w:rsidR="004072E5">
          <w:rPr>
            <w:webHidden/>
          </w:rPr>
          <w:t>23</w:t>
        </w:r>
        <w:r>
          <w:rPr>
            <w:webHidden/>
          </w:rPr>
          <w:fldChar w:fldCharType="end"/>
        </w:r>
      </w:hyperlink>
    </w:p>
    <w:p w14:paraId="3CADC7E7" w14:textId="7E400DC3" w:rsidR="00D95126" w:rsidRDefault="00D95126">
      <w:pPr>
        <w:pStyle w:val="TOC3"/>
        <w:rPr>
          <w:rFonts w:asciiTheme="minorHAnsi" w:eastAsiaTheme="minorEastAsia" w:hAnsiTheme="minorHAnsi" w:cstheme="minorBidi"/>
          <w:kern w:val="2"/>
          <w:sz w:val="24"/>
          <w:szCs w:val="24"/>
          <w:lang w:eastAsia="en-AU"/>
          <w14:ligatures w14:val="standardContextual"/>
        </w:rPr>
      </w:pPr>
      <w:hyperlink w:anchor="_Toc203485731" w:history="1">
        <w:r w:rsidRPr="00D029BF">
          <w:rPr>
            <w:rStyle w:val="Hyperlink"/>
          </w:rPr>
          <w:t>Calculation of the Cumulative Balance for SDL Compliance</w:t>
        </w:r>
        <w:r>
          <w:rPr>
            <w:webHidden/>
          </w:rPr>
          <w:tab/>
        </w:r>
        <w:r>
          <w:rPr>
            <w:webHidden/>
          </w:rPr>
          <w:fldChar w:fldCharType="begin"/>
        </w:r>
        <w:r>
          <w:rPr>
            <w:webHidden/>
          </w:rPr>
          <w:instrText xml:space="preserve"> PAGEREF _Toc203485731 \h </w:instrText>
        </w:r>
        <w:r>
          <w:rPr>
            <w:webHidden/>
          </w:rPr>
        </w:r>
        <w:r>
          <w:rPr>
            <w:webHidden/>
          </w:rPr>
          <w:fldChar w:fldCharType="separate"/>
        </w:r>
        <w:r w:rsidR="004072E5">
          <w:rPr>
            <w:webHidden/>
          </w:rPr>
          <w:t>24</w:t>
        </w:r>
        <w:r>
          <w:rPr>
            <w:webHidden/>
          </w:rPr>
          <w:fldChar w:fldCharType="end"/>
        </w:r>
      </w:hyperlink>
    </w:p>
    <w:p w14:paraId="71DACD8B" w14:textId="3727D5FE" w:rsidR="00D95126" w:rsidRDefault="00D95126">
      <w:pPr>
        <w:pStyle w:val="TOC3"/>
        <w:rPr>
          <w:rFonts w:asciiTheme="minorHAnsi" w:eastAsiaTheme="minorEastAsia" w:hAnsiTheme="minorHAnsi" w:cstheme="minorBidi"/>
          <w:kern w:val="2"/>
          <w:sz w:val="24"/>
          <w:szCs w:val="24"/>
          <w:lang w:eastAsia="en-AU"/>
          <w14:ligatures w14:val="standardContextual"/>
        </w:rPr>
      </w:pPr>
      <w:hyperlink w:anchor="_Toc203485732" w:history="1">
        <w:r w:rsidRPr="00D029BF">
          <w:rPr>
            <w:rStyle w:val="Hyperlink"/>
          </w:rPr>
          <w:t>One-off adjustment</w:t>
        </w:r>
        <w:r>
          <w:rPr>
            <w:webHidden/>
          </w:rPr>
          <w:tab/>
        </w:r>
        <w:r>
          <w:rPr>
            <w:webHidden/>
          </w:rPr>
          <w:fldChar w:fldCharType="begin"/>
        </w:r>
        <w:r>
          <w:rPr>
            <w:webHidden/>
          </w:rPr>
          <w:instrText xml:space="preserve"> PAGEREF _Toc203485732 \h </w:instrText>
        </w:r>
        <w:r>
          <w:rPr>
            <w:webHidden/>
          </w:rPr>
        </w:r>
        <w:r>
          <w:rPr>
            <w:webHidden/>
          </w:rPr>
          <w:fldChar w:fldCharType="separate"/>
        </w:r>
        <w:r w:rsidR="004072E5">
          <w:rPr>
            <w:webHidden/>
          </w:rPr>
          <w:t>24</w:t>
        </w:r>
        <w:r>
          <w:rPr>
            <w:webHidden/>
          </w:rPr>
          <w:fldChar w:fldCharType="end"/>
        </w:r>
      </w:hyperlink>
    </w:p>
    <w:p w14:paraId="720C4B86" w14:textId="196BC2D6" w:rsidR="00D95126" w:rsidRDefault="00D95126">
      <w:pPr>
        <w:pStyle w:val="TOC3"/>
        <w:rPr>
          <w:rFonts w:asciiTheme="minorHAnsi" w:eastAsiaTheme="minorEastAsia" w:hAnsiTheme="minorHAnsi" w:cstheme="minorBidi"/>
          <w:kern w:val="2"/>
          <w:sz w:val="24"/>
          <w:szCs w:val="24"/>
          <w:lang w:eastAsia="en-AU"/>
          <w14:ligatures w14:val="standardContextual"/>
        </w:rPr>
      </w:pPr>
      <w:hyperlink w:anchor="_Toc203485733" w:history="1">
        <w:r w:rsidRPr="00D029BF">
          <w:rPr>
            <w:rStyle w:val="Hyperlink"/>
            <w:lang w:val="en-US"/>
          </w:rPr>
          <w:t>Baseline Diversion Limits and changes to SDL over time</w:t>
        </w:r>
        <w:r>
          <w:rPr>
            <w:webHidden/>
          </w:rPr>
          <w:tab/>
        </w:r>
        <w:r>
          <w:rPr>
            <w:webHidden/>
          </w:rPr>
          <w:fldChar w:fldCharType="begin"/>
        </w:r>
        <w:r>
          <w:rPr>
            <w:webHidden/>
          </w:rPr>
          <w:instrText xml:space="preserve"> PAGEREF _Toc203485733 \h </w:instrText>
        </w:r>
        <w:r>
          <w:rPr>
            <w:webHidden/>
          </w:rPr>
        </w:r>
        <w:r>
          <w:rPr>
            <w:webHidden/>
          </w:rPr>
          <w:fldChar w:fldCharType="separate"/>
        </w:r>
        <w:r w:rsidR="004072E5">
          <w:rPr>
            <w:webHidden/>
          </w:rPr>
          <w:t>25</w:t>
        </w:r>
        <w:r>
          <w:rPr>
            <w:webHidden/>
          </w:rPr>
          <w:fldChar w:fldCharType="end"/>
        </w:r>
      </w:hyperlink>
    </w:p>
    <w:p w14:paraId="5CBA4199" w14:textId="28483B04" w:rsidR="00D95126" w:rsidRDefault="00D95126">
      <w:pPr>
        <w:pStyle w:val="TOC3"/>
        <w:rPr>
          <w:rFonts w:asciiTheme="minorHAnsi" w:eastAsiaTheme="minorEastAsia" w:hAnsiTheme="minorHAnsi" w:cstheme="minorBidi"/>
          <w:kern w:val="2"/>
          <w:sz w:val="24"/>
          <w:szCs w:val="24"/>
          <w:lang w:eastAsia="en-AU"/>
          <w14:ligatures w14:val="standardContextual"/>
        </w:rPr>
      </w:pPr>
      <w:hyperlink w:anchor="_Toc203485734" w:history="1">
        <w:r w:rsidRPr="00D029BF">
          <w:rPr>
            <w:rStyle w:val="Hyperlink"/>
          </w:rPr>
          <w:t>Sustainable Diversion Limits and the 2026 Basin Plan Review</w:t>
        </w:r>
        <w:r>
          <w:rPr>
            <w:webHidden/>
          </w:rPr>
          <w:tab/>
        </w:r>
        <w:r>
          <w:rPr>
            <w:webHidden/>
          </w:rPr>
          <w:fldChar w:fldCharType="begin"/>
        </w:r>
        <w:r>
          <w:rPr>
            <w:webHidden/>
          </w:rPr>
          <w:instrText xml:space="preserve"> PAGEREF _Toc203485734 \h </w:instrText>
        </w:r>
        <w:r>
          <w:rPr>
            <w:webHidden/>
          </w:rPr>
        </w:r>
        <w:r>
          <w:rPr>
            <w:webHidden/>
          </w:rPr>
          <w:fldChar w:fldCharType="separate"/>
        </w:r>
        <w:r w:rsidR="004072E5">
          <w:rPr>
            <w:webHidden/>
          </w:rPr>
          <w:t>25</w:t>
        </w:r>
        <w:r>
          <w:rPr>
            <w:webHidden/>
          </w:rPr>
          <w:fldChar w:fldCharType="end"/>
        </w:r>
      </w:hyperlink>
    </w:p>
    <w:p w14:paraId="70737667" w14:textId="2C47A736" w:rsidR="00D95126" w:rsidRDefault="00D95126">
      <w:pPr>
        <w:pStyle w:val="TOC1"/>
        <w:rPr>
          <w:rFonts w:asciiTheme="minorHAnsi" w:eastAsiaTheme="minorEastAsia" w:hAnsiTheme="minorHAnsi" w:cstheme="minorBidi"/>
          <w:b w:val="0"/>
          <w:color w:val="auto"/>
          <w:kern w:val="2"/>
          <w:szCs w:val="24"/>
          <w:lang w:eastAsia="en-AU"/>
          <w14:ligatures w14:val="standardContextual"/>
        </w:rPr>
      </w:pPr>
      <w:hyperlink w:anchor="_Toc203485735" w:history="1">
        <w:r w:rsidRPr="00D029BF">
          <w:rPr>
            <w:rStyle w:val="Hyperlink"/>
          </w:rPr>
          <w:t>Assessment Process</w:t>
        </w:r>
        <w:r>
          <w:rPr>
            <w:webHidden/>
          </w:rPr>
          <w:tab/>
        </w:r>
        <w:r>
          <w:rPr>
            <w:webHidden/>
          </w:rPr>
          <w:fldChar w:fldCharType="begin"/>
        </w:r>
        <w:r>
          <w:rPr>
            <w:webHidden/>
          </w:rPr>
          <w:instrText xml:space="preserve"> PAGEREF _Toc203485735 \h </w:instrText>
        </w:r>
        <w:r>
          <w:rPr>
            <w:webHidden/>
          </w:rPr>
        </w:r>
        <w:r>
          <w:rPr>
            <w:webHidden/>
          </w:rPr>
          <w:fldChar w:fldCharType="separate"/>
        </w:r>
        <w:r w:rsidR="004072E5">
          <w:rPr>
            <w:webHidden/>
          </w:rPr>
          <w:t>26</w:t>
        </w:r>
        <w:r>
          <w:rPr>
            <w:webHidden/>
          </w:rPr>
          <w:fldChar w:fldCharType="end"/>
        </w:r>
      </w:hyperlink>
    </w:p>
    <w:p w14:paraId="189235DF" w14:textId="11AC9998" w:rsidR="00D95126" w:rsidRDefault="00D95126">
      <w:pPr>
        <w:pStyle w:val="TOC3"/>
        <w:rPr>
          <w:rFonts w:asciiTheme="minorHAnsi" w:eastAsiaTheme="minorEastAsia" w:hAnsiTheme="minorHAnsi" w:cstheme="minorBidi"/>
          <w:kern w:val="2"/>
          <w:sz w:val="24"/>
          <w:szCs w:val="24"/>
          <w:lang w:eastAsia="en-AU"/>
          <w14:ligatures w14:val="standardContextual"/>
        </w:rPr>
      </w:pPr>
      <w:hyperlink w:anchor="_Toc203485736" w:history="1">
        <w:r w:rsidRPr="00D029BF">
          <w:rPr>
            <w:rStyle w:val="Hyperlink"/>
          </w:rPr>
          <w:t>Sources of compliance data</w:t>
        </w:r>
        <w:r>
          <w:rPr>
            <w:webHidden/>
          </w:rPr>
          <w:tab/>
        </w:r>
        <w:r>
          <w:rPr>
            <w:webHidden/>
          </w:rPr>
          <w:fldChar w:fldCharType="begin"/>
        </w:r>
        <w:r>
          <w:rPr>
            <w:webHidden/>
          </w:rPr>
          <w:instrText xml:space="preserve"> PAGEREF _Toc203485736 \h </w:instrText>
        </w:r>
        <w:r>
          <w:rPr>
            <w:webHidden/>
          </w:rPr>
        </w:r>
        <w:r>
          <w:rPr>
            <w:webHidden/>
          </w:rPr>
          <w:fldChar w:fldCharType="separate"/>
        </w:r>
        <w:r w:rsidR="004072E5">
          <w:rPr>
            <w:webHidden/>
          </w:rPr>
          <w:t>26</w:t>
        </w:r>
        <w:r>
          <w:rPr>
            <w:webHidden/>
          </w:rPr>
          <w:fldChar w:fldCharType="end"/>
        </w:r>
      </w:hyperlink>
    </w:p>
    <w:p w14:paraId="3C296795" w14:textId="01F6C916" w:rsidR="00D95126" w:rsidRDefault="00D95126">
      <w:pPr>
        <w:pStyle w:val="TOC3"/>
        <w:rPr>
          <w:rFonts w:asciiTheme="minorHAnsi" w:eastAsiaTheme="minorEastAsia" w:hAnsiTheme="minorHAnsi" w:cstheme="minorBidi"/>
          <w:kern w:val="2"/>
          <w:sz w:val="24"/>
          <w:szCs w:val="24"/>
          <w:lang w:eastAsia="en-AU"/>
          <w14:ligatures w14:val="standardContextual"/>
        </w:rPr>
      </w:pPr>
      <w:hyperlink w:anchor="_Toc203485737" w:history="1">
        <w:r w:rsidRPr="00D029BF">
          <w:rPr>
            <w:rStyle w:val="Hyperlink"/>
          </w:rPr>
          <w:t>Timely provision of SDL data</w:t>
        </w:r>
        <w:r>
          <w:rPr>
            <w:webHidden/>
          </w:rPr>
          <w:tab/>
        </w:r>
        <w:r>
          <w:rPr>
            <w:webHidden/>
          </w:rPr>
          <w:fldChar w:fldCharType="begin"/>
        </w:r>
        <w:r>
          <w:rPr>
            <w:webHidden/>
          </w:rPr>
          <w:instrText xml:space="preserve"> PAGEREF _Toc203485737 \h </w:instrText>
        </w:r>
        <w:r>
          <w:rPr>
            <w:webHidden/>
          </w:rPr>
        </w:r>
        <w:r>
          <w:rPr>
            <w:webHidden/>
          </w:rPr>
          <w:fldChar w:fldCharType="separate"/>
        </w:r>
        <w:r w:rsidR="004072E5">
          <w:rPr>
            <w:webHidden/>
          </w:rPr>
          <w:t>26</w:t>
        </w:r>
        <w:r>
          <w:rPr>
            <w:webHidden/>
          </w:rPr>
          <w:fldChar w:fldCharType="end"/>
        </w:r>
      </w:hyperlink>
    </w:p>
    <w:p w14:paraId="1B77821E" w14:textId="0757B97E" w:rsidR="00D95126" w:rsidRDefault="00D95126">
      <w:pPr>
        <w:pStyle w:val="TOC3"/>
        <w:rPr>
          <w:rFonts w:asciiTheme="minorHAnsi" w:eastAsiaTheme="minorEastAsia" w:hAnsiTheme="minorHAnsi" w:cstheme="minorBidi"/>
          <w:kern w:val="2"/>
          <w:sz w:val="24"/>
          <w:szCs w:val="24"/>
          <w:lang w:eastAsia="en-AU"/>
          <w14:ligatures w14:val="standardContextual"/>
        </w:rPr>
      </w:pPr>
      <w:hyperlink w:anchor="_Toc203485738" w:history="1">
        <w:r w:rsidRPr="00D029BF">
          <w:rPr>
            <w:rStyle w:val="Hyperlink"/>
          </w:rPr>
          <w:t>What is meant by compliant or non-compliant?</w:t>
        </w:r>
        <w:r>
          <w:rPr>
            <w:webHidden/>
          </w:rPr>
          <w:tab/>
        </w:r>
        <w:r>
          <w:rPr>
            <w:webHidden/>
          </w:rPr>
          <w:fldChar w:fldCharType="begin"/>
        </w:r>
        <w:r>
          <w:rPr>
            <w:webHidden/>
          </w:rPr>
          <w:instrText xml:space="preserve"> PAGEREF _Toc203485738 \h </w:instrText>
        </w:r>
        <w:r>
          <w:rPr>
            <w:webHidden/>
          </w:rPr>
        </w:r>
        <w:r>
          <w:rPr>
            <w:webHidden/>
          </w:rPr>
          <w:fldChar w:fldCharType="separate"/>
        </w:r>
        <w:r w:rsidR="004072E5">
          <w:rPr>
            <w:webHidden/>
          </w:rPr>
          <w:t>27</w:t>
        </w:r>
        <w:r>
          <w:rPr>
            <w:webHidden/>
          </w:rPr>
          <w:fldChar w:fldCharType="end"/>
        </w:r>
      </w:hyperlink>
    </w:p>
    <w:p w14:paraId="52C77B36" w14:textId="0100AEF3" w:rsidR="00D95126" w:rsidRDefault="00D95126">
      <w:pPr>
        <w:pStyle w:val="TOC3"/>
        <w:rPr>
          <w:rFonts w:asciiTheme="minorHAnsi" w:eastAsiaTheme="minorEastAsia" w:hAnsiTheme="minorHAnsi" w:cstheme="minorBidi"/>
          <w:kern w:val="2"/>
          <w:sz w:val="24"/>
          <w:szCs w:val="24"/>
          <w:lang w:eastAsia="en-AU"/>
          <w14:ligatures w14:val="standardContextual"/>
        </w:rPr>
      </w:pPr>
      <w:hyperlink w:anchor="_Toc203485739" w:history="1">
        <w:r w:rsidRPr="00D029BF">
          <w:rPr>
            <w:rStyle w:val="Hyperlink"/>
          </w:rPr>
          <w:t>Actions that can be taken when non-compliance is found</w:t>
        </w:r>
        <w:r>
          <w:rPr>
            <w:webHidden/>
          </w:rPr>
          <w:tab/>
        </w:r>
        <w:r>
          <w:rPr>
            <w:webHidden/>
          </w:rPr>
          <w:fldChar w:fldCharType="begin"/>
        </w:r>
        <w:r>
          <w:rPr>
            <w:webHidden/>
          </w:rPr>
          <w:instrText xml:space="preserve"> PAGEREF _Toc203485739 \h </w:instrText>
        </w:r>
        <w:r>
          <w:rPr>
            <w:webHidden/>
          </w:rPr>
        </w:r>
        <w:r>
          <w:rPr>
            <w:webHidden/>
          </w:rPr>
          <w:fldChar w:fldCharType="separate"/>
        </w:r>
        <w:r w:rsidR="004072E5">
          <w:rPr>
            <w:webHidden/>
          </w:rPr>
          <w:t>28</w:t>
        </w:r>
        <w:r>
          <w:rPr>
            <w:webHidden/>
          </w:rPr>
          <w:fldChar w:fldCharType="end"/>
        </w:r>
      </w:hyperlink>
    </w:p>
    <w:p w14:paraId="49CE96F1" w14:textId="6003C56E" w:rsidR="00D95126" w:rsidRDefault="00D95126">
      <w:pPr>
        <w:pStyle w:val="TOC3"/>
        <w:rPr>
          <w:rFonts w:asciiTheme="minorHAnsi" w:eastAsiaTheme="minorEastAsia" w:hAnsiTheme="minorHAnsi" w:cstheme="minorBidi"/>
          <w:kern w:val="2"/>
          <w:sz w:val="24"/>
          <w:szCs w:val="24"/>
          <w:lang w:eastAsia="en-AU"/>
          <w14:ligatures w14:val="standardContextual"/>
        </w:rPr>
      </w:pPr>
      <w:hyperlink w:anchor="_Toc203485740" w:history="1">
        <w:r w:rsidRPr="00D029BF">
          <w:rPr>
            <w:rStyle w:val="Hyperlink"/>
          </w:rPr>
          <w:t>Reasonable Excuse</w:t>
        </w:r>
        <w:r>
          <w:rPr>
            <w:webHidden/>
          </w:rPr>
          <w:tab/>
        </w:r>
        <w:r>
          <w:rPr>
            <w:webHidden/>
          </w:rPr>
          <w:fldChar w:fldCharType="begin"/>
        </w:r>
        <w:r>
          <w:rPr>
            <w:webHidden/>
          </w:rPr>
          <w:instrText xml:space="preserve"> PAGEREF _Toc203485740 \h </w:instrText>
        </w:r>
        <w:r>
          <w:rPr>
            <w:webHidden/>
          </w:rPr>
        </w:r>
        <w:r>
          <w:rPr>
            <w:webHidden/>
          </w:rPr>
          <w:fldChar w:fldCharType="separate"/>
        </w:r>
        <w:r w:rsidR="004072E5">
          <w:rPr>
            <w:webHidden/>
          </w:rPr>
          <w:t>28</w:t>
        </w:r>
        <w:r>
          <w:rPr>
            <w:webHidden/>
          </w:rPr>
          <w:fldChar w:fldCharType="end"/>
        </w:r>
      </w:hyperlink>
    </w:p>
    <w:p w14:paraId="15816A9A" w14:textId="140D53EA" w:rsidR="00D95126" w:rsidRDefault="00D95126">
      <w:pPr>
        <w:pStyle w:val="TOC3"/>
        <w:rPr>
          <w:rFonts w:asciiTheme="minorHAnsi" w:eastAsiaTheme="minorEastAsia" w:hAnsiTheme="minorHAnsi" w:cstheme="minorBidi"/>
          <w:kern w:val="2"/>
          <w:sz w:val="24"/>
          <w:szCs w:val="24"/>
          <w:lang w:eastAsia="en-AU"/>
          <w14:ligatures w14:val="standardContextual"/>
        </w:rPr>
      </w:pPr>
      <w:hyperlink w:anchor="_Toc203485741" w:history="1">
        <w:r w:rsidRPr="00D029BF">
          <w:rPr>
            <w:rStyle w:val="Hyperlink"/>
          </w:rPr>
          <w:t>Potential impact of delays in buybacks on SDL compliance</w:t>
        </w:r>
        <w:r>
          <w:rPr>
            <w:webHidden/>
          </w:rPr>
          <w:tab/>
        </w:r>
        <w:r>
          <w:rPr>
            <w:webHidden/>
          </w:rPr>
          <w:fldChar w:fldCharType="begin"/>
        </w:r>
        <w:r>
          <w:rPr>
            <w:webHidden/>
          </w:rPr>
          <w:instrText xml:space="preserve"> PAGEREF _Toc203485741 \h </w:instrText>
        </w:r>
        <w:r>
          <w:rPr>
            <w:webHidden/>
          </w:rPr>
        </w:r>
        <w:r>
          <w:rPr>
            <w:webHidden/>
          </w:rPr>
          <w:fldChar w:fldCharType="separate"/>
        </w:r>
        <w:r w:rsidR="004072E5">
          <w:rPr>
            <w:webHidden/>
          </w:rPr>
          <w:t>29</w:t>
        </w:r>
        <w:r>
          <w:rPr>
            <w:webHidden/>
          </w:rPr>
          <w:fldChar w:fldCharType="end"/>
        </w:r>
      </w:hyperlink>
    </w:p>
    <w:p w14:paraId="20E361A0" w14:textId="4A80390F" w:rsidR="00D95126" w:rsidRDefault="00D95126">
      <w:pPr>
        <w:pStyle w:val="TOC1"/>
        <w:rPr>
          <w:rFonts w:asciiTheme="minorHAnsi" w:eastAsiaTheme="minorEastAsia" w:hAnsiTheme="minorHAnsi" w:cstheme="minorBidi"/>
          <w:b w:val="0"/>
          <w:color w:val="auto"/>
          <w:kern w:val="2"/>
          <w:szCs w:val="24"/>
          <w:lang w:eastAsia="en-AU"/>
          <w14:ligatures w14:val="standardContextual"/>
        </w:rPr>
      </w:pPr>
      <w:hyperlink w:anchor="_Toc203485742" w:history="1">
        <w:r w:rsidRPr="00D029BF">
          <w:rPr>
            <w:rStyle w:val="Hyperlink"/>
          </w:rPr>
          <w:t>Accounts</w:t>
        </w:r>
        <w:r>
          <w:rPr>
            <w:webHidden/>
          </w:rPr>
          <w:tab/>
        </w:r>
        <w:r>
          <w:rPr>
            <w:webHidden/>
          </w:rPr>
          <w:fldChar w:fldCharType="begin"/>
        </w:r>
        <w:r>
          <w:rPr>
            <w:webHidden/>
          </w:rPr>
          <w:instrText xml:space="preserve"> PAGEREF _Toc203485742 \h </w:instrText>
        </w:r>
        <w:r>
          <w:rPr>
            <w:webHidden/>
          </w:rPr>
        </w:r>
        <w:r>
          <w:rPr>
            <w:webHidden/>
          </w:rPr>
          <w:fldChar w:fldCharType="separate"/>
        </w:r>
        <w:r w:rsidR="004072E5">
          <w:rPr>
            <w:webHidden/>
          </w:rPr>
          <w:t>30</w:t>
        </w:r>
        <w:r>
          <w:rPr>
            <w:webHidden/>
          </w:rPr>
          <w:fldChar w:fldCharType="end"/>
        </w:r>
      </w:hyperlink>
    </w:p>
    <w:p w14:paraId="4E24FC22" w14:textId="5549E81D" w:rsidR="00D95126" w:rsidRDefault="00D95126">
      <w:pPr>
        <w:pStyle w:val="TOC3"/>
        <w:rPr>
          <w:rFonts w:asciiTheme="minorHAnsi" w:eastAsiaTheme="minorEastAsia" w:hAnsiTheme="minorHAnsi" w:cstheme="minorBidi"/>
          <w:kern w:val="2"/>
          <w:sz w:val="24"/>
          <w:szCs w:val="24"/>
          <w:lang w:eastAsia="en-AU"/>
          <w14:ligatures w14:val="standardContextual"/>
        </w:rPr>
      </w:pPr>
      <w:hyperlink w:anchor="_Toc203485743" w:history="1">
        <w:r w:rsidRPr="00D029BF">
          <w:rPr>
            <w:rStyle w:val="Hyperlink"/>
          </w:rPr>
          <w:t>Surface Water Accounts</w:t>
        </w:r>
        <w:r>
          <w:rPr>
            <w:webHidden/>
          </w:rPr>
          <w:tab/>
        </w:r>
        <w:r>
          <w:rPr>
            <w:webHidden/>
          </w:rPr>
          <w:fldChar w:fldCharType="begin"/>
        </w:r>
        <w:r>
          <w:rPr>
            <w:webHidden/>
          </w:rPr>
          <w:instrText xml:space="preserve"> PAGEREF _Toc203485743 \h </w:instrText>
        </w:r>
        <w:r>
          <w:rPr>
            <w:webHidden/>
          </w:rPr>
        </w:r>
        <w:r>
          <w:rPr>
            <w:webHidden/>
          </w:rPr>
          <w:fldChar w:fldCharType="separate"/>
        </w:r>
        <w:r w:rsidR="004072E5">
          <w:rPr>
            <w:webHidden/>
          </w:rPr>
          <w:t>30</w:t>
        </w:r>
        <w:r>
          <w:rPr>
            <w:webHidden/>
          </w:rPr>
          <w:fldChar w:fldCharType="end"/>
        </w:r>
      </w:hyperlink>
    </w:p>
    <w:p w14:paraId="7BE9895A" w14:textId="6D8B22C1" w:rsidR="00D95126" w:rsidRDefault="00D95126">
      <w:pPr>
        <w:pStyle w:val="TOC3"/>
        <w:rPr>
          <w:rFonts w:asciiTheme="minorHAnsi" w:eastAsiaTheme="minorEastAsia" w:hAnsiTheme="minorHAnsi" w:cstheme="minorBidi"/>
          <w:kern w:val="2"/>
          <w:sz w:val="24"/>
          <w:szCs w:val="24"/>
          <w:lang w:eastAsia="en-AU"/>
          <w14:ligatures w14:val="standardContextual"/>
        </w:rPr>
      </w:pPr>
      <w:hyperlink w:anchor="_Toc203485744" w:history="1">
        <w:r w:rsidRPr="00D029BF">
          <w:rPr>
            <w:rStyle w:val="Hyperlink"/>
          </w:rPr>
          <w:t>Groundwater Accounts</w:t>
        </w:r>
        <w:r>
          <w:rPr>
            <w:webHidden/>
          </w:rPr>
          <w:tab/>
        </w:r>
        <w:r>
          <w:rPr>
            <w:webHidden/>
          </w:rPr>
          <w:fldChar w:fldCharType="begin"/>
        </w:r>
        <w:r>
          <w:rPr>
            <w:webHidden/>
          </w:rPr>
          <w:instrText xml:space="preserve"> PAGEREF _Toc203485744 \h </w:instrText>
        </w:r>
        <w:r>
          <w:rPr>
            <w:webHidden/>
          </w:rPr>
        </w:r>
        <w:r>
          <w:rPr>
            <w:webHidden/>
          </w:rPr>
          <w:fldChar w:fldCharType="separate"/>
        </w:r>
        <w:r w:rsidR="004072E5">
          <w:rPr>
            <w:webHidden/>
          </w:rPr>
          <w:t>32</w:t>
        </w:r>
        <w:r>
          <w:rPr>
            <w:webHidden/>
          </w:rPr>
          <w:fldChar w:fldCharType="end"/>
        </w:r>
      </w:hyperlink>
    </w:p>
    <w:p w14:paraId="49473C34" w14:textId="0B0DC9CC" w:rsidR="00D95126" w:rsidRDefault="00D95126">
      <w:pPr>
        <w:pStyle w:val="TOC1"/>
        <w:rPr>
          <w:rFonts w:asciiTheme="minorHAnsi" w:eastAsiaTheme="minorEastAsia" w:hAnsiTheme="minorHAnsi" w:cstheme="minorBidi"/>
          <w:b w:val="0"/>
          <w:color w:val="auto"/>
          <w:kern w:val="2"/>
          <w:szCs w:val="24"/>
          <w:lang w:eastAsia="en-AU"/>
          <w14:ligatures w14:val="standardContextual"/>
        </w:rPr>
      </w:pPr>
      <w:hyperlink w:anchor="_Toc203485745" w:history="1">
        <w:r w:rsidRPr="00D029BF">
          <w:rPr>
            <w:rStyle w:val="Hyperlink"/>
          </w:rPr>
          <w:t>Glossary</w:t>
        </w:r>
        <w:r>
          <w:rPr>
            <w:webHidden/>
          </w:rPr>
          <w:tab/>
        </w:r>
        <w:r>
          <w:rPr>
            <w:webHidden/>
          </w:rPr>
          <w:fldChar w:fldCharType="begin"/>
        </w:r>
        <w:r>
          <w:rPr>
            <w:webHidden/>
          </w:rPr>
          <w:instrText xml:space="preserve"> PAGEREF _Toc203485745 \h </w:instrText>
        </w:r>
        <w:r>
          <w:rPr>
            <w:webHidden/>
          </w:rPr>
        </w:r>
        <w:r>
          <w:rPr>
            <w:webHidden/>
          </w:rPr>
          <w:fldChar w:fldCharType="separate"/>
        </w:r>
        <w:r w:rsidR="004072E5">
          <w:rPr>
            <w:webHidden/>
          </w:rPr>
          <w:t>39</w:t>
        </w:r>
        <w:r>
          <w:rPr>
            <w:webHidden/>
          </w:rPr>
          <w:fldChar w:fldCharType="end"/>
        </w:r>
      </w:hyperlink>
    </w:p>
    <w:p w14:paraId="25BC3F3D" w14:textId="4CDD7021" w:rsidR="001C0F11" w:rsidRDefault="0066217F" w:rsidP="002C07A5">
      <w:pPr>
        <w:sectPr w:rsidR="001C0F11" w:rsidSect="00674D70">
          <w:headerReference w:type="even" r:id="rId15"/>
          <w:headerReference w:type="default" r:id="rId16"/>
          <w:footerReference w:type="even" r:id="rId17"/>
          <w:footerReference w:type="default" r:id="rId18"/>
          <w:headerReference w:type="first" r:id="rId19"/>
          <w:footerReference w:type="first" r:id="rId20"/>
          <w:pgSz w:w="11906" w:h="16838"/>
          <w:pgMar w:top="1284" w:right="1134" w:bottom="816" w:left="1134" w:header="431" w:footer="999" w:gutter="0"/>
          <w:cols w:space="708"/>
          <w:titlePg/>
          <w:docGrid w:linePitch="360"/>
        </w:sectPr>
      </w:pPr>
      <w:r>
        <w:rPr>
          <w:b/>
          <w:noProof/>
          <w:color w:val="48555E" w:themeColor="text2"/>
          <w:sz w:val="24"/>
        </w:rPr>
        <w:fldChar w:fldCharType="end"/>
      </w:r>
    </w:p>
    <w:p w14:paraId="4E8674AD" w14:textId="2AF089E9" w:rsidR="00191998" w:rsidRPr="00682514" w:rsidRDefault="00014CFD" w:rsidP="3B8805E9">
      <w:pPr>
        <w:pStyle w:val="Heading1"/>
      </w:pPr>
      <w:bookmarkStart w:id="3" w:name="_Toc203485715"/>
      <w:bookmarkStart w:id="4" w:name="_Toc138234573"/>
      <w:bookmarkStart w:id="5" w:name="_Toc162015531"/>
      <w:r>
        <w:lastRenderedPageBreak/>
        <w:t>Introduction</w:t>
      </w:r>
      <w:bookmarkEnd w:id="3"/>
    </w:p>
    <w:p w14:paraId="19A3F9B1" w14:textId="0AC6CCF4" w:rsidR="00110BA3" w:rsidRPr="008D1353" w:rsidRDefault="00110BA3" w:rsidP="00CB230E">
      <w:pPr>
        <w:pStyle w:val="Heading3"/>
      </w:pPr>
      <w:bookmarkStart w:id="6" w:name="_Toc203485716"/>
      <w:r w:rsidRPr="008D1353">
        <w:t>Purpose of the Compliance Statement</w:t>
      </w:r>
      <w:bookmarkEnd w:id="6"/>
    </w:p>
    <w:p w14:paraId="42AEC375" w14:textId="70C38E3D" w:rsidR="00110BA3" w:rsidRPr="005D4827" w:rsidRDefault="00110BA3" w:rsidP="00110BA3">
      <w:pPr>
        <w:rPr>
          <w:bCs/>
        </w:rPr>
      </w:pPr>
      <w:r>
        <w:t>Th</w:t>
      </w:r>
      <w:r w:rsidR="00C034B5">
        <w:t>e</w:t>
      </w:r>
      <w:r>
        <w:t xml:space="preserve"> </w:t>
      </w:r>
      <w:r w:rsidRPr="005D4827">
        <w:t xml:space="preserve">Sustainable Diversion Limit (SDL) Compliance Statement </w:t>
      </w:r>
      <w:r w:rsidR="00B3051F" w:rsidRPr="005D4827">
        <w:t xml:space="preserve">(Statement) </w:t>
      </w:r>
      <w:r w:rsidR="00973F31" w:rsidRPr="005D4827">
        <w:t xml:space="preserve">and </w:t>
      </w:r>
      <w:r w:rsidR="00F5377E" w:rsidRPr="005D4827">
        <w:t>Compliance Report</w:t>
      </w:r>
      <w:r w:rsidR="00861EF8" w:rsidRPr="005D4827">
        <w:t xml:space="preserve"> </w:t>
      </w:r>
      <w:r w:rsidR="00B3051F" w:rsidRPr="005D4827">
        <w:t>(Report)</w:t>
      </w:r>
      <w:r w:rsidR="00766ACF" w:rsidRPr="005D4827">
        <w:t xml:space="preserve"> have</w:t>
      </w:r>
      <w:r w:rsidRPr="005D4827">
        <w:t xml:space="preserve"> been prepared by the Inspector</w:t>
      </w:r>
      <w:r w:rsidR="000F760E" w:rsidRPr="005D4827">
        <w:t>–</w:t>
      </w:r>
      <w:r w:rsidRPr="005D4827">
        <w:t xml:space="preserve">General of Water Compliance (IGWC) to </w:t>
      </w:r>
      <w:r w:rsidR="28950B3F" w:rsidRPr="005D4827">
        <w:t>assess and</w:t>
      </w:r>
      <w:r w:rsidRPr="005D4827">
        <w:t xml:space="preserve"> report on whether Basin States have </w:t>
      </w:r>
      <w:r w:rsidR="0FF72C48" w:rsidRPr="005D4827">
        <w:t>been compliant with SDLs</w:t>
      </w:r>
      <w:r w:rsidRPr="005D4827">
        <w:t xml:space="preserve"> </w:t>
      </w:r>
      <w:r w:rsidR="046A54FA" w:rsidRPr="005D4827">
        <w:t xml:space="preserve">as required </w:t>
      </w:r>
      <w:r w:rsidRPr="005D4827">
        <w:t xml:space="preserve">under the </w:t>
      </w:r>
      <w:r w:rsidRPr="005D4827">
        <w:rPr>
          <w:i/>
        </w:rPr>
        <w:t xml:space="preserve">Basin Plan 2012 </w:t>
      </w:r>
      <w:r w:rsidR="003F3397" w:rsidRPr="005D4827">
        <w:rPr>
          <w:iCs/>
        </w:rPr>
        <w:t>(the Plan)</w:t>
      </w:r>
      <w:r w:rsidRPr="005D4827">
        <w:t xml:space="preserve"> for the 2023–2024 water year.</w:t>
      </w:r>
    </w:p>
    <w:p w14:paraId="458D3645" w14:textId="4A089698" w:rsidR="00110BA3" w:rsidRPr="005D4827" w:rsidRDefault="00110BA3" w:rsidP="00110BA3">
      <w:pPr>
        <w:rPr>
          <w:bCs/>
        </w:rPr>
      </w:pPr>
      <w:r w:rsidRPr="005D4827">
        <w:t xml:space="preserve">The </w:t>
      </w:r>
      <w:r w:rsidR="006A7D5D" w:rsidRPr="005D4827">
        <w:t>IGWC</w:t>
      </w:r>
      <w:r w:rsidRPr="005D4827">
        <w:t xml:space="preserve"> is an independent statutory position established </w:t>
      </w:r>
      <w:r w:rsidR="00C62D44" w:rsidRPr="005D4827">
        <w:t>in 2021</w:t>
      </w:r>
      <w:r w:rsidRPr="005D4827">
        <w:t xml:space="preserve"> under the </w:t>
      </w:r>
      <w:r w:rsidRPr="005D4827">
        <w:rPr>
          <w:i/>
        </w:rPr>
        <w:t>Water Act 2007</w:t>
      </w:r>
      <w:r w:rsidR="00173E69" w:rsidRPr="005D4827">
        <w:rPr>
          <w:i/>
        </w:rPr>
        <w:t xml:space="preserve"> </w:t>
      </w:r>
      <w:r w:rsidR="00173E69" w:rsidRPr="005D4827">
        <w:t>(the Act)</w:t>
      </w:r>
      <w:r w:rsidRPr="005D4827">
        <w:rPr>
          <w:iCs/>
        </w:rPr>
        <w:t>,</w:t>
      </w:r>
      <w:r w:rsidRPr="005D4827">
        <w:t xml:space="preserve"> with powers to monitor, investigate, and enforce</w:t>
      </w:r>
      <w:r w:rsidR="00EB7812">
        <w:t xml:space="preserve"> SDL</w:t>
      </w:r>
      <w:r w:rsidRPr="005D4827">
        <w:t xml:space="preserve"> compliance across the Murray–Darling Basin. </w:t>
      </w:r>
      <w:r w:rsidR="00B16E16" w:rsidRPr="005D4827">
        <w:rPr>
          <w:bCs/>
        </w:rPr>
        <w:t>A key role of the</w:t>
      </w:r>
      <w:r w:rsidRPr="005D4827">
        <w:t xml:space="preserve"> IGWC </w:t>
      </w:r>
      <w:r w:rsidR="00B16E16" w:rsidRPr="005D4827">
        <w:rPr>
          <w:bCs/>
        </w:rPr>
        <w:t>is</w:t>
      </w:r>
      <w:r w:rsidRPr="005D4827">
        <w:t xml:space="preserve"> to </w:t>
      </w:r>
      <w:r w:rsidR="00B0375A" w:rsidRPr="005D4827">
        <w:rPr>
          <w:bCs/>
        </w:rPr>
        <w:t>establish</w:t>
      </w:r>
      <w:r w:rsidRPr="005D4827">
        <w:t xml:space="preserve"> and publicly report on </w:t>
      </w:r>
      <w:r w:rsidR="00B16E16" w:rsidRPr="005D4827">
        <w:rPr>
          <w:bCs/>
        </w:rPr>
        <w:t xml:space="preserve">annual </w:t>
      </w:r>
      <w:r w:rsidRPr="005D4827">
        <w:t xml:space="preserve">SDL compliance, providing a transparent and evidence-based account of whether water take </w:t>
      </w:r>
      <w:r w:rsidR="00B16E16" w:rsidRPr="005D4827">
        <w:rPr>
          <w:bCs/>
        </w:rPr>
        <w:t xml:space="preserve">has </w:t>
      </w:r>
      <w:r w:rsidRPr="005D4827">
        <w:t>remained within the limits designed to protect the Basin’s rivers, wetlands, communities, and ecosystems.</w:t>
      </w:r>
      <w:r w:rsidR="6A095013" w:rsidRPr="005D4827">
        <w:t xml:space="preserve"> The IGWC is responsible for issuing an annual compliance statement and determining appropriate regulatory responses where non-compliance is identified.</w:t>
      </w:r>
    </w:p>
    <w:p w14:paraId="5567DBF1" w14:textId="6889AF3D" w:rsidR="00110BA3" w:rsidRPr="005D4827" w:rsidRDefault="00944224" w:rsidP="00110BA3">
      <w:pPr>
        <w:rPr>
          <w:bCs/>
        </w:rPr>
      </w:pPr>
      <w:r w:rsidRPr="005D4827">
        <w:t>The</w:t>
      </w:r>
      <w:r w:rsidR="00110BA3" w:rsidRPr="005D4827">
        <w:t xml:space="preserve"> </w:t>
      </w:r>
      <w:r w:rsidR="00D95844" w:rsidRPr="005D4827">
        <w:t>Statement</w:t>
      </w:r>
      <w:r w:rsidR="00110BA3" w:rsidRPr="005D4827">
        <w:t xml:space="preserve"> </w:t>
      </w:r>
      <w:r w:rsidRPr="005D4827">
        <w:t xml:space="preserve">and </w:t>
      </w:r>
      <w:r w:rsidR="00D95844" w:rsidRPr="005D4827">
        <w:t>Report</w:t>
      </w:r>
      <w:r w:rsidR="00110BA3" w:rsidRPr="005D4827">
        <w:t xml:space="preserve"> </w:t>
      </w:r>
      <w:r w:rsidR="0060128C" w:rsidRPr="005D4827">
        <w:t>draw</w:t>
      </w:r>
      <w:r w:rsidR="00110BA3" w:rsidRPr="005D4827">
        <w:t xml:space="preserve"> on verified data and consistent assessment methods to promote transparency, accountability, and public confidence in the management of the Basin’s shared water resources.</w:t>
      </w:r>
    </w:p>
    <w:p w14:paraId="0C6D9574" w14:textId="77777777" w:rsidR="00110BA3" w:rsidRPr="005D4827" w:rsidRDefault="00110BA3" w:rsidP="78EA30C0">
      <w:pPr>
        <w:pStyle w:val="Heading3"/>
      </w:pPr>
      <w:bookmarkStart w:id="7" w:name="_Toc203485717"/>
      <w:r w:rsidRPr="005D4827">
        <w:t>Legislative and Regulatory Framework</w:t>
      </w:r>
      <w:bookmarkEnd w:id="7"/>
    </w:p>
    <w:p w14:paraId="630B4201" w14:textId="5B6370B0" w:rsidR="00110BA3" w:rsidRPr="005D4827" w:rsidRDefault="00110BA3" w:rsidP="00110BA3">
      <w:pPr>
        <w:rPr>
          <w:bCs/>
        </w:rPr>
      </w:pPr>
      <w:r w:rsidRPr="005D4827">
        <w:t>SDL</w:t>
      </w:r>
      <w:r w:rsidR="7EF39584" w:rsidRPr="005D4827">
        <w:t xml:space="preserve"> </w:t>
      </w:r>
      <w:r w:rsidR="00392699" w:rsidRPr="005D4827">
        <w:t>c</w:t>
      </w:r>
      <w:r w:rsidR="7EF39584" w:rsidRPr="005D4827">
        <w:t>ompliance</w:t>
      </w:r>
      <w:r w:rsidRPr="005D4827">
        <w:t xml:space="preserve"> is </w:t>
      </w:r>
      <w:r w:rsidR="07470D4B" w:rsidRPr="005D4827">
        <w:t>underpin</w:t>
      </w:r>
      <w:r w:rsidRPr="005D4827">
        <w:t xml:space="preserve">ned by the </w:t>
      </w:r>
      <w:r w:rsidR="74F58DAE" w:rsidRPr="005D4827">
        <w:t>Act</w:t>
      </w:r>
      <w:r w:rsidRPr="005D4827">
        <w:t xml:space="preserve"> and in Chapter 6 of the Plan. These provisions define how SDLs are applied to surface water and groundwater resource units across the Basin and establish how compliance is measured.</w:t>
      </w:r>
    </w:p>
    <w:p w14:paraId="41F0096A" w14:textId="669227F1" w:rsidR="00110BA3" w:rsidRPr="005D4827" w:rsidRDefault="00110BA3" w:rsidP="00110BA3">
      <w:pPr>
        <w:rPr>
          <w:bCs/>
        </w:rPr>
      </w:pPr>
      <w:r w:rsidRPr="005D4827">
        <w:t xml:space="preserve">The </w:t>
      </w:r>
      <w:r w:rsidR="006A7D5D" w:rsidRPr="005D4827">
        <w:t>IGWC</w:t>
      </w:r>
      <w:r w:rsidRPr="005D4827">
        <w:t xml:space="preserve">’s compliance determinations are </w:t>
      </w:r>
      <w:r w:rsidR="001127C3" w:rsidRPr="005D4827">
        <w:rPr>
          <w:bCs/>
        </w:rPr>
        <w:t xml:space="preserve">also </w:t>
      </w:r>
      <w:r w:rsidRPr="005D4827">
        <w:t xml:space="preserve">guided by the </w:t>
      </w:r>
      <w:hyperlink r:id="rId21" w:history="1">
        <w:r w:rsidR="325F2B2B" w:rsidRPr="005D4827">
          <w:rPr>
            <w:rStyle w:val="Hyperlink"/>
            <w:i/>
            <w:iCs/>
          </w:rPr>
          <w:t>Sustainable Diversion Limit</w:t>
        </w:r>
        <w:r w:rsidRPr="005D4827">
          <w:rPr>
            <w:rStyle w:val="Hyperlink"/>
            <w:i/>
          </w:rPr>
          <w:t xml:space="preserve"> Compliance Framework</w:t>
        </w:r>
      </w:hyperlink>
      <w:r w:rsidR="02E83CA3" w:rsidRPr="005D4827">
        <w:rPr>
          <w:i/>
          <w:iCs/>
        </w:rPr>
        <w:t xml:space="preserve"> </w:t>
      </w:r>
      <w:r w:rsidR="4220D5FB" w:rsidRPr="005D4827">
        <w:t>published by the IGWC in October 2023</w:t>
      </w:r>
      <w:r w:rsidRPr="005D4827">
        <w:t xml:space="preserve">. This non-statutory framework </w:t>
      </w:r>
      <w:r w:rsidR="04520C04" w:rsidRPr="005D4827">
        <w:t>set</w:t>
      </w:r>
      <w:r w:rsidR="21EA2BEC" w:rsidRPr="005D4827">
        <w:t xml:space="preserve">s </w:t>
      </w:r>
      <w:r w:rsidR="04520C04" w:rsidRPr="005D4827">
        <w:t>out</w:t>
      </w:r>
      <w:r w:rsidRPr="005D4827">
        <w:t xml:space="preserve"> principles</w:t>
      </w:r>
      <w:r w:rsidR="29673227" w:rsidRPr="005D4827">
        <w:t xml:space="preserve"> and</w:t>
      </w:r>
      <w:r w:rsidRPr="005D4827">
        <w:t xml:space="preserve"> processes </w:t>
      </w:r>
      <w:r w:rsidR="7D8842E3" w:rsidRPr="005D4827">
        <w:t>that</w:t>
      </w:r>
      <w:r w:rsidRPr="005D4827">
        <w:t xml:space="preserve"> ensure</w:t>
      </w:r>
      <w:r w:rsidR="0DB955E6" w:rsidRPr="005D4827">
        <w:t>s</w:t>
      </w:r>
      <w:r w:rsidRPr="005D4827">
        <w:t xml:space="preserve"> assessments are conducted </w:t>
      </w:r>
      <w:r w:rsidR="2D17C85F" w:rsidRPr="005D4827">
        <w:t xml:space="preserve">transparently, </w:t>
      </w:r>
      <w:r w:rsidRPr="005D4827">
        <w:t>consistently and fairly across jurisdictions.</w:t>
      </w:r>
    </w:p>
    <w:p w14:paraId="61B557C7" w14:textId="712B64F4" w:rsidR="00110BA3" w:rsidRPr="005D4827" w:rsidRDefault="00110BA3" w:rsidP="78EA30C0">
      <w:pPr>
        <w:pStyle w:val="Heading3"/>
      </w:pPr>
      <w:bookmarkStart w:id="8" w:name="_Toc203485718"/>
      <w:r w:rsidRPr="005D4827">
        <w:t xml:space="preserve">Scope of the Compliance </w:t>
      </w:r>
      <w:r w:rsidR="00F30084" w:rsidRPr="005D4827">
        <w:t>Statement</w:t>
      </w:r>
      <w:bookmarkEnd w:id="8"/>
    </w:p>
    <w:p w14:paraId="04F54710" w14:textId="4A041302" w:rsidR="00110BA3" w:rsidRDefault="00D019ED" w:rsidP="00263311">
      <w:r w:rsidRPr="005D4827">
        <w:t>The</w:t>
      </w:r>
      <w:r w:rsidR="00110BA3" w:rsidRPr="005D4827">
        <w:t xml:space="preserve"> </w:t>
      </w:r>
      <w:r w:rsidR="00B73E89" w:rsidRPr="005D4827">
        <w:t>S</w:t>
      </w:r>
      <w:r w:rsidR="00110BA3" w:rsidRPr="005D4827">
        <w:t xml:space="preserve">tatement </w:t>
      </w:r>
      <w:r w:rsidR="003B0EBF" w:rsidRPr="005D4827">
        <w:t xml:space="preserve">and </w:t>
      </w:r>
      <w:r w:rsidR="00B73E89" w:rsidRPr="005D4827">
        <w:t>R</w:t>
      </w:r>
      <w:r w:rsidR="003B0EBF" w:rsidRPr="005D4827">
        <w:t xml:space="preserve">eport </w:t>
      </w:r>
      <w:r w:rsidR="00110BA3" w:rsidRPr="005D4827">
        <w:t>covers the</w:t>
      </w:r>
      <w:r w:rsidR="00110BA3">
        <w:t xml:space="preserve"> 2023–2024 water year</w:t>
      </w:r>
      <w:r w:rsidR="4C06B527">
        <w:t>,</w:t>
      </w:r>
      <w:r w:rsidR="00110BA3">
        <w:t xml:space="preserve"> </w:t>
      </w:r>
      <w:r w:rsidR="4C06B527">
        <w:t xml:space="preserve">from </w:t>
      </w:r>
      <w:r w:rsidR="009C25AC">
        <w:t xml:space="preserve">1 </w:t>
      </w:r>
      <w:r w:rsidR="4C06B527">
        <w:t>July 2023</w:t>
      </w:r>
      <w:r w:rsidR="00110BA3">
        <w:t xml:space="preserve"> </w:t>
      </w:r>
      <w:r w:rsidR="4C06B527">
        <w:t>to 30 June</w:t>
      </w:r>
      <w:r w:rsidR="00110BA3">
        <w:t xml:space="preserve"> </w:t>
      </w:r>
      <w:r w:rsidR="4C06B527">
        <w:t>2024,</w:t>
      </w:r>
      <w:r w:rsidR="00110BA3">
        <w:t xml:space="preserve"> and applies to all SDL resource units </w:t>
      </w:r>
      <w:r w:rsidR="6AF6C094">
        <w:t>where</w:t>
      </w:r>
      <w:r w:rsidR="00D47966">
        <w:t xml:space="preserve"> an accredited </w:t>
      </w:r>
      <w:r w:rsidR="00CA58D1">
        <w:t>w</w:t>
      </w:r>
      <w:r w:rsidR="00D47966">
        <w:t xml:space="preserve">ater </w:t>
      </w:r>
      <w:r w:rsidR="00CA58D1">
        <w:t>r</w:t>
      </w:r>
      <w:r w:rsidR="00D47966">
        <w:t xml:space="preserve">esource </w:t>
      </w:r>
      <w:r w:rsidR="00CA58D1">
        <w:t>p</w:t>
      </w:r>
      <w:r w:rsidR="00D47966">
        <w:t>lan was</w:t>
      </w:r>
      <w:r w:rsidR="00720463">
        <w:t xml:space="preserve"> in place for the entire water year</w:t>
      </w:r>
      <w:r w:rsidR="00110BA3">
        <w:t>.</w:t>
      </w:r>
    </w:p>
    <w:p w14:paraId="50B3D527" w14:textId="5D39577E" w:rsidR="00110BA3" w:rsidRPr="00BD4E78" w:rsidRDefault="0003571B" w:rsidP="00263311">
      <w:r w:rsidRPr="0003571B">
        <w:rPr>
          <w:rFonts w:eastAsia="Verdana" w:cs="Verdana"/>
        </w:rPr>
        <w:t xml:space="preserve">As of the start of the 2023–2024 water year, </w:t>
      </w:r>
      <w:r w:rsidR="0080187B" w:rsidRPr="0003571B">
        <w:rPr>
          <w:rFonts w:eastAsia="Verdana" w:cs="Verdana"/>
        </w:rPr>
        <w:t>seven</w:t>
      </w:r>
      <w:r w:rsidR="6362E1C2" w:rsidRPr="0003571B">
        <w:rPr>
          <w:rFonts w:eastAsia="Verdana" w:cs="Verdana"/>
        </w:rPr>
        <w:t xml:space="preserve"> NSW surface water </w:t>
      </w:r>
      <w:r w:rsidR="44DC251F" w:rsidRPr="0003571B">
        <w:rPr>
          <w:rFonts w:eastAsia="Verdana" w:cs="Verdana"/>
        </w:rPr>
        <w:t>WRP</w:t>
      </w:r>
      <w:r w:rsidR="6362E1C2" w:rsidRPr="0003571B">
        <w:rPr>
          <w:rFonts w:eastAsia="Verdana" w:cs="Verdana"/>
        </w:rPr>
        <w:t>s have been accredited</w:t>
      </w:r>
      <w:r w:rsidRPr="0003571B">
        <w:rPr>
          <w:rFonts w:eastAsia="Verdana" w:cs="Verdana"/>
        </w:rPr>
        <w:t xml:space="preserve">; however, </w:t>
      </w:r>
      <w:r w:rsidR="6362E1C2" w:rsidRPr="0003571B">
        <w:rPr>
          <w:rFonts w:eastAsia="Verdana" w:cs="Verdana"/>
        </w:rPr>
        <w:t xml:space="preserve">none are yet subject to </w:t>
      </w:r>
      <w:r w:rsidR="00E35A2B" w:rsidRPr="0003571B">
        <w:rPr>
          <w:rFonts w:eastAsia="Verdana" w:cs="Verdana"/>
        </w:rPr>
        <w:t xml:space="preserve">SDL </w:t>
      </w:r>
      <w:r w:rsidR="6362E1C2" w:rsidRPr="0003571B">
        <w:rPr>
          <w:rFonts w:eastAsia="Verdana" w:cs="Verdana"/>
        </w:rPr>
        <w:t>compliance assessment for this period.</w:t>
      </w:r>
      <w:r w:rsidR="6362E1C2" w:rsidRPr="00BB5EDE">
        <w:rPr>
          <w:rFonts w:eastAsia="Verdana" w:cs="Verdana"/>
          <w:szCs w:val="20"/>
        </w:rPr>
        <w:t xml:space="preserve"> Additionally, although </w:t>
      </w:r>
      <w:r w:rsidR="009D05D5" w:rsidRPr="00BB5EDE">
        <w:rPr>
          <w:rFonts w:eastAsia="Verdana" w:cs="Verdana"/>
          <w:szCs w:val="20"/>
        </w:rPr>
        <w:t>23</w:t>
      </w:r>
      <w:r w:rsidR="6362E1C2" w:rsidRPr="00BB5EDE">
        <w:rPr>
          <w:rFonts w:eastAsia="Verdana" w:cs="Verdana"/>
          <w:szCs w:val="20"/>
        </w:rPr>
        <w:t xml:space="preserve"> groundwater SDL resource units </w:t>
      </w:r>
      <w:r w:rsidR="009D05D5" w:rsidRPr="00BB5EDE">
        <w:rPr>
          <w:rFonts w:eastAsia="Verdana" w:cs="Verdana"/>
          <w:szCs w:val="20"/>
        </w:rPr>
        <w:t xml:space="preserve">across 5 </w:t>
      </w:r>
      <w:r w:rsidR="007C15A7">
        <w:rPr>
          <w:rFonts w:eastAsia="Verdana" w:cs="Verdana"/>
          <w:szCs w:val="20"/>
        </w:rPr>
        <w:t>water resource plan</w:t>
      </w:r>
      <w:r w:rsidR="007C15A7" w:rsidRPr="00BB5EDE">
        <w:rPr>
          <w:rFonts w:eastAsia="Verdana" w:cs="Verdana"/>
          <w:szCs w:val="20"/>
        </w:rPr>
        <w:t>s</w:t>
      </w:r>
      <w:r w:rsidR="6362E1C2" w:rsidRPr="00BB5EDE">
        <w:rPr>
          <w:rFonts w:eastAsia="Verdana" w:cs="Verdana"/>
          <w:szCs w:val="20"/>
        </w:rPr>
        <w:t xml:space="preserve"> in </w:t>
      </w:r>
      <w:r w:rsidR="00A47BE9" w:rsidRPr="00BB5EDE">
        <w:rPr>
          <w:rFonts w:eastAsia="Verdana" w:cs="Verdana"/>
          <w:szCs w:val="20"/>
        </w:rPr>
        <w:t>NSW</w:t>
      </w:r>
      <w:r w:rsidR="6362E1C2" w:rsidRPr="00BB5EDE">
        <w:rPr>
          <w:rFonts w:eastAsia="Verdana" w:cs="Verdana"/>
          <w:szCs w:val="20"/>
        </w:rPr>
        <w:t xml:space="preserve"> are assessable, </w:t>
      </w:r>
      <w:r w:rsidR="007B17AE" w:rsidRPr="00BB5EDE">
        <w:rPr>
          <w:rFonts w:eastAsia="Verdana" w:cs="Verdana"/>
          <w:szCs w:val="20"/>
        </w:rPr>
        <w:t>19</w:t>
      </w:r>
      <w:r w:rsidR="00B95703" w:rsidRPr="00BB5EDE">
        <w:rPr>
          <w:rFonts w:eastAsia="Verdana" w:cs="Verdana"/>
          <w:szCs w:val="20"/>
        </w:rPr>
        <w:t xml:space="preserve"> SDL resource units across</w:t>
      </w:r>
      <w:r w:rsidR="008D23C8" w:rsidRPr="00BB5EDE">
        <w:rPr>
          <w:rFonts w:eastAsia="Verdana" w:cs="Verdana"/>
          <w:szCs w:val="20"/>
        </w:rPr>
        <w:t xml:space="preserve"> 6</w:t>
      </w:r>
      <w:r w:rsidR="009C32FD" w:rsidRPr="00BB5EDE">
        <w:rPr>
          <w:rFonts w:eastAsia="Verdana" w:cs="Verdana"/>
          <w:szCs w:val="20"/>
        </w:rPr>
        <w:t xml:space="preserve"> NSW</w:t>
      </w:r>
      <w:r w:rsidR="6362E1C2" w:rsidRPr="00BB5EDE">
        <w:rPr>
          <w:rFonts w:eastAsia="Verdana" w:cs="Verdana"/>
          <w:szCs w:val="20"/>
        </w:rPr>
        <w:t xml:space="preserve"> </w:t>
      </w:r>
      <w:r w:rsidR="007C15A7">
        <w:rPr>
          <w:rFonts w:eastAsia="Verdana" w:cs="Verdana"/>
          <w:szCs w:val="20"/>
        </w:rPr>
        <w:t>water resource plan</w:t>
      </w:r>
      <w:r w:rsidR="6362E1C2" w:rsidRPr="00BB5EDE">
        <w:rPr>
          <w:rFonts w:eastAsia="Verdana" w:cs="Verdana"/>
          <w:szCs w:val="20"/>
        </w:rPr>
        <w:t>s are excluded from compliance assessment in 2023–</w:t>
      </w:r>
      <w:r w:rsidR="002F7BC2" w:rsidRPr="00BB5EDE">
        <w:rPr>
          <w:rFonts w:eastAsia="Verdana" w:cs="Verdana"/>
          <w:szCs w:val="20"/>
        </w:rPr>
        <w:t>20</w:t>
      </w:r>
      <w:r w:rsidR="6362E1C2" w:rsidRPr="00BB5EDE">
        <w:rPr>
          <w:rFonts w:eastAsia="Verdana" w:cs="Verdana"/>
          <w:szCs w:val="20"/>
        </w:rPr>
        <w:t>24.</w:t>
      </w:r>
      <w:r w:rsidR="66EC2B2A" w:rsidRPr="28964FA5">
        <w:rPr>
          <w:rFonts w:eastAsia="Verdana" w:cs="Verdana"/>
        </w:rPr>
        <w:t xml:space="preserve"> </w:t>
      </w:r>
      <w:r w:rsidR="00110BA3">
        <w:t xml:space="preserve">The </w:t>
      </w:r>
      <w:r w:rsidR="00720463">
        <w:t>compliance status</w:t>
      </w:r>
      <w:r w:rsidR="00110BA3">
        <w:t xml:space="preserve"> is based on SDL accounting data prepared by the Basin States and reconciled by the Murray–Darling Basin Authority (MDBA</w:t>
      </w:r>
      <w:r w:rsidR="00C90FEF">
        <w:t>/</w:t>
      </w:r>
      <w:r w:rsidR="00C2622E">
        <w:t xml:space="preserve">the </w:t>
      </w:r>
      <w:r w:rsidR="00C90FEF">
        <w:t>Authority</w:t>
      </w:r>
      <w:r w:rsidR="00110BA3">
        <w:t xml:space="preserve">) </w:t>
      </w:r>
      <w:r w:rsidR="74216782">
        <w:t>as outlined</w:t>
      </w:r>
      <w:r w:rsidR="00110BA3">
        <w:t xml:space="preserve"> under </w:t>
      </w:r>
      <w:r w:rsidR="2C95D552">
        <w:t xml:space="preserve">section 71 of </w:t>
      </w:r>
      <w:r w:rsidR="00110BA3">
        <w:t xml:space="preserve">the </w:t>
      </w:r>
      <w:r w:rsidR="2C95D552">
        <w:t>Act</w:t>
      </w:r>
      <w:r w:rsidR="00110BA3">
        <w:t>.</w:t>
      </w:r>
    </w:p>
    <w:p w14:paraId="3278C9F1" w14:textId="77777777" w:rsidR="00CD2FAA" w:rsidRPr="00CB230E" w:rsidRDefault="00CD2FAA" w:rsidP="00CD2FAA">
      <w:pPr>
        <w:pStyle w:val="Heading1"/>
      </w:pPr>
      <w:bookmarkStart w:id="9" w:name="_Toc203485719"/>
      <w:r>
        <w:lastRenderedPageBreak/>
        <w:t>Assessment Findings</w:t>
      </w:r>
      <w:bookmarkEnd w:id="9"/>
    </w:p>
    <w:p w14:paraId="424E924F" w14:textId="77777777" w:rsidR="006F385B" w:rsidRPr="006B1FD6" w:rsidRDefault="006F385B" w:rsidP="006F385B">
      <w:pPr>
        <w:rPr>
          <w:b/>
          <w:bCs/>
          <w:color w:val="4C6968" w:themeColor="text1"/>
          <w:sz w:val="26"/>
          <w:szCs w:val="26"/>
        </w:rPr>
      </w:pPr>
      <w:bookmarkStart w:id="10" w:name="_Toc203485720"/>
      <w:r w:rsidRPr="006B1FD6">
        <w:rPr>
          <w:b/>
          <w:bCs/>
          <w:color w:val="4C6968" w:themeColor="text1"/>
          <w:sz w:val="26"/>
          <w:szCs w:val="26"/>
        </w:rPr>
        <w:t>Compliance with Sustainable Diversion Limits</w:t>
      </w:r>
    </w:p>
    <w:p w14:paraId="5B4FB90A" w14:textId="77777777" w:rsidR="006F385B" w:rsidRPr="006E7972" w:rsidRDefault="006F385B" w:rsidP="006F385B">
      <w:pPr>
        <w:rPr>
          <w:b/>
        </w:rPr>
      </w:pPr>
      <w:r w:rsidRPr="006E7972">
        <w:rPr>
          <w:b/>
        </w:rPr>
        <w:t>All 78 SDL resource units assessed for the 2023–2024 water accounting year were found to be compliant.</w:t>
      </w:r>
    </w:p>
    <w:p w14:paraId="1C7A9465" w14:textId="0465CED6" w:rsidR="006F385B" w:rsidRDefault="006F385B" w:rsidP="006F385B">
      <w:r w:rsidRPr="00AD2FBD">
        <w:t xml:space="preserve">This </w:t>
      </w:r>
      <w:r>
        <w:t>SDL compliance assessment</w:t>
      </w:r>
      <w:r w:rsidRPr="00AD2FBD">
        <w:t xml:space="preserve"> includes 19 surface water and 59 groundwater SDL resource units listed on the Registers of Take</w:t>
      </w:r>
      <w:r>
        <w:t>. These are</w:t>
      </w:r>
      <w:r w:rsidRPr="00AD2FBD">
        <w:t xml:space="preserve"> managed under 18 water resource plans across </w:t>
      </w:r>
      <w:r>
        <w:t>all Basin States, as shown in Table 1 (2023-24 assessable units)</w:t>
      </w:r>
      <w:r w:rsidRPr="00AD2FBD">
        <w:t xml:space="preserve">. </w:t>
      </w:r>
      <w:r w:rsidRPr="00086800">
        <w:t>All assessed units were fully compliant, with no SDL exce</w:t>
      </w:r>
      <w:r>
        <w:t xml:space="preserve">ss </w:t>
      </w:r>
      <w:r w:rsidRPr="00086800">
        <w:t>recorded in any jurisdiction.</w:t>
      </w:r>
    </w:p>
    <w:p w14:paraId="259B9F6A" w14:textId="1BC25C29" w:rsidR="006F385B" w:rsidRPr="005B14DD" w:rsidRDefault="006F385B" w:rsidP="006F385B">
      <w:r>
        <w:t xml:space="preserve">As there were no SDL resource units in excess of the SDL compliance threshold, there were no claims of a reasonable excuse or action plans provided by Basin States to the IGWC. </w:t>
      </w:r>
      <w:r w:rsidRPr="005B14DD">
        <w:t>This</w:t>
      </w:r>
      <w:r w:rsidRPr="007E753B">
        <w:t xml:space="preserve"> outcome of IGWC’s SDL compliance assessment confirm</w:t>
      </w:r>
      <w:r w:rsidRPr="005B14DD">
        <w:t xml:space="preserve"> the</w:t>
      </w:r>
      <w:r>
        <w:t xml:space="preserve"> Basin </w:t>
      </w:r>
      <w:r w:rsidRPr="007E753B">
        <w:t>States’</w:t>
      </w:r>
      <w:r w:rsidRPr="005B14DD">
        <w:t xml:space="preserve"> </w:t>
      </w:r>
      <w:r>
        <w:t>self-</w:t>
      </w:r>
      <w:r w:rsidRPr="007E753B">
        <w:t xml:space="preserve">assessments, </w:t>
      </w:r>
      <w:r>
        <w:t xml:space="preserve">as required under section 71(1)(g) of the </w:t>
      </w:r>
      <w:r w:rsidRPr="007E753B">
        <w:rPr>
          <w:i/>
          <w:iCs/>
        </w:rPr>
        <w:t>Water Act</w:t>
      </w:r>
      <w:r w:rsidRPr="007E753B">
        <w:t xml:space="preserve"> (2007)</w:t>
      </w:r>
      <w:r>
        <w:t>.</w:t>
      </w:r>
    </w:p>
    <w:p w14:paraId="5E3F6C3D" w14:textId="77777777" w:rsidR="006F385B" w:rsidRDefault="006F385B" w:rsidP="006F385B">
      <w:r w:rsidRPr="00EA7D56">
        <w:t>Three groundwater SDL resource units were found to have cumulative total takes equal to the cumulative permitted take since 2019: Warrumbungle (NSW), Sediments above the Great Artesian Basin: Warrego-Paroo-Nebine (QLD) and Warrego Alluvium (QLD). These are relatively small volume, unmetered regions, where the water use is predominantly for stock and domestic use.</w:t>
      </w:r>
    </w:p>
    <w:p w14:paraId="5EE8017C" w14:textId="77777777" w:rsidR="00CD2FAA" w:rsidRPr="000A7D18" w:rsidRDefault="00CD2FAA" w:rsidP="00CD2FAA">
      <w:pPr>
        <w:pStyle w:val="Heading3"/>
      </w:pPr>
      <w:r>
        <w:t>Areas</w:t>
      </w:r>
      <w:r w:rsidRPr="000A7D18">
        <w:t xml:space="preserve"> assessed </w:t>
      </w:r>
      <w:r>
        <w:t>for SDL Compliance in</w:t>
      </w:r>
      <w:r w:rsidRPr="000A7D18">
        <w:t xml:space="preserve"> 2023-</w:t>
      </w:r>
      <w:r>
        <w:t>20</w:t>
      </w:r>
      <w:r w:rsidRPr="000A7D18">
        <w:t>24</w:t>
      </w:r>
      <w:bookmarkEnd w:id="10"/>
    </w:p>
    <w:p w14:paraId="058DD136" w14:textId="1DD79F8C" w:rsidR="00CD2FAA" w:rsidRPr="00F175D5" w:rsidRDefault="00CD2FAA" w:rsidP="00CD2FAA">
      <w:pPr>
        <w:rPr>
          <w:rFonts w:eastAsia="Aptos" w:cs="Aptos"/>
        </w:rPr>
      </w:pPr>
      <w:r w:rsidRPr="00F175D5">
        <w:rPr>
          <w:rFonts w:eastAsia="Aptos" w:cs="Aptos"/>
        </w:rPr>
        <w:t xml:space="preserve">In total there are 109 SDL resource units (29 surface water and 80 groundwater), managed within 33 </w:t>
      </w:r>
      <w:r w:rsidR="007C15A7" w:rsidRPr="00F175D5">
        <w:rPr>
          <w:rFonts w:eastAsia="Verdana" w:cs="Verdana"/>
          <w:szCs w:val="20"/>
        </w:rPr>
        <w:t>water resource plan</w:t>
      </w:r>
      <w:r w:rsidRPr="00F175D5">
        <w:rPr>
          <w:rFonts w:eastAsia="Aptos" w:cs="Aptos"/>
        </w:rPr>
        <w:t xml:space="preserve"> areas (14 surface water, 14 groundwater and 5 shared) across the Basin States. These resource units are shown in </w:t>
      </w:r>
      <w:r w:rsidR="00413CD4" w:rsidRPr="00F175D5">
        <w:rPr>
          <w:rFonts w:eastAsia="Aptos" w:cs="Aptos"/>
        </w:rPr>
        <w:t>Figures 1 and 2</w:t>
      </w:r>
      <w:r w:rsidRPr="00F175D5">
        <w:rPr>
          <w:rFonts w:eastAsia="Aptos" w:cs="Aptos"/>
        </w:rPr>
        <w:t>.</w:t>
      </w:r>
    </w:p>
    <w:p w14:paraId="2C9FABF5" w14:textId="7BB7E028" w:rsidR="00CD2FAA" w:rsidRPr="00CF1356" w:rsidRDefault="00CD2FAA" w:rsidP="00CD2FAA">
      <w:pPr>
        <w:rPr>
          <w:rFonts w:eastAsia="Aptos" w:cs="Aptos"/>
        </w:rPr>
      </w:pPr>
      <w:r w:rsidRPr="00F175D5">
        <w:rPr>
          <w:rFonts w:eastAsia="Aptos" w:cs="Aptos"/>
        </w:rPr>
        <w:t>For the 2023-2024 water accounting year</w:t>
      </w:r>
      <w:r w:rsidRPr="00CF1356">
        <w:rPr>
          <w:rFonts w:eastAsia="Aptos" w:cs="Aptos"/>
        </w:rPr>
        <w:t xml:space="preserve">, there were </w:t>
      </w:r>
      <w:r w:rsidRPr="00D31FD1">
        <w:rPr>
          <w:rFonts w:eastAsia="Aptos" w:cs="Aptos"/>
        </w:rPr>
        <w:t xml:space="preserve">18 accredited </w:t>
      </w:r>
      <w:r w:rsidR="007C15A7">
        <w:rPr>
          <w:rFonts w:eastAsia="Verdana" w:cs="Verdana"/>
          <w:szCs w:val="20"/>
        </w:rPr>
        <w:t>water resource plan</w:t>
      </w:r>
      <w:r w:rsidRPr="00D31FD1">
        <w:rPr>
          <w:rFonts w:eastAsia="Aptos" w:cs="Aptos"/>
        </w:rPr>
        <w:t>s</w:t>
      </w:r>
      <w:r w:rsidRPr="00CF1356">
        <w:rPr>
          <w:rFonts w:eastAsia="Aptos" w:cs="Aptos"/>
        </w:rPr>
        <w:t xml:space="preserve"> for the full water year (5 surface water, 8 groundwater and 5 shared) that encompassed 19 surface water and 59 groundwater SDL Resource Units that could be assessed for SDL compliance. The IGWC welcomes the recent accreditation of several </w:t>
      </w:r>
      <w:r w:rsidR="007C15A7">
        <w:rPr>
          <w:rFonts w:eastAsia="Verdana" w:cs="Verdana"/>
          <w:szCs w:val="20"/>
        </w:rPr>
        <w:t>water resource plan</w:t>
      </w:r>
      <w:r w:rsidRPr="00CF1356">
        <w:rPr>
          <w:rFonts w:eastAsia="Aptos" w:cs="Aptos"/>
        </w:rPr>
        <w:t>s from NSW</w:t>
      </w:r>
      <w:r w:rsidR="002054D2">
        <w:rPr>
          <w:rFonts w:eastAsia="Aptos" w:cs="Aptos"/>
        </w:rPr>
        <w:t xml:space="preserve"> (Figure 3)</w:t>
      </w:r>
      <w:r w:rsidRPr="00CF1356">
        <w:rPr>
          <w:rFonts w:eastAsia="Aptos" w:cs="Aptos"/>
        </w:rPr>
        <w:t>. A total of 23 new groundwater SDL Resource Units from NSW are being assessed for the first time in the 2023-2024 Compliance Statement (</w:t>
      </w:r>
      <w:r>
        <w:rPr>
          <w:rFonts w:eastAsia="Aptos" w:cs="Aptos"/>
        </w:rPr>
        <w:t>owing to</w:t>
      </w:r>
      <w:r w:rsidRPr="00CF1356">
        <w:rPr>
          <w:rFonts w:eastAsia="Aptos" w:cs="Aptos"/>
        </w:rPr>
        <w:t xml:space="preserve"> the accreditation of the Darling Alluvium, Macquarie-Castlereagh Alluvium, NSW Border Rivers Alluvium, NSW MDB Fractured Rock and NSW MDB Porous Rock </w:t>
      </w:r>
      <w:r w:rsidR="007C15A7">
        <w:rPr>
          <w:rFonts w:eastAsia="Verdana" w:cs="Verdana"/>
          <w:szCs w:val="20"/>
        </w:rPr>
        <w:t>water resource plan</w:t>
      </w:r>
      <w:r w:rsidRPr="00CF1356">
        <w:rPr>
          <w:rFonts w:eastAsia="Aptos" w:cs="Aptos"/>
        </w:rPr>
        <w:t>s).</w:t>
      </w:r>
    </w:p>
    <w:p w14:paraId="04949758" w14:textId="77777777" w:rsidR="00CD2FAA" w:rsidRPr="00CF1356" w:rsidRDefault="00CD2FAA" w:rsidP="00CD2FAA">
      <w:pPr>
        <w:rPr>
          <w:rFonts w:eastAsia="Aptos" w:cs="Aptos"/>
        </w:rPr>
      </w:pPr>
      <w:r>
        <w:rPr>
          <w:rFonts w:eastAsia="Aptos" w:cs="Aptos"/>
        </w:rPr>
        <w:t>As noted previously</w:t>
      </w:r>
      <w:r w:rsidRPr="00CF1356">
        <w:rPr>
          <w:rFonts w:eastAsia="Aptos" w:cs="Aptos"/>
        </w:rPr>
        <w:t>, SDL compliance can only be assessed for those surface water and groundwater resource units which have had an accredited WRP for the entire water accounting year.</w:t>
      </w:r>
    </w:p>
    <w:p w14:paraId="537ECD6E" w14:textId="195A03C1" w:rsidR="00CD2FAA" w:rsidRPr="00CF1356" w:rsidRDefault="00CD2FAA" w:rsidP="00CD2FAA">
      <w:pPr>
        <w:rPr>
          <w:rFonts w:eastAsia="Aptos" w:cs="Aptos"/>
        </w:rPr>
      </w:pPr>
      <w:r w:rsidRPr="00CF1356">
        <w:rPr>
          <w:rFonts w:eastAsia="Aptos" w:cs="Aptos"/>
        </w:rPr>
        <w:t xml:space="preserve">Compared to the 2022-2023 Compliance Statement, the 2023-2024 water accounting year has no new surface water SDL Resource Units available for compliance assessment, meaning NSW still has no surface water areas assessed, six years after the original due date for </w:t>
      </w:r>
      <w:r w:rsidR="00114803">
        <w:rPr>
          <w:rFonts w:eastAsia="Verdana" w:cs="Verdana"/>
          <w:szCs w:val="20"/>
        </w:rPr>
        <w:t>water resource plan</w:t>
      </w:r>
      <w:r w:rsidRPr="00CF1356">
        <w:rPr>
          <w:rFonts w:eastAsia="Aptos" w:cs="Aptos"/>
        </w:rPr>
        <w:t xml:space="preserve"> accreditation and full SDL compliance was meant to be in place.</w:t>
      </w:r>
    </w:p>
    <w:p w14:paraId="429BD339" w14:textId="79132BEC" w:rsidR="00CD2FAA" w:rsidRDefault="00CD2FAA" w:rsidP="00CD2FAA">
      <w:pPr>
        <w:rPr>
          <w:rFonts w:eastAsia="Aptos" w:cs="Aptos"/>
        </w:rPr>
      </w:pPr>
      <w:r w:rsidRPr="00CF1356">
        <w:rPr>
          <w:rFonts w:eastAsia="Aptos" w:cs="Aptos"/>
        </w:rPr>
        <w:t xml:space="preserve">A total of 7 new surface water and 4 new groundwater </w:t>
      </w:r>
      <w:r w:rsidR="00114803">
        <w:rPr>
          <w:rFonts w:eastAsia="Verdana" w:cs="Verdana"/>
          <w:szCs w:val="20"/>
        </w:rPr>
        <w:t>water resource plan</w:t>
      </w:r>
      <w:r w:rsidRPr="00CF1356">
        <w:rPr>
          <w:rFonts w:eastAsia="Aptos" w:cs="Aptos"/>
        </w:rPr>
        <w:t xml:space="preserve">s were accredited during the 2023-2024 water year and will become available for compliance assessment for the 2024-2025 period. A total of 4 </w:t>
      </w:r>
      <w:r w:rsidR="00114803">
        <w:rPr>
          <w:rFonts w:eastAsia="Verdana" w:cs="Verdana"/>
          <w:szCs w:val="20"/>
        </w:rPr>
        <w:t>water resource plan</w:t>
      </w:r>
      <w:r w:rsidRPr="00CF1356">
        <w:rPr>
          <w:rFonts w:eastAsia="Aptos" w:cs="Aptos"/>
        </w:rPr>
        <w:t xml:space="preserve">s, all from NSW, are still </w:t>
      </w:r>
      <w:r w:rsidR="001A2F54">
        <w:rPr>
          <w:rFonts w:eastAsia="Aptos" w:cs="Aptos"/>
        </w:rPr>
        <w:t>not</w:t>
      </w:r>
      <w:r w:rsidRPr="00CF1356">
        <w:rPr>
          <w:rFonts w:eastAsia="Aptos" w:cs="Aptos"/>
        </w:rPr>
        <w:t xml:space="preserve"> accredit</w:t>
      </w:r>
      <w:r w:rsidR="001A2F54">
        <w:rPr>
          <w:rFonts w:eastAsia="Aptos" w:cs="Aptos"/>
        </w:rPr>
        <w:t>ed</w:t>
      </w:r>
      <w:r w:rsidRPr="00CF1356">
        <w:rPr>
          <w:rFonts w:eastAsia="Aptos" w:cs="Aptos"/>
        </w:rPr>
        <w:t xml:space="preserve"> (Gwydir Alluvium and Namoi Alluvium groundwater </w:t>
      </w:r>
      <w:r w:rsidR="00B80636">
        <w:rPr>
          <w:rFonts w:eastAsia="Verdana" w:cs="Verdana"/>
          <w:szCs w:val="20"/>
        </w:rPr>
        <w:t>water resource plan</w:t>
      </w:r>
      <w:r w:rsidRPr="00CF1356">
        <w:rPr>
          <w:rFonts w:eastAsia="Aptos" w:cs="Aptos"/>
        </w:rPr>
        <w:t xml:space="preserve">s and Gwydir and Namoi surface water </w:t>
      </w:r>
      <w:r w:rsidR="00114803">
        <w:rPr>
          <w:rFonts w:eastAsia="Verdana" w:cs="Verdana"/>
          <w:szCs w:val="20"/>
        </w:rPr>
        <w:t>resource plan</w:t>
      </w:r>
      <w:r w:rsidRPr="00CF1356">
        <w:rPr>
          <w:rFonts w:eastAsia="Aptos" w:cs="Aptos"/>
        </w:rPr>
        <w:t>s).</w:t>
      </w:r>
    </w:p>
    <w:p w14:paraId="3D93B4F9" w14:textId="77777777" w:rsidR="002054D2" w:rsidRDefault="002054D2" w:rsidP="002054D2">
      <w:bookmarkStart w:id="11" w:name="_Hlk196910583"/>
      <w:r>
        <w:t>A total of 31 resource units, all in NSW, could not be assessed due to water resource plans not being accredited for the entire water accounting period.</w:t>
      </w:r>
      <w:bookmarkEnd w:id="11"/>
    </w:p>
    <w:p w14:paraId="2E55E992" w14:textId="77777777" w:rsidR="00CD2FAA" w:rsidRPr="00671556" w:rsidRDefault="00CD2FAA" w:rsidP="00CD2FAA">
      <w:pPr>
        <w:rPr>
          <w:szCs w:val="20"/>
        </w:rPr>
      </w:pPr>
    </w:p>
    <w:p w14:paraId="09ADAC2C" w14:textId="00F88CB7" w:rsidR="00357E41" w:rsidRDefault="00357E41" w:rsidP="00DA3F2C"/>
    <w:p w14:paraId="66B2BE18" w14:textId="4B866A3A" w:rsidR="00357E41" w:rsidRDefault="00D5748E" w:rsidP="00357E41">
      <w:r>
        <w:rPr>
          <w:noProof/>
        </w:rPr>
        <w:lastRenderedPageBreak/>
        <w:drawing>
          <wp:inline distT="0" distB="0" distL="0" distR="0" wp14:anchorId="32BD4399" wp14:editId="5AA0201E">
            <wp:extent cx="6120130" cy="8654415"/>
            <wp:effectExtent l="0" t="0" r="0" b="0"/>
            <wp:docPr id="218770913" name="Picture 1" descr="Map of the Murray-Darling Basin showing Compliance status of surface water SDL resource units across the 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70913" name="Picture 1" descr="Map of the Murray-Darling Basin showing Compliance status of surface water SDL resource units across the MD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8654415"/>
                    </a:xfrm>
                    <a:prstGeom prst="rect">
                      <a:avLst/>
                    </a:prstGeom>
                    <a:noFill/>
                    <a:ln>
                      <a:noFill/>
                    </a:ln>
                  </pic:spPr>
                </pic:pic>
              </a:graphicData>
            </a:graphic>
          </wp:inline>
        </w:drawing>
      </w:r>
    </w:p>
    <w:p w14:paraId="07769E19" w14:textId="79281324" w:rsidR="00641652" w:rsidRPr="00267F8C" w:rsidRDefault="00017C6A" w:rsidP="00017C6A">
      <w:pPr>
        <w:pStyle w:val="Caption"/>
        <w:rPr>
          <w:i w:val="0"/>
          <w:color w:val="auto"/>
          <w:sz w:val="20"/>
          <w:szCs w:val="22"/>
        </w:rPr>
      </w:pPr>
      <w:r w:rsidRPr="002054D2">
        <w:rPr>
          <w:b/>
          <w:i w:val="0"/>
          <w:color w:val="auto"/>
        </w:rPr>
        <w:t xml:space="preserve">Figure </w:t>
      </w:r>
      <w:r w:rsidRPr="002054D2">
        <w:rPr>
          <w:b/>
          <w:i w:val="0"/>
          <w:color w:val="auto"/>
        </w:rPr>
        <w:fldChar w:fldCharType="begin"/>
      </w:r>
      <w:r w:rsidRPr="002054D2">
        <w:rPr>
          <w:b/>
          <w:i w:val="0"/>
          <w:color w:val="auto"/>
        </w:rPr>
        <w:instrText xml:space="preserve"> SEQ Figure \* ARABIC </w:instrText>
      </w:r>
      <w:r w:rsidRPr="002054D2">
        <w:rPr>
          <w:b/>
          <w:i w:val="0"/>
          <w:color w:val="auto"/>
        </w:rPr>
        <w:fldChar w:fldCharType="separate"/>
      </w:r>
      <w:r w:rsidRPr="002054D2">
        <w:rPr>
          <w:b/>
          <w:i w:val="0"/>
          <w:color w:val="auto"/>
        </w:rPr>
        <w:t>1</w:t>
      </w:r>
      <w:r w:rsidRPr="002054D2">
        <w:rPr>
          <w:b/>
          <w:i w:val="0"/>
          <w:color w:val="auto"/>
        </w:rPr>
        <w:fldChar w:fldCharType="end"/>
      </w:r>
      <w:r w:rsidR="00641652" w:rsidRPr="002054D2">
        <w:rPr>
          <w:b/>
          <w:i w:val="0"/>
          <w:color w:val="auto"/>
        </w:rPr>
        <w:t>:</w:t>
      </w:r>
      <w:r w:rsidR="00641652" w:rsidRPr="002054D2">
        <w:rPr>
          <w:color w:val="auto"/>
        </w:rPr>
        <w:t xml:space="preserve"> </w:t>
      </w:r>
      <w:r w:rsidR="001D0F41" w:rsidRPr="002054D2">
        <w:rPr>
          <w:i w:val="0"/>
          <w:color w:val="auto"/>
          <w:sz w:val="20"/>
          <w:szCs w:val="22"/>
        </w:rPr>
        <w:t>C</w:t>
      </w:r>
      <w:r w:rsidR="00A20C79" w:rsidRPr="002054D2">
        <w:rPr>
          <w:i w:val="0"/>
          <w:color w:val="auto"/>
          <w:sz w:val="20"/>
          <w:szCs w:val="22"/>
        </w:rPr>
        <w:t xml:space="preserve">ompliance </w:t>
      </w:r>
      <w:r w:rsidR="00A20C79" w:rsidRPr="00267F8C">
        <w:rPr>
          <w:i w:val="0"/>
          <w:color w:val="auto"/>
          <w:sz w:val="20"/>
          <w:szCs w:val="22"/>
        </w:rPr>
        <w:t xml:space="preserve">status of </w:t>
      </w:r>
      <w:r w:rsidR="007E6D1E" w:rsidRPr="00267F8C">
        <w:rPr>
          <w:i w:val="0"/>
          <w:color w:val="auto"/>
          <w:sz w:val="20"/>
          <w:szCs w:val="22"/>
        </w:rPr>
        <w:t>surface water SDL resource units</w:t>
      </w:r>
      <w:r w:rsidR="001D0F41" w:rsidRPr="00267F8C">
        <w:rPr>
          <w:i w:val="0"/>
          <w:color w:val="auto"/>
          <w:sz w:val="20"/>
          <w:szCs w:val="22"/>
        </w:rPr>
        <w:t xml:space="preserve"> across the MDB.</w:t>
      </w:r>
    </w:p>
    <w:p w14:paraId="57AEC9BF" w14:textId="62C3A66A" w:rsidR="00357E41" w:rsidRDefault="00016C98" w:rsidP="00357E41">
      <w:r>
        <w:rPr>
          <w:noProof/>
        </w:rPr>
        <w:lastRenderedPageBreak/>
        <w:drawing>
          <wp:inline distT="0" distB="0" distL="0" distR="0" wp14:anchorId="06D4252D" wp14:editId="52CEDC43">
            <wp:extent cx="5832000" cy="8247578"/>
            <wp:effectExtent l="0" t="0" r="0" b="1270"/>
            <wp:docPr id="1626895564" name="Picture 3" descr="A map showing compliance status of Groundwater SDL resource units across the 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95564" name="Picture 3" descr="A map showing compliance status of Groundwater SDL resource units across the MDB."/>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32000" cy="8247578"/>
                    </a:xfrm>
                    <a:prstGeom prst="rect">
                      <a:avLst/>
                    </a:prstGeom>
                  </pic:spPr>
                </pic:pic>
              </a:graphicData>
            </a:graphic>
          </wp:inline>
        </w:drawing>
      </w:r>
    </w:p>
    <w:p w14:paraId="6221755B" w14:textId="7D246AF4" w:rsidR="00681CEC" w:rsidRPr="00521F24" w:rsidRDefault="00017C6A" w:rsidP="00E14AD6">
      <w:pPr>
        <w:rPr>
          <w:i/>
          <w:iCs/>
        </w:rPr>
      </w:pPr>
      <w:r w:rsidRPr="00267F8C">
        <w:rPr>
          <w:b/>
        </w:rPr>
        <w:t xml:space="preserve">Figure </w:t>
      </w:r>
      <w:r w:rsidRPr="00267F8C">
        <w:rPr>
          <w:b/>
        </w:rPr>
        <w:fldChar w:fldCharType="begin"/>
      </w:r>
      <w:r w:rsidRPr="00267F8C">
        <w:rPr>
          <w:b/>
        </w:rPr>
        <w:instrText xml:space="preserve"> SEQ Figure \* ARABIC </w:instrText>
      </w:r>
      <w:r w:rsidRPr="00267F8C">
        <w:rPr>
          <w:b/>
        </w:rPr>
        <w:fldChar w:fldCharType="separate"/>
      </w:r>
      <w:r>
        <w:rPr>
          <w:b/>
        </w:rPr>
        <w:t>2</w:t>
      </w:r>
      <w:r w:rsidRPr="00267F8C">
        <w:rPr>
          <w:b/>
        </w:rPr>
        <w:fldChar w:fldCharType="end"/>
      </w:r>
      <w:r w:rsidRPr="00267F8C">
        <w:rPr>
          <w:b/>
        </w:rPr>
        <w:t>:</w:t>
      </w:r>
      <w:r w:rsidRPr="00521F24">
        <w:rPr>
          <w:i/>
          <w:iCs/>
        </w:rPr>
        <w:t xml:space="preserve"> </w:t>
      </w:r>
      <w:r w:rsidR="001D0F41" w:rsidRPr="00267F8C">
        <w:t>Compliance status of groundwater SDL resource units across the MDB.</w:t>
      </w:r>
    </w:p>
    <w:p w14:paraId="6FC29CE0" w14:textId="77777777" w:rsidR="00F513EE" w:rsidRDefault="00681CEC" w:rsidP="006B1FD6">
      <w:pPr>
        <w:rPr>
          <w:sz w:val="18"/>
          <w:szCs w:val="18"/>
        </w:rPr>
      </w:pPr>
      <w:r w:rsidRPr="00203E42">
        <w:rPr>
          <w:sz w:val="18"/>
          <w:szCs w:val="18"/>
        </w:rPr>
        <w:t xml:space="preserve">Note: </w:t>
      </w:r>
      <w:r w:rsidR="00107C81" w:rsidRPr="00107C81">
        <w:rPr>
          <w:sz w:val="18"/>
          <w:szCs w:val="18"/>
        </w:rPr>
        <w:t>While all deeper SDL Resource Units within the NSW MDB Fractured Rock and Porous Rock water resource plan areas are assessed as compliant, some parts are not shown on the groundwater map due to being overlain by other groundwater units that cannot be assessed; together, these two plan areas cover the entire NSW portion of the Basin.</w:t>
      </w:r>
    </w:p>
    <w:p w14:paraId="3C66153E" w14:textId="77777777" w:rsidR="006508C7" w:rsidRDefault="006508C7" w:rsidP="006508C7">
      <w:r>
        <w:rPr>
          <w:noProof/>
        </w:rPr>
        <w:lastRenderedPageBreak/>
        <w:drawing>
          <wp:inline distT="0" distB="0" distL="0" distR="0" wp14:anchorId="51C42F40" wp14:editId="4999B061">
            <wp:extent cx="6120130" cy="3960495"/>
            <wp:effectExtent l="0" t="0" r="0" b="1905"/>
            <wp:docPr id="492349029" name="Picture 1" descr="A bar chart showing the number of SDL resource units (surface water and groundwater) assessed for compliance in 2022-2023 and 2023-2024, compared to the total number of resource un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349029" name="Picture 1" descr="A bar chart showing the number of SDL resource units (surface water and groundwater) assessed for compliance in 2022-2023 and 2023-2024, compared to the total number of resource units. "/>
                    <pic:cNvPicPr/>
                  </pic:nvPicPr>
                  <pic:blipFill>
                    <a:blip r:embed="rId24">
                      <a:extLst>
                        <a:ext uri="{28A0092B-C50C-407E-A947-70E740481C1C}">
                          <a14:useLocalDpi xmlns:a14="http://schemas.microsoft.com/office/drawing/2010/main" val="0"/>
                        </a:ext>
                      </a:extLst>
                    </a:blip>
                    <a:stretch>
                      <a:fillRect/>
                    </a:stretch>
                  </pic:blipFill>
                  <pic:spPr>
                    <a:xfrm>
                      <a:off x="0" y="0"/>
                      <a:ext cx="6120130" cy="3960495"/>
                    </a:xfrm>
                    <a:prstGeom prst="rect">
                      <a:avLst/>
                    </a:prstGeom>
                  </pic:spPr>
                </pic:pic>
              </a:graphicData>
            </a:graphic>
          </wp:inline>
        </w:drawing>
      </w:r>
    </w:p>
    <w:p w14:paraId="3349B5A1" w14:textId="4843FA8C" w:rsidR="006508C7" w:rsidRDefault="006508C7" w:rsidP="006508C7">
      <w:r w:rsidRPr="00EF4427">
        <w:rPr>
          <w:b/>
        </w:rPr>
        <w:t xml:space="preserve">Figure </w:t>
      </w:r>
      <w:r w:rsidR="002054D2">
        <w:rPr>
          <w:b/>
        </w:rPr>
        <w:t>3</w:t>
      </w:r>
      <w:r w:rsidRPr="00EF4427">
        <w:rPr>
          <w:b/>
        </w:rPr>
        <w:t>:</w:t>
      </w:r>
      <w:r>
        <w:t xml:space="preserve"> Number of SDL resource units (surface water and groundwater) assessed for compliance in 2022-2023 and 2023-2024, compared to the total number of resource units. </w:t>
      </w:r>
    </w:p>
    <w:p w14:paraId="65D39449" w14:textId="005FA3F1" w:rsidR="00CD2FAA" w:rsidRDefault="00CD2FAA" w:rsidP="00E14AD6"/>
    <w:p w14:paraId="65A6E48A" w14:textId="77777777" w:rsidR="002371A3" w:rsidRDefault="002371A3" w:rsidP="00E14AD6"/>
    <w:p w14:paraId="30EE41D5" w14:textId="434F17BF" w:rsidR="00CD2FAA" w:rsidRDefault="00CD2FAA" w:rsidP="00E14AD6">
      <w:pPr>
        <w:rPr>
          <w:rFonts w:ascii="Aptos" w:eastAsia="Aptos" w:hAnsi="Aptos" w:cs="Aptos"/>
          <w:b/>
          <w:bCs/>
          <w:sz w:val="24"/>
          <w:szCs w:val="24"/>
        </w:rPr>
        <w:sectPr w:rsidR="00CD2FAA" w:rsidSect="00CD2FAA">
          <w:footerReference w:type="default" r:id="rId25"/>
          <w:pgSz w:w="11906" w:h="16838"/>
          <w:pgMar w:top="709" w:right="1134" w:bottom="816" w:left="1134" w:header="425" w:footer="999" w:gutter="0"/>
          <w:cols w:space="708"/>
          <w:docGrid w:linePitch="360"/>
        </w:sectPr>
      </w:pPr>
    </w:p>
    <w:p w14:paraId="3F606045" w14:textId="1B68DD10" w:rsidR="00CD2FAA" w:rsidRDefault="00CD2FAA" w:rsidP="00CD2FAA">
      <w:pPr>
        <w:spacing w:after="160" w:line="276" w:lineRule="auto"/>
        <w:rPr>
          <w:rFonts w:ascii="Aptos" w:eastAsia="Aptos" w:hAnsi="Aptos" w:cs="Aptos"/>
          <w:sz w:val="24"/>
          <w:szCs w:val="24"/>
        </w:rPr>
      </w:pPr>
      <w:r w:rsidRPr="000A7D18">
        <w:rPr>
          <w:rFonts w:ascii="Aptos" w:eastAsia="Aptos" w:hAnsi="Aptos" w:cs="Aptos"/>
          <w:b/>
          <w:bCs/>
          <w:sz w:val="24"/>
          <w:szCs w:val="24"/>
        </w:rPr>
        <w:lastRenderedPageBreak/>
        <w:t>Table 1</w:t>
      </w:r>
      <w:r>
        <w:rPr>
          <w:rFonts w:ascii="Aptos" w:eastAsia="Aptos" w:hAnsi="Aptos" w:cs="Aptos"/>
          <w:sz w:val="24"/>
          <w:szCs w:val="24"/>
        </w:rPr>
        <w:t xml:space="preserve">: List of </w:t>
      </w:r>
      <w:r w:rsidR="0035056E">
        <w:rPr>
          <w:rFonts w:eastAsia="Verdana" w:cs="Verdana"/>
          <w:szCs w:val="20"/>
        </w:rPr>
        <w:t>water resource plan</w:t>
      </w:r>
      <w:r>
        <w:rPr>
          <w:rFonts w:ascii="Aptos" w:eastAsia="Aptos" w:hAnsi="Aptos" w:cs="Aptos"/>
          <w:sz w:val="24"/>
          <w:szCs w:val="24"/>
        </w:rPr>
        <w:t>s, date of accreditation and Compliance Assessment status</w:t>
      </w:r>
      <w:r w:rsidRPr="2EE5F912">
        <w:rPr>
          <w:rFonts w:ascii="Aptos" w:eastAsia="Aptos" w:hAnsi="Aptos" w:cs="Aptos"/>
          <w:sz w:val="24"/>
          <w:szCs w:val="24"/>
        </w:rPr>
        <w:t xml:space="preserve"> </w:t>
      </w:r>
    </w:p>
    <w:tbl>
      <w:tblPr>
        <w:tblStyle w:val="TableGridLight"/>
        <w:tblW w:w="15756" w:type="dxa"/>
        <w:tblLook w:val="04A0" w:firstRow="1" w:lastRow="0" w:firstColumn="1" w:lastColumn="0" w:noHBand="0" w:noVBand="1"/>
      </w:tblPr>
      <w:tblGrid>
        <w:gridCol w:w="851"/>
        <w:gridCol w:w="4150"/>
        <w:gridCol w:w="3292"/>
        <w:gridCol w:w="1431"/>
        <w:gridCol w:w="1728"/>
        <w:gridCol w:w="1367"/>
        <w:gridCol w:w="1367"/>
        <w:gridCol w:w="1570"/>
      </w:tblGrid>
      <w:tr w:rsidR="00CD2FAA" w:rsidRPr="00DB3BA7" w14:paraId="540FC8B8" w14:textId="77777777">
        <w:trPr>
          <w:cnfStyle w:val="100000000000" w:firstRow="1" w:lastRow="0" w:firstColumn="0" w:lastColumn="0" w:oddVBand="0" w:evenVBand="0" w:oddHBand="0" w:evenHBand="0" w:firstRowFirstColumn="0" w:firstRowLastColumn="0" w:lastRowFirstColumn="0" w:lastRowLastColumn="0"/>
          <w:trHeight w:val="397"/>
        </w:trPr>
        <w:tc>
          <w:tcPr>
            <w:tcW w:w="851" w:type="dxa"/>
          </w:tcPr>
          <w:p w14:paraId="6F5A1360" w14:textId="77777777" w:rsidR="00CD2FAA" w:rsidRPr="00DB3BA7" w:rsidRDefault="00CD2FAA">
            <w:pPr>
              <w:jc w:val="center"/>
              <w:rPr>
                <w:b/>
                <w:color w:val="E7E6E6" w:themeColor="background2"/>
                <w:szCs w:val="20"/>
              </w:rPr>
            </w:pPr>
            <w:r w:rsidRPr="00DB3BA7">
              <w:rPr>
                <w:b/>
                <w:color w:val="E7E6E6" w:themeColor="background2"/>
                <w:szCs w:val="20"/>
              </w:rPr>
              <w:t>State</w:t>
            </w:r>
          </w:p>
        </w:tc>
        <w:tc>
          <w:tcPr>
            <w:tcW w:w="4150" w:type="dxa"/>
          </w:tcPr>
          <w:p w14:paraId="6DA641AF" w14:textId="77777777" w:rsidR="00CD2FAA" w:rsidRPr="00DB3BA7" w:rsidRDefault="00CD2FAA">
            <w:pPr>
              <w:jc w:val="center"/>
              <w:rPr>
                <w:b/>
                <w:color w:val="E7E6E6" w:themeColor="background2"/>
                <w:szCs w:val="20"/>
              </w:rPr>
            </w:pPr>
            <w:r w:rsidRPr="00DB3BA7">
              <w:rPr>
                <w:b/>
                <w:color w:val="E7E6E6" w:themeColor="background2"/>
                <w:szCs w:val="20"/>
              </w:rPr>
              <w:t>WRP area</w:t>
            </w:r>
          </w:p>
        </w:tc>
        <w:tc>
          <w:tcPr>
            <w:tcW w:w="3292" w:type="dxa"/>
          </w:tcPr>
          <w:p w14:paraId="1E32C180" w14:textId="77777777" w:rsidR="00CD2FAA" w:rsidRPr="00DB3BA7" w:rsidRDefault="00CD2FAA">
            <w:pPr>
              <w:jc w:val="center"/>
              <w:rPr>
                <w:b/>
                <w:color w:val="E7E6E6" w:themeColor="background2"/>
                <w:szCs w:val="20"/>
              </w:rPr>
            </w:pPr>
            <w:r w:rsidRPr="00DB3BA7">
              <w:rPr>
                <w:b/>
                <w:color w:val="E7E6E6" w:themeColor="background2"/>
                <w:szCs w:val="20"/>
              </w:rPr>
              <w:t>Resource Type</w:t>
            </w:r>
          </w:p>
        </w:tc>
        <w:tc>
          <w:tcPr>
            <w:tcW w:w="1431" w:type="dxa"/>
          </w:tcPr>
          <w:p w14:paraId="1C3606C5" w14:textId="77777777" w:rsidR="00CD2FAA" w:rsidRPr="00DB3BA7" w:rsidRDefault="00CD2FAA">
            <w:pPr>
              <w:jc w:val="center"/>
              <w:rPr>
                <w:b/>
                <w:color w:val="E7E6E6" w:themeColor="background2"/>
                <w:szCs w:val="20"/>
              </w:rPr>
            </w:pPr>
            <w:r w:rsidRPr="00DB3BA7">
              <w:rPr>
                <w:b/>
                <w:color w:val="E7E6E6" w:themeColor="background2"/>
                <w:szCs w:val="20"/>
              </w:rPr>
              <w:t>Status</w:t>
            </w:r>
          </w:p>
        </w:tc>
        <w:tc>
          <w:tcPr>
            <w:tcW w:w="1728" w:type="dxa"/>
          </w:tcPr>
          <w:p w14:paraId="5FAE810A" w14:textId="77777777" w:rsidR="00CD2FAA" w:rsidRPr="00DB3BA7" w:rsidRDefault="00CD2FAA">
            <w:pPr>
              <w:jc w:val="center"/>
              <w:rPr>
                <w:b/>
                <w:color w:val="E7E6E6" w:themeColor="background2"/>
                <w:szCs w:val="20"/>
              </w:rPr>
            </w:pPr>
            <w:r w:rsidRPr="00DB3BA7">
              <w:rPr>
                <w:b/>
                <w:color w:val="E7E6E6" w:themeColor="background2"/>
                <w:szCs w:val="20"/>
              </w:rPr>
              <w:t>Accreditation Date</w:t>
            </w:r>
          </w:p>
        </w:tc>
        <w:tc>
          <w:tcPr>
            <w:tcW w:w="1367" w:type="dxa"/>
          </w:tcPr>
          <w:p w14:paraId="4D0CF238" w14:textId="77777777" w:rsidR="00CD2FAA" w:rsidRDefault="00CD2FAA">
            <w:pPr>
              <w:jc w:val="center"/>
              <w:rPr>
                <w:b/>
                <w:color w:val="E7E6E6" w:themeColor="background2"/>
                <w:szCs w:val="20"/>
              </w:rPr>
            </w:pPr>
            <w:r w:rsidRPr="00DB3BA7">
              <w:rPr>
                <w:b/>
                <w:color w:val="E7E6E6" w:themeColor="background2"/>
                <w:szCs w:val="20"/>
              </w:rPr>
              <w:t>2022-23 assessed?</w:t>
            </w:r>
          </w:p>
          <w:p w14:paraId="449955CB" w14:textId="2AC31CAA" w:rsidR="00965002" w:rsidRPr="00DB3BA7" w:rsidRDefault="00965002">
            <w:pPr>
              <w:jc w:val="center"/>
              <w:rPr>
                <w:b/>
                <w:color w:val="E7E6E6" w:themeColor="background2"/>
                <w:szCs w:val="20"/>
              </w:rPr>
            </w:pPr>
            <w:r>
              <w:rPr>
                <w:b/>
                <w:color w:val="E7E6E6" w:themeColor="background2"/>
                <w:szCs w:val="20"/>
              </w:rPr>
              <w:t>(Last Year)</w:t>
            </w:r>
          </w:p>
        </w:tc>
        <w:tc>
          <w:tcPr>
            <w:tcW w:w="1367" w:type="dxa"/>
          </w:tcPr>
          <w:p w14:paraId="1024574A" w14:textId="77777777" w:rsidR="00CD2FAA" w:rsidRDefault="00CD2FAA">
            <w:pPr>
              <w:jc w:val="center"/>
              <w:rPr>
                <w:b/>
                <w:color w:val="E7E6E6" w:themeColor="background2"/>
                <w:szCs w:val="20"/>
              </w:rPr>
            </w:pPr>
            <w:r w:rsidRPr="00DB3BA7">
              <w:rPr>
                <w:b/>
                <w:color w:val="E7E6E6" w:themeColor="background2"/>
                <w:szCs w:val="20"/>
              </w:rPr>
              <w:t>2023-24 assessed?</w:t>
            </w:r>
          </w:p>
          <w:p w14:paraId="497D1B92" w14:textId="4FB4A050" w:rsidR="00B97930" w:rsidRPr="00DB3BA7" w:rsidRDefault="00B97930">
            <w:pPr>
              <w:jc w:val="center"/>
              <w:rPr>
                <w:b/>
                <w:color w:val="E7E6E6" w:themeColor="background2"/>
                <w:szCs w:val="20"/>
              </w:rPr>
            </w:pPr>
            <w:r>
              <w:rPr>
                <w:b/>
                <w:color w:val="E7E6E6" w:themeColor="background2"/>
                <w:szCs w:val="20"/>
              </w:rPr>
              <w:t>(This Year)</w:t>
            </w:r>
          </w:p>
        </w:tc>
        <w:tc>
          <w:tcPr>
            <w:tcW w:w="1570" w:type="dxa"/>
          </w:tcPr>
          <w:p w14:paraId="04E8A234" w14:textId="77777777" w:rsidR="00CD2FAA" w:rsidRDefault="00CD2FAA">
            <w:pPr>
              <w:jc w:val="center"/>
              <w:rPr>
                <w:b/>
                <w:color w:val="E7E6E6" w:themeColor="background2"/>
                <w:szCs w:val="20"/>
              </w:rPr>
            </w:pPr>
            <w:r w:rsidRPr="00DB3BA7">
              <w:rPr>
                <w:b/>
                <w:color w:val="E7E6E6" w:themeColor="background2"/>
                <w:szCs w:val="20"/>
              </w:rPr>
              <w:t>2024-25 assessable?</w:t>
            </w:r>
          </w:p>
          <w:p w14:paraId="5F978D2C" w14:textId="45932FEF" w:rsidR="00B97930" w:rsidRPr="00DB3BA7" w:rsidRDefault="00B97930">
            <w:pPr>
              <w:jc w:val="center"/>
              <w:rPr>
                <w:b/>
                <w:color w:val="E7E6E6" w:themeColor="background2"/>
                <w:szCs w:val="20"/>
              </w:rPr>
            </w:pPr>
            <w:r>
              <w:rPr>
                <w:b/>
                <w:color w:val="E7E6E6" w:themeColor="background2"/>
                <w:szCs w:val="20"/>
              </w:rPr>
              <w:t>(Next Year)</w:t>
            </w:r>
          </w:p>
        </w:tc>
      </w:tr>
      <w:tr w:rsidR="00CD2FAA" w:rsidRPr="00DB3BA7" w14:paraId="5E630798" w14:textId="77777777">
        <w:trPr>
          <w:trHeight w:val="397"/>
        </w:trPr>
        <w:tc>
          <w:tcPr>
            <w:tcW w:w="851" w:type="dxa"/>
            <w:hideMark/>
          </w:tcPr>
          <w:p w14:paraId="7C941EB8" w14:textId="77777777" w:rsidR="00CD2FAA" w:rsidRPr="00DB3BA7" w:rsidRDefault="00CD2FAA">
            <w:pPr>
              <w:spacing w:after="0"/>
              <w:rPr>
                <w:rFonts w:eastAsia="Times New Roman"/>
                <w:szCs w:val="20"/>
                <w:lang w:eastAsia="en-AU"/>
              </w:rPr>
            </w:pPr>
            <w:r w:rsidRPr="00DB3BA7">
              <w:rPr>
                <w:rFonts w:eastAsia="Times New Roman"/>
                <w:szCs w:val="20"/>
                <w:lang w:eastAsia="en-AU"/>
              </w:rPr>
              <w:t>ACT</w:t>
            </w:r>
          </w:p>
        </w:tc>
        <w:tc>
          <w:tcPr>
            <w:tcW w:w="4150" w:type="dxa"/>
            <w:noWrap/>
            <w:hideMark/>
          </w:tcPr>
          <w:p w14:paraId="596B7DEA" w14:textId="77777777" w:rsidR="00CD2FAA" w:rsidRPr="00DB3BA7" w:rsidRDefault="00CD2FAA">
            <w:pPr>
              <w:spacing w:after="0"/>
              <w:rPr>
                <w:rFonts w:eastAsia="Times New Roman"/>
                <w:color w:val="000000"/>
                <w:szCs w:val="20"/>
                <w:lang w:eastAsia="en-AU"/>
              </w:rPr>
            </w:pPr>
            <w:r w:rsidRPr="00DB3BA7">
              <w:rPr>
                <w:rFonts w:eastAsia="Times New Roman"/>
                <w:color w:val="000000"/>
                <w:szCs w:val="20"/>
                <w:lang w:eastAsia="en-AU"/>
              </w:rPr>
              <w:t>Australian Capital Territory (groundwater)</w:t>
            </w:r>
          </w:p>
        </w:tc>
        <w:tc>
          <w:tcPr>
            <w:tcW w:w="3292" w:type="dxa"/>
            <w:hideMark/>
          </w:tcPr>
          <w:p w14:paraId="0BCA6AA1" w14:textId="77777777" w:rsidR="00CD2FAA" w:rsidRPr="00DB3BA7" w:rsidRDefault="00CD2FAA">
            <w:pPr>
              <w:spacing w:after="0"/>
              <w:rPr>
                <w:rFonts w:eastAsia="Times New Roman"/>
                <w:szCs w:val="20"/>
                <w:lang w:eastAsia="en-AU"/>
              </w:rPr>
            </w:pPr>
            <w:r w:rsidRPr="00DB3BA7">
              <w:rPr>
                <w:rFonts w:eastAsia="Times New Roman"/>
                <w:szCs w:val="20"/>
                <w:lang w:eastAsia="en-AU"/>
              </w:rPr>
              <w:t>Groundwater</w:t>
            </w:r>
          </w:p>
        </w:tc>
        <w:tc>
          <w:tcPr>
            <w:tcW w:w="1431" w:type="dxa"/>
            <w:hideMark/>
          </w:tcPr>
          <w:p w14:paraId="6F695630"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Operational</w:t>
            </w:r>
          </w:p>
        </w:tc>
        <w:tc>
          <w:tcPr>
            <w:tcW w:w="1728" w:type="dxa"/>
            <w:hideMark/>
          </w:tcPr>
          <w:p w14:paraId="371C5604"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30-Jun-20</w:t>
            </w:r>
          </w:p>
        </w:tc>
        <w:tc>
          <w:tcPr>
            <w:tcW w:w="1367" w:type="dxa"/>
            <w:shd w:val="clear" w:color="auto" w:fill="92D050"/>
            <w:hideMark/>
          </w:tcPr>
          <w:p w14:paraId="551CA48E"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Yes</w:t>
            </w:r>
          </w:p>
        </w:tc>
        <w:tc>
          <w:tcPr>
            <w:tcW w:w="1367" w:type="dxa"/>
            <w:shd w:val="clear" w:color="auto" w:fill="92D050"/>
            <w:hideMark/>
          </w:tcPr>
          <w:p w14:paraId="46E1B1E7"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Yes</w:t>
            </w:r>
          </w:p>
        </w:tc>
        <w:tc>
          <w:tcPr>
            <w:tcW w:w="1570" w:type="dxa"/>
            <w:shd w:val="clear" w:color="auto" w:fill="92D050"/>
            <w:hideMark/>
          </w:tcPr>
          <w:p w14:paraId="5B72CE59"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Yes</w:t>
            </w:r>
          </w:p>
        </w:tc>
      </w:tr>
      <w:tr w:rsidR="00CD2FAA" w:rsidRPr="00DB3BA7" w14:paraId="5DA79C08" w14:textId="77777777">
        <w:trPr>
          <w:trHeight w:val="397"/>
        </w:trPr>
        <w:tc>
          <w:tcPr>
            <w:tcW w:w="851" w:type="dxa"/>
            <w:hideMark/>
          </w:tcPr>
          <w:p w14:paraId="18273534" w14:textId="77777777" w:rsidR="00CD2FAA" w:rsidRPr="00DB3BA7" w:rsidRDefault="00CD2FAA">
            <w:pPr>
              <w:spacing w:after="0"/>
              <w:rPr>
                <w:rFonts w:eastAsia="Times New Roman"/>
                <w:szCs w:val="20"/>
                <w:lang w:eastAsia="en-AU"/>
              </w:rPr>
            </w:pPr>
            <w:r w:rsidRPr="00DB3BA7">
              <w:rPr>
                <w:rFonts w:eastAsia="Times New Roman"/>
                <w:szCs w:val="20"/>
                <w:lang w:eastAsia="en-AU"/>
              </w:rPr>
              <w:t>NSW</w:t>
            </w:r>
          </w:p>
        </w:tc>
        <w:tc>
          <w:tcPr>
            <w:tcW w:w="4150" w:type="dxa"/>
            <w:noWrap/>
            <w:hideMark/>
          </w:tcPr>
          <w:p w14:paraId="3330BD58" w14:textId="77777777" w:rsidR="00CD2FAA" w:rsidRPr="00DB3BA7" w:rsidRDefault="00CD2FAA">
            <w:pPr>
              <w:spacing w:after="0"/>
              <w:rPr>
                <w:rFonts w:eastAsia="Times New Roman"/>
                <w:color w:val="000000"/>
                <w:szCs w:val="20"/>
                <w:lang w:eastAsia="en-AU"/>
              </w:rPr>
            </w:pPr>
            <w:r w:rsidRPr="00DB3BA7">
              <w:rPr>
                <w:rFonts w:eastAsia="Times New Roman"/>
                <w:color w:val="000000"/>
                <w:szCs w:val="20"/>
                <w:lang w:eastAsia="en-AU"/>
              </w:rPr>
              <w:t>Darling Alluvium</w:t>
            </w:r>
          </w:p>
        </w:tc>
        <w:tc>
          <w:tcPr>
            <w:tcW w:w="3292" w:type="dxa"/>
            <w:hideMark/>
          </w:tcPr>
          <w:p w14:paraId="6FDCAE4F" w14:textId="77777777" w:rsidR="00CD2FAA" w:rsidRPr="00DB3BA7" w:rsidRDefault="00CD2FAA">
            <w:pPr>
              <w:spacing w:after="0"/>
              <w:rPr>
                <w:rFonts w:eastAsia="Times New Roman"/>
                <w:szCs w:val="20"/>
                <w:lang w:eastAsia="en-AU"/>
              </w:rPr>
            </w:pPr>
            <w:r w:rsidRPr="00DB3BA7">
              <w:rPr>
                <w:rFonts w:eastAsia="Times New Roman"/>
                <w:szCs w:val="20"/>
                <w:lang w:eastAsia="en-AU"/>
              </w:rPr>
              <w:t>Groundwater</w:t>
            </w:r>
          </w:p>
        </w:tc>
        <w:tc>
          <w:tcPr>
            <w:tcW w:w="1431" w:type="dxa"/>
            <w:hideMark/>
          </w:tcPr>
          <w:p w14:paraId="001808A3"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Operational</w:t>
            </w:r>
          </w:p>
        </w:tc>
        <w:tc>
          <w:tcPr>
            <w:tcW w:w="1728" w:type="dxa"/>
            <w:hideMark/>
          </w:tcPr>
          <w:p w14:paraId="350FF31D"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28-Jun-23</w:t>
            </w:r>
          </w:p>
        </w:tc>
        <w:tc>
          <w:tcPr>
            <w:tcW w:w="1367" w:type="dxa"/>
            <w:shd w:val="clear" w:color="auto" w:fill="FF0000"/>
            <w:hideMark/>
          </w:tcPr>
          <w:p w14:paraId="3FEE6538"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No</w:t>
            </w:r>
          </w:p>
        </w:tc>
        <w:tc>
          <w:tcPr>
            <w:tcW w:w="1367" w:type="dxa"/>
            <w:shd w:val="clear" w:color="auto" w:fill="92D050"/>
            <w:hideMark/>
          </w:tcPr>
          <w:p w14:paraId="37ADF9F9"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Yes</w:t>
            </w:r>
          </w:p>
        </w:tc>
        <w:tc>
          <w:tcPr>
            <w:tcW w:w="1570" w:type="dxa"/>
            <w:shd w:val="clear" w:color="auto" w:fill="92D050"/>
            <w:hideMark/>
          </w:tcPr>
          <w:p w14:paraId="285B9D20"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Yes</w:t>
            </w:r>
          </w:p>
        </w:tc>
      </w:tr>
      <w:tr w:rsidR="00CD2FAA" w:rsidRPr="00DB3BA7" w14:paraId="09ED9FC3" w14:textId="77777777">
        <w:trPr>
          <w:trHeight w:val="397"/>
        </w:trPr>
        <w:tc>
          <w:tcPr>
            <w:tcW w:w="851" w:type="dxa"/>
            <w:hideMark/>
          </w:tcPr>
          <w:p w14:paraId="0219BCB8" w14:textId="77777777" w:rsidR="00CD2FAA" w:rsidRPr="00DB3BA7" w:rsidRDefault="00CD2FAA">
            <w:pPr>
              <w:spacing w:after="0"/>
              <w:rPr>
                <w:rFonts w:eastAsia="Times New Roman"/>
                <w:szCs w:val="20"/>
                <w:lang w:eastAsia="en-AU"/>
              </w:rPr>
            </w:pPr>
            <w:r w:rsidRPr="00DB3BA7">
              <w:rPr>
                <w:rFonts w:eastAsia="Times New Roman"/>
                <w:szCs w:val="20"/>
                <w:lang w:eastAsia="en-AU"/>
              </w:rPr>
              <w:t>NSW</w:t>
            </w:r>
          </w:p>
        </w:tc>
        <w:tc>
          <w:tcPr>
            <w:tcW w:w="4150" w:type="dxa"/>
            <w:hideMark/>
          </w:tcPr>
          <w:p w14:paraId="3069A235" w14:textId="77777777" w:rsidR="00CD2FAA" w:rsidRPr="00DB3BA7" w:rsidRDefault="00CD2FAA">
            <w:pPr>
              <w:spacing w:after="0"/>
              <w:rPr>
                <w:rFonts w:eastAsia="Times New Roman"/>
                <w:szCs w:val="20"/>
                <w:lang w:eastAsia="en-AU"/>
              </w:rPr>
            </w:pPr>
            <w:r w:rsidRPr="00DB3BA7">
              <w:rPr>
                <w:rFonts w:eastAsia="Times New Roman"/>
                <w:szCs w:val="20"/>
                <w:lang w:eastAsia="en-AU"/>
              </w:rPr>
              <w:t>Gwydir Alluvium</w:t>
            </w:r>
          </w:p>
        </w:tc>
        <w:tc>
          <w:tcPr>
            <w:tcW w:w="3292" w:type="dxa"/>
            <w:hideMark/>
          </w:tcPr>
          <w:p w14:paraId="5F808A0B" w14:textId="77777777" w:rsidR="00CD2FAA" w:rsidRPr="00DB3BA7" w:rsidRDefault="00CD2FAA">
            <w:pPr>
              <w:spacing w:after="0"/>
              <w:rPr>
                <w:rFonts w:eastAsia="Times New Roman"/>
                <w:szCs w:val="20"/>
                <w:lang w:eastAsia="en-AU"/>
              </w:rPr>
            </w:pPr>
            <w:r w:rsidRPr="00DB3BA7">
              <w:rPr>
                <w:rFonts w:eastAsia="Times New Roman"/>
                <w:szCs w:val="20"/>
                <w:lang w:eastAsia="en-AU"/>
              </w:rPr>
              <w:t>Groundwater</w:t>
            </w:r>
          </w:p>
        </w:tc>
        <w:tc>
          <w:tcPr>
            <w:tcW w:w="1431" w:type="dxa"/>
            <w:hideMark/>
          </w:tcPr>
          <w:p w14:paraId="613CC114"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Withdrawn</w:t>
            </w:r>
          </w:p>
        </w:tc>
        <w:tc>
          <w:tcPr>
            <w:tcW w:w="1728" w:type="dxa"/>
            <w:hideMark/>
          </w:tcPr>
          <w:p w14:paraId="72C80A7B"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n/a</w:t>
            </w:r>
          </w:p>
        </w:tc>
        <w:tc>
          <w:tcPr>
            <w:tcW w:w="1367" w:type="dxa"/>
            <w:shd w:val="clear" w:color="auto" w:fill="FF0000"/>
            <w:noWrap/>
            <w:hideMark/>
          </w:tcPr>
          <w:p w14:paraId="7F47184D"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No</w:t>
            </w:r>
          </w:p>
        </w:tc>
        <w:tc>
          <w:tcPr>
            <w:tcW w:w="1367" w:type="dxa"/>
            <w:shd w:val="clear" w:color="auto" w:fill="FF0000"/>
            <w:noWrap/>
            <w:hideMark/>
          </w:tcPr>
          <w:p w14:paraId="657C397B"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No</w:t>
            </w:r>
          </w:p>
        </w:tc>
        <w:tc>
          <w:tcPr>
            <w:tcW w:w="1570" w:type="dxa"/>
            <w:shd w:val="clear" w:color="auto" w:fill="FF0000"/>
            <w:noWrap/>
            <w:hideMark/>
          </w:tcPr>
          <w:p w14:paraId="69B61918"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No</w:t>
            </w:r>
          </w:p>
        </w:tc>
      </w:tr>
      <w:tr w:rsidR="00CD2FAA" w:rsidRPr="00DB3BA7" w14:paraId="234E6B0F" w14:textId="77777777">
        <w:trPr>
          <w:trHeight w:val="397"/>
        </w:trPr>
        <w:tc>
          <w:tcPr>
            <w:tcW w:w="851" w:type="dxa"/>
            <w:hideMark/>
          </w:tcPr>
          <w:p w14:paraId="7C16C0D8" w14:textId="77777777" w:rsidR="00CD2FAA" w:rsidRPr="00DB3BA7" w:rsidRDefault="00CD2FAA">
            <w:pPr>
              <w:spacing w:after="0"/>
              <w:rPr>
                <w:rFonts w:eastAsia="Times New Roman"/>
                <w:szCs w:val="20"/>
                <w:lang w:eastAsia="en-AU"/>
              </w:rPr>
            </w:pPr>
            <w:r w:rsidRPr="00DB3BA7">
              <w:rPr>
                <w:rFonts w:eastAsia="Times New Roman"/>
                <w:szCs w:val="20"/>
                <w:lang w:eastAsia="en-AU"/>
              </w:rPr>
              <w:t>NSW</w:t>
            </w:r>
          </w:p>
        </w:tc>
        <w:tc>
          <w:tcPr>
            <w:tcW w:w="4150" w:type="dxa"/>
            <w:noWrap/>
            <w:hideMark/>
          </w:tcPr>
          <w:p w14:paraId="0FF129D7" w14:textId="77777777" w:rsidR="00CD2FAA" w:rsidRPr="00DB3BA7" w:rsidRDefault="00CD2FAA">
            <w:pPr>
              <w:spacing w:after="0"/>
              <w:rPr>
                <w:rFonts w:eastAsia="Times New Roman"/>
                <w:color w:val="000000"/>
                <w:szCs w:val="20"/>
                <w:lang w:eastAsia="en-AU"/>
              </w:rPr>
            </w:pPr>
            <w:r w:rsidRPr="00DB3BA7">
              <w:rPr>
                <w:rFonts w:eastAsia="Times New Roman"/>
                <w:color w:val="000000"/>
                <w:szCs w:val="20"/>
                <w:lang w:eastAsia="en-AU"/>
              </w:rPr>
              <w:t>Lachlan Alluvium</w:t>
            </w:r>
          </w:p>
        </w:tc>
        <w:tc>
          <w:tcPr>
            <w:tcW w:w="3292" w:type="dxa"/>
            <w:hideMark/>
          </w:tcPr>
          <w:p w14:paraId="31DECAE3" w14:textId="77777777" w:rsidR="00CD2FAA" w:rsidRPr="00DB3BA7" w:rsidRDefault="00CD2FAA">
            <w:pPr>
              <w:spacing w:after="0"/>
              <w:rPr>
                <w:rFonts w:eastAsia="Times New Roman"/>
                <w:szCs w:val="20"/>
                <w:lang w:eastAsia="en-AU"/>
              </w:rPr>
            </w:pPr>
            <w:r w:rsidRPr="00DB3BA7">
              <w:rPr>
                <w:rFonts w:eastAsia="Times New Roman"/>
                <w:szCs w:val="20"/>
                <w:lang w:eastAsia="en-AU"/>
              </w:rPr>
              <w:t>Groundwater</w:t>
            </w:r>
          </w:p>
        </w:tc>
        <w:tc>
          <w:tcPr>
            <w:tcW w:w="1431" w:type="dxa"/>
            <w:hideMark/>
          </w:tcPr>
          <w:p w14:paraId="4B1A3FA1"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Operational</w:t>
            </w:r>
          </w:p>
        </w:tc>
        <w:tc>
          <w:tcPr>
            <w:tcW w:w="1728" w:type="dxa"/>
            <w:hideMark/>
          </w:tcPr>
          <w:p w14:paraId="4907E32C"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22-Aug-23</w:t>
            </w:r>
          </w:p>
        </w:tc>
        <w:tc>
          <w:tcPr>
            <w:tcW w:w="1367" w:type="dxa"/>
            <w:shd w:val="clear" w:color="auto" w:fill="FF0000"/>
            <w:hideMark/>
          </w:tcPr>
          <w:p w14:paraId="4EA2E719"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No</w:t>
            </w:r>
          </w:p>
        </w:tc>
        <w:tc>
          <w:tcPr>
            <w:tcW w:w="1367" w:type="dxa"/>
            <w:shd w:val="clear" w:color="auto" w:fill="FF0000"/>
            <w:hideMark/>
          </w:tcPr>
          <w:p w14:paraId="5A889B4C"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No</w:t>
            </w:r>
          </w:p>
        </w:tc>
        <w:tc>
          <w:tcPr>
            <w:tcW w:w="1570" w:type="dxa"/>
            <w:shd w:val="clear" w:color="auto" w:fill="92D050"/>
            <w:hideMark/>
          </w:tcPr>
          <w:p w14:paraId="45BA9E0E"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Yes</w:t>
            </w:r>
          </w:p>
        </w:tc>
      </w:tr>
      <w:tr w:rsidR="00CD2FAA" w:rsidRPr="00DB3BA7" w14:paraId="1EE2C373" w14:textId="77777777">
        <w:trPr>
          <w:trHeight w:val="397"/>
        </w:trPr>
        <w:tc>
          <w:tcPr>
            <w:tcW w:w="851" w:type="dxa"/>
            <w:hideMark/>
          </w:tcPr>
          <w:p w14:paraId="126DEE7A" w14:textId="77777777" w:rsidR="00CD2FAA" w:rsidRPr="00DB3BA7" w:rsidRDefault="00CD2FAA">
            <w:pPr>
              <w:spacing w:after="0"/>
              <w:rPr>
                <w:rFonts w:eastAsia="Times New Roman"/>
                <w:szCs w:val="20"/>
                <w:lang w:eastAsia="en-AU"/>
              </w:rPr>
            </w:pPr>
            <w:r w:rsidRPr="00DB3BA7">
              <w:rPr>
                <w:rFonts w:eastAsia="Times New Roman"/>
                <w:szCs w:val="20"/>
                <w:lang w:eastAsia="en-AU"/>
              </w:rPr>
              <w:t>NSW</w:t>
            </w:r>
          </w:p>
        </w:tc>
        <w:tc>
          <w:tcPr>
            <w:tcW w:w="4150" w:type="dxa"/>
            <w:noWrap/>
            <w:hideMark/>
          </w:tcPr>
          <w:p w14:paraId="1E627180" w14:textId="77777777" w:rsidR="00CD2FAA" w:rsidRPr="00DB3BA7" w:rsidRDefault="00CD2FAA">
            <w:pPr>
              <w:spacing w:after="0"/>
              <w:rPr>
                <w:rFonts w:eastAsia="Times New Roman"/>
                <w:color w:val="000000"/>
                <w:szCs w:val="20"/>
                <w:lang w:eastAsia="en-AU"/>
              </w:rPr>
            </w:pPr>
            <w:r w:rsidRPr="00DB3BA7">
              <w:rPr>
                <w:rFonts w:eastAsia="Times New Roman"/>
                <w:color w:val="000000"/>
                <w:szCs w:val="20"/>
                <w:lang w:eastAsia="en-AU"/>
              </w:rPr>
              <w:t>Macquarie–Castlereagh Alluvium</w:t>
            </w:r>
          </w:p>
        </w:tc>
        <w:tc>
          <w:tcPr>
            <w:tcW w:w="3292" w:type="dxa"/>
            <w:hideMark/>
          </w:tcPr>
          <w:p w14:paraId="41A8F14C" w14:textId="77777777" w:rsidR="00CD2FAA" w:rsidRPr="00DB3BA7" w:rsidRDefault="00CD2FAA">
            <w:pPr>
              <w:spacing w:after="0"/>
              <w:rPr>
                <w:rFonts w:eastAsia="Times New Roman"/>
                <w:szCs w:val="20"/>
                <w:lang w:eastAsia="en-AU"/>
              </w:rPr>
            </w:pPr>
            <w:r w:rsidRPr="00DB3BA7">
              <w:rPr>
                <w:rFonts w:eastAsia="Times New Roman"/>
                <w:szCs w:val="20"/>
                <w:lang w:eastAsia="en-AU"/>
              </w:rPr>
              <w:t>Groundwater</w:t>
            </w:r>
          </w:p>
        </w:tc>
        <w:tc>
          <w:tcPr>
            <w:tcW w:w="1431" w:type="dxa"/>
            <w:hideMark/>
          </w:tcPr>
          <w:p w14:paraId="093DDA7D"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Operational</w:t>
            </w:r>
          </w:p>
        </w:tc>
        <w:tc>
          <w:tcPr>
            <w:tcW w:w="1728" w:type="dxa"/>
            <w:hideMark/>
          </w:tcPr>
          <w:p w14:paraId="24F393C7"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24-Dec-22</w:t>
            </w:r>
          </w:p>
        </w:tc>
        <w:tc>
          <w:tcPr>
            <w:tcW w:w="1367" w:type="dxa"/>
            <w:shd w:val="clear" w:color="auto" w:fill="FF0000"/>
            <w:hideMark/>
          </w:tcPr>
          <w:p w14:paraId="2F78ECC5"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No</w:t>
            </w:r>
          </w:p>
        </w:tc>
        <w:tc>
          <w:tcPr>
            <w:tcW w:w="1367" w:type="dxa"/>
            <w:shd w:val="clear" w:color="auto" w:fill="92D050"/>
            <w:hideMark/>
          </w:tcPr>
          <w:p w14:paraId="4D20133D"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Yes</w:t>
            </w:r>
          </w:p>
        </w:tc>
        <w:tc>
          <w:tcPr>
            <w:tcW w:w="1570" w:type="dxa"/>
            <w:shd w:val="clear" w:color="auto" w:fill="92D050"/>
            <w:hideMark/>
          </w:tcPr>
          <w:p w14:paraId="628EE48C"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Yes</w:t>
            </w:r>
          </w:p>
        </w:tc>
      </w:tr>
      <w:tr w:rsidR="00CD2FAA" w:rsidRPr="00DB3BA7" w14:paraId="72DFF24F" w14:textId="77777777">
        <w:trPr>
          <w:trHeight w:val="397"/>
        </w:trPr>
        <w:tc>
          <w:tcPr>
            <w:tcW w:w="851" w:type="dxa"/>
            <w:hideMark/>
          </w:tcPr>
          <w:p w14:paraId="7C70DE87" w14:textId="77777777" w:rsidR="00CD2FAA" w:rsidRPr="00DB3BA7" w:rsidRDefault="00CD2FAA">
            <w:pPr>
              <w:spacing w:after="0"/>
              <w:rPr>
                <w:rFonts w:eastAsia="Times New Roman"/>
                <w:szCs w:val="20"/>
                <w:lang w:eastAsia="en-AU"/>
              </w:rPr>
            </w:pPr>
            <w:r w:rsidRPr="00DB3BA7">
              <w:rPr>
                <w:rFonts w:eastAsia="Times New Roman"/>
                <w:szCs w:val="20"/>
                <w:lang w:eastAsia="en-AU"/>
              </w:rPr>
              <w:t>NSW</w:t>
            </w:r>
          </w:p>
        </w:tc>
        <w:tc>
          <w:tcPr>
            <w:tcW w:w="4150" w:type="dxa"/>
            <w:noWrap/>
            <w:hideMark/>
          </w:tcPr>
          <w:p w14:paraId="1115D363" w14:textId="77777777" w:rsidR="00CD2FAA" w:rsidRPr="00DB3BA7" w:rsidRDefault="00CD2FAA">
            <w:pPr>
              <w:spacing w:after="0"/>
              <w:rPr>
                <w:rFonts w:eastAsia="Times New Roman"/>
                <w:color w:val="000000"/>
                <w:szCs w:val="20"/>
                <w:lang w:eastAsia="en-AU"/>
              </w:rPr>
            </w:pPr>
            <w:r w:rsidRPr="00DB3BA7">
              <w:rPr>
                <w:rFonts w:eastAsia="Times New Roman"/>
                <w:color w:val="000000"/>
                <w:szCs w:val="20"/>
                <w:lang w:eastAsia="en-AU"/>
              </w:rPr>
              <w:t>Murray Alluvium</w:t>
            </w:r>
          </w:p>
        </w:tc>
        <w:tc>
          <w:tcPr>
            <w:tcW w:w="3292" w:type="dxa"/>
            <w:hideMark/>
          </w:tcPr>
          <w:p w14:paraId="0D5B37A3" w14:textId="77777777" w:rsidR="00CD2FAA" w:rsidRPr="00DB3BA7" w:rsidRDefault="00CD2FAA">
            <w:pPr>
              <w:spacing w:after="0"/>
              <w:rPr>
                <w:rFonts w:eastAsia="Times New Roman"/>
                <w:szCs w:val="20"/>
                <w:lang w:eastAsia="en-AU"/>
              </w:rPr>
            </w:pPr>
            <w:r w:rsidRPr="00DB3BA7">
              <w:rPr>
                <w:rFonts w:eastAsia="Times New Roman"/>
                <w:szCs w:val="20"/>
                <w:lang w:eastAsia="en-AU"/>
              </w:rPr>
              <w:t>Groundwater</w:t>
            </w:r>
          </w:p>
        </w:tc>
        <w:tc>
          <w:tcPr>
            <w:tcW w:w="1431" w:type="dxa"/>
            <w:hideMark/>
          </w:tcPr>
          <w:p w14:paraId="7F72244E"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Operational</w:t>
            </w:r>
          </w:p>
        </w:tc>
        <w:tc>
          <w:tcPr>
            <w:tcW w:w="1728" w:type="dxa"/>
            <w:hideMark/>
          </w:tcPr>
          <w:p w14:paraId="58E7B819"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22-Aug-23</w:t>
            </w:r>
          </w:p>
        </w:tc>
        <w:tc>
          <w:tcPr>
            <w:tcW w:w="1367" w:type="dxa"/>
            <w:shd w:val="clear" w:color="auto" w:fill="FF0000"/>
            <w:hideMark/>
          </w:tcPr>
          <w:p w14:paraId="4C8E8959"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No</w:t>
            </w:r>
          </w:p>
        </w:tc>
        <w:tc>
          <w:tcPr>
            <w:tcW w:w="1367" w:type="dxa"/>
            <w:shd w:val="clear" w:color="auto" w:fill="FF0000"/>
            <w:hideMark/>
          </w:tcPr>
          <w:p w14:paraId="1337F540"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No</w:t>
            </w:r>
          </w:p>
        </w:tc>
        <w:tc>
          <w:tcPr>
            <w:tcW w:w="1570" w:type="dxa"/>
            <w:shd w:val="clear" w:color="auto" w:fill="92D050"/>
            <w:hideMark/>
          </w:tcPr>
          <w:p w14:paraId="64C84A86"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Yes</w:t>
            </w:r>
          </w:p>
        </w:tc>
      </w:tr>
      <w:tr w:rsidR="00CD2FAA" w:rsidRPr="00DB3BA7" w14:paraId="16F60507" w14:textId="77777777">
        <w:trPr>
          <w:trHeight w:val="397"/>
        </w:trPr>
        <w:tc>
          <w:tcPr>
            <w:tcW w:w="851" w:type="dxa"/>
            <w:hideMark/>
          </w:tcPr>
          <w:p w14:paraId="145FB5AA" w14:textId="77777777" w:rsidR="00CD2FAA" w:rsidRPr="00DB3BA7" w:rsidRDefault="00CD2FAA">
            <w:pPr>
              <w:spacing w:after="0"/>
              <w:rPr>
                <w:rFonts w:eastAsia="Times New Roman"/>
                <w:szCs w:val="20"/>
                <w:lang w:eastAsia="en-AU"/>
              </w:rPr>
            </w:pPr>
            <w:r w:rsidRPr="00DB3BA7">
              <w:rPr>
                <w:rFonts w:eastAsia="Times New Roman"/>
                <w:szCs w:val="20"/>
                <w:lang w:eastAsia="en-AU"/>
              </w:rPr>
              <w:t>NSW</w:t>
            </w:r>
          </w:p>
        </w:tc>
        <w:tc>
          <w:tcPr>
            <w:tcW w:w="4150" w:type="dxa"/>
            <w:noWrap/>
            <w:hideMark/>
          </w:tcPr>
          <w:p w14:paraId="36C90311" w14:textId="77777777" w:rsidR="00CD2FAA" w:rsidRPr="00DB3BA7" w:rsidRDefault="00CD2FAA">
            <w:pPr>
              <w:spacing w:after="0"/>
              <w:rPr>
                <w:rFonts w:eastAsia="Times New Roman"/>
                <w:color w:val="000000"/>
                <w:szCs w:val="20"/>
                <w:lang w:eastAsia="en-AU"/>
              </w:rPr>
            </w:pPr>
            <w:r w:rsidRPr="00DB3BA7">
              <w:rPr>
                <w:rFonts w:eastAsia="Times New Roman"/>
                <w:color w:val="000000"/>
                <w:szCs w:val="20"/>
                <w:lang w:eastAsia="en-AU"/>
              </w:rPr>
              <w:t>Murrumbidgee Alluvium</w:t>
            </w:r>
          </w:p>
        </w:tc>
        <w:tc>
          <w:tcPr>
            <w:tcW w:w="3292" w:type="dxa"/>
            <w:hideMark/>
          </w:tcPr>
          <w:p w14:paraId="58876184" w14:textId="77777777" w:rsidR="00CD2FAA" w:rsidRPr="00DB3BA7" w:rsidRDefault="00CD2FAA">
            <w:pPr>
              <w:spacing w:after="0"/>
              <w:rPr>
                <w:rFonts w:eastAsia="Times New Roman"/>
                <w:szCs w:val="20"/>
                <w:lang w:eastAsia="en-AU"/>
              </w:rPr>
            </w:pPr>
            <w:r w:rsidRPr="00DB3BA7">
              <w:rPr>
                <w:rFonts w:eastAsia="Times New Roman"/>
                <w:szCs w:val="20"/>
                <w:lang w:eastAsia="en-AU"/>
              </w:rPr>
              <w:t>Groundwater</w:t>
            </w:r>
          </w:p>
        </w:tc>
        <w:tc>
          <w:tcPr>
            <w:tcW w:w="1431" w:type="dxa"/>
            <w:hideMark/>
          </w:tcPr>
          <w:p w14:paraId="5CB4E396"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Operational</w:t>
            </w:r>
          </w:p>
        </w:tc>
        <w:tc>
          <w:tcPr>
            <w:tcW w:w="1728" w:type="dxa"/>
            <w:hideMark/>
          </w:tcPr>
          <w:p w14:paraId="228BDB25"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09-Nov-23</w:t>
            </w:r>
          </w:p>
        </w:tc>
        <w:tc>
          <w:tcPr>
            <w:tcW w:w="1367" w:type="dxa"/>
            <w:shd w:val="clear" w:color="auto" w:fill="FF0000"/>
            <w:hideMark/>
          </w:tcPr>
          <w:p w14:paraId="6A62D243"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No</w:t>
            </w:r>
          </w:p>
        </w:tc>
        <w:tc>
          <w:tcPr>
            <w:tcW w:w="1367" w:type="dxa"/>
            <w:shd w:val="clear" w:color="auto" w:fill="FF0000"/>
            <w:hideMark/>
          </w:tcPr>
          <w:p w14:paraId="6C293A8A"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No</w:t>
            </w:r>
          </w:p>
        </w:tc>
        <w:tc>
          <w:tcPr>
            <w:tcW w:w="1570" w:type="dxa"/>
            <w:shd w:val="clear" w:color="auto" w:fill="92D050"/>
            <w:hideMark/>
          </w:tcPr>
          <w:p w14:paraId="04B7B70C"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Yes</w:t>
            </w:r>
          </w:p>
        </w:tc>
      </w:tr>
      <w:tr w:rsidR="00CD2FAA" w:rsidRPr="00DB3BA7" w14:paraId="634113C2" w14:textId="77777777">
        <w:trPr>
          <w:trHeight w:val="397"/>
        </w:trPr>
        <w:tc>
          <w:tcPr>
            <w:tcW w:w="851" w:type="dxa"/>
            <w:hideMark/>
          </w:tcPr>
          <w:p w14:paraId="772BA3D3" w14:textId="77777777" w:rsidR="00CD2FAA" w:rsidRPr="00DB3BA7" w:rsidRDefault="00CD2FAA">
            <w:pPr>
              <w:spacing w:after="0"/>
              <w:rPr>
                <w:rFonts w:eastAsia="Times New Roman"/>
                <w:szCs w:val="20"/>
                <w:lang w:eastAsia="en-AU"/>
              </w:rPr>
            </w:pPr>
            <w:r w:rsidRPr="00DB3BA7">
              <w:rPr>
                <w:rFonts w:eastAsia="Times New Roman"/>
                <w:szCs w:val="20"/>
                <w:lang w:eastAsia="en-AU"/>
              </w:rPr>
              <w:t>NSW</w:t>
            </w:r>
          </w:p>
        </w:tc>
        <w:tc>
          <w:tcPr>
            <w:tcW w:w="4150" w:type="dxa"/>
            <w:hideMark/>
          </w:tcPr>
          <w:p w14:paraId="6038BE07" w14:textId="77777777" w:rsidR="00CD2FAA" w:rsidRPr="00DB3BA7" w:rsidRDefault="00CD2FAA">
            <w:pPr>
              <w:spacing w:after="0"/>
              <w:rPr>
                <w:rFonts w:eastAsia="Times New Roman"/>
                <w:szCs w:val="20"/>
                <w:lang w:eastAsia="en-AU"/>
              </w:rPr>
            </w:pPr>
            <w:r w:rsidRPr="00DB3BA7">
              <w:rPr>
                <w:rFonts w:eastAsia="Times New Roman"/>
                <w:szCs w:val="20"/>
                <w:lang w:eastAsia="en-AU"/>
              </w:rPr>
              <w:t>Namoi Alluvium</w:t>
            </w:r>
          </w:p>
        </w:tc>
        <w:tc>
          <w:tcPr>
            <w:tcW w:w="3292" w:type="dxa"/>
            <w:hideMark/>
          </w:tcPr>
          <w:p w14:paraId="7BDEED6D" w14:textId="77777777" w:rsidR="00CD2FAA" w:rsidRPr="00DB3BA7" w:rsidRDefault="00CD2FAA">
            <w:pPr>
              <w:spacing w:after="0"/>
              <w:rPr>
                <w:rFonts w:eastAsia="Times New Roman"/>
                <w:szCs w:val="20"/>
                <w:lang w:eastAsia="en-AU"/>
              </w:rPr>
            </w:pPr>
            <w:r w:rsidRPr="00DB3BA7">
              <w:rPr>
                <w:rFonts w:eastAsia="Times New Roman"/>
                <w:szCs w:val="20"/>
                <w:lang w:eastAsia="en-AU"/>
              </w:rPr>
              <w:t>Groundwater</w:t>
            </w:r>
          </w:p>
        </w:tc>
        <w:tc>
          <w:tcPr>
            <w:tcW w:w="1431" w:type="dxa"/>
            <w:hideMark/>
          </w:tcPr>
          <w:p w14:paraId="32477B77"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Withdrawn</w:t>
            </w:r>
          </w:p>
        </w:tc>
        <w:tc>
          <w:tcPr>
            <w:tcW w:w="1728" w:type="dxa"/>
            <w:hideMark/>
          </w:tcPr>
          <w:p w14:paraId="7B584A49"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n/a</w:t>
            </w:r>
          </w:p>
        </w:tc>
        <w:tc>
          <w:tcPr>
            <w:tcW w:w="1367" w:type="dxa"/>
            <w:shd w:val="clear" w:color="auto" w:fill="FF0000"/>
            <w:noWrap/>
            <w:hideMark/>
          </w:tcPr>
          <w:p w14:paraId="0526CC5B"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No</w:t>
            </w:r>
          </w:p>
        </w:tc>
        <w:tc>
          <w:tcPr>
            <w:tcW w:w="1367" w:type="dxa"/>
            <w:shd w:val="clear" w:color="auto" w:fill="FF0000"/>
            <w:noWrap/>
            <w:hideMark/>
          </w:tcPr>
          <w:p w14:paraId="3C7A8006"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No</w:t>
            </w:r>
          </w:p>
        </w:tc>
        <w:tc>
          <w:tcPr>
            <w:tcW w:w="1570" w:type="dxa"/>
            <w:shd w:val="clear" w:color="auto" w:fill="FF0000"/>
            <w:noWrap/>
            <w:hideMark/>
          </w:tcPr>
          <w:p w14:paraId="428E2C2A"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No</w:t>
            </w:r>
          </w:p>
        </w:tc>
      </w:tr>
      <w:tr w:rsidR="00CD2FAA" w:rsidRPr="00DB3BA7" w14:paraId="31912956" w14:textId="77777777">
        <w:trPr>
          <w:trHeight w:val="397"/>
        </w:trPr>
        <w:tc>
          <w:tcPr>
            <w:tcW w:w="851" w:type="dxa"/>
            <w:hideMark/>
          </w:tcPr>
          <w:p w14:paraId="529FE4C6" w14:textId="77777777" w:rsidR="00CD2FAA" w:rsidRPr="00DB3BA7" w:rsidRDefault="00CD2FAA">
            <w:pPr>
              <w:spacing w:after="0"/>
              <w:rPr>
                <w:rFonts w:eastAsia="Times New Roman"/>
                <w:szCs w:val="20"/>
                <w:lang w:eastAsia="en-AU"/>
              </w:rPr>
            </w:pPr>
            <w:r w:rsidRPr="00DB3BA7">
              <w:rPr>
                <w:rFonts w:eastAsia="Times New Roman"/>
                <w:szCs w:val="20"/>
                <w:lang w:eastAsia="en-AU"/>
              </w:rPr>
              <w:t>NSW</w:t>
            </w:r>
          </w:p>
        </w:tc>
        <w:tc>
          <w:tcPr>
            <w:tcW w:w="4150" w:type="dxa"/>
            <w:noWrap/>
            <w:hideMark/>
          </w:tcPr>
          <w:p w14:paraId="5B185DF7" w14:textId="77777777" w:rsidR="00CD2FAA" w:rsidRPr="00DB3BA7" w:rsidRDefault="00CD2FAA">
            <w:pPr>
              <w:spacing w:after="0"/>
              <w:rPr>
                <w:rFonts w:eastAsia="Times New Roman"/>
                <w:color w:val="000000"/>
                <w:szCs w:val="20"/>
                <w:lang w:eastAsia="en-AU"/>
              </w:rPr>
            </w:pPr>
            <w:r w:rsidRPr="00DB3BA7">
              <w:rPr>
                <w:rFonts w:eastAsia="Times New Roman"/>
                <w:color w:val="000000"/>
                <w:szCs w:val="20"/>
                <w:lang w:eastAsia="en-AU"/>
              </w:rPr>
              <w:t>NSW Border Rivers Alluvium</w:t>
            </w:r>
          </w:p>
        </w:tc>
        <w:tc>
          <w:tcPr>
            <w:tcW w:w="3292" w:type="dxa"/>
            <w:hideMark/>
          </w:tcPr>
          <w:p w14:paraId="50D9A4FF" w14:textId="77777777" w:rsidR="00CD2FAA" w:rsidRPr="00DB3BA7" w:rsidRDefault="00CD2FAA">
            <w:pPr>
              <w:spacing w:after="0"/>
              <w:rPr>
                <w:rFonts w:eastAsia="Times New Roman"/>
                <w:szCs w:val="20"/>
                <w:lang w:eastAsia="en-AU"/>
              </w:rPr>
            </w:pPr>
            <w:r w:rsidRPr="00DB3BA7">
              <w:rPr>
                <w:rFonts w:eastAsia="Times New Roman"/>
                <w:szCs w:val="20"/>
                <w:lang w:eastAsia="en-AU"/>
              </w:rPr>
              <w:t>Groundwater</w:t>
            </w:r>
          </w:p>
        </w:tc>
        <w:tc>
          <w:tcPr>
            <w:tcW w:w="1431" w:type="dxa"/>
            <w:hideMark/>
          </w:tcPr>
          <w:p w14:paraId="489BA36D"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Operational</w:t>
            </w:r>
          </w:p>
        </w:tc>
        <w:tc>
          <w:tcPr>
            <w:tcW w:w="1728" w:type="dxa"/>
            <w:hideMark/>
          </w:tcPr>
          <w:p w14:paraId="15D96FCE"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24-Sep-22</w:t>
            </w:r>
          </w:p>
        </w:tc>
        <w:tc>
          <w:tcPr>
            <w:tcW w:w="1367" w:type="dxa"/>
            <w:shd w:val="clear" w:color="auto" w:fill="FF0000"/>
            <w:hideMark/>
          </w:tcPr>
          <w:p w14:paraId="51A2F831"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No</w:t>
            </w:r>
          </w:p>
        </w:tc>
        <w:tc>
          <w:tcPr>
            <w:tcW w:w="1367" w:type="dxa"/>
            <w:shd w:val="clear" w:color="auto" w:fill="92D050"/>
            <w:hideMark/>
          </w:tcPr>
          <w:p w14:paraId="74185F24"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Yes</w:t>
            </w:r>
          </w:p>
        </w:tc>
        <w:tc>
          <w:tcPr>
            <w:tcW w:w="1570" w:type="dxa"/>
            <w:shd w:val="clear" w:color="auto" w:fill="92D050"/>
            <w:hideMark/>
          </w:tcPr>
          <w:p w14:paraId="6606E522"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Yes</w:t>
            </w:r>
          </w:p>
        </w:tc>
      </w:tr>
      <w:tr w:rsidR="00CD2FAA" w:rsidRPr="00DB3BA7" w14:paraId="6CF0A065" w14:textId="77777777">
        <w:trPr>
          <w:trHeight w:val="397"/>
        </w:trPr>
        <w:tc>
          <w:tcPr>
            <w:tcW w:w="851" w:type="dxa"/>
            <w:hideMark/>
          </w:tcPr>
          <w:p w14:paraId="28EB95DF" w14:textId="77777777" w:rsidR="00CD2FAA" w:rsidRPr="00DB3BA7" w:rsidRDefault="00CD2FAA">
            <w:pPr>
              <w:spacing w:after="0"/>
              <w:rPr>
                <w:rFonts w:eastAsia="Times New Roman"/>
                <w:szCs w:val="20"/>
                <w:lang w:eastAsia="en-AU"/>
              </w:rPr>
            </w:pPr>
            <w:r w:rsidRPr="00DB3BA7">
              <w:rPr>
                <w:rFonts w:eastAsia="Times New Roman"/>
                <w:szCs w:val="20"/>
                <w:lang w:eastAsia="en-AU"/>
              </w:rPr>
              <w:t>NSW</w:t>
            </w:r>
          </w:p>
        </w:tc>
        <w:tc>
          <w:tcPr>
            <w:tcW w:w="4150" w:type="dxa"/>
            <w:noWrap/>
            <w:hideMark/>
          </w:tcPr>
          <w:p w14:paraId="70E14661" w14:textId="77777777" w:rsidR="00CD2FAA" w:rsidRPr="00DB3BA7" w:rsidRDefault="00CD2FAA">
            <w:pPr>
              <w:spacing w:after="0"/>
              <w:rPr>
                <w:rFonts w:eastAsia="Times New Roman"/>
                <w:color w:val="000000"/>
                <w:szCs w:val="20"/>
                <w:lang w:eastAsia="en-AU"/>
              </w:rPr>
            </w:pPr>
            <w:r w:rsidRPr="00DB3BA7">
              <w:rPr>
                <w:rFonts w:eastAsia="Times New Roman"/>
                <w:color w:val="000000"/>
                <w:szCs w:val="20"/>
                <w:lang w:eastAsia="en-AU"/>
              </w:rPr>
              <w:t>NSW Great Artesian Basin Shallow</w:t>
            </w:r>
          </w:p>
        </w:tc>
        <w:tc>
          <w:tcPr>
            <w:tcW w:w="3292" w:type="dxa"/>
            <w:hideMark/>
          </w:tcPr>
          <w:p w14:paraId="0D55E430" w14:textId="77777777" w:rsidR="00CD2FAA" w:rsidRPr="00DB3BA7" w:rsidRDefault="00CD2FAA">
            <w:pPr>
              <w:spacing w:after="0"/>
              <w:rPr>
                <w:rFonts w:eastAsia="Times New Roman"/>
                <w:szCs w:val="20"/>
                <w:lang w:eastAsia="en-AU"/>
              </w:rPr>
            </w:pPr>
            <w:r w:rsidRPr="00DB3BA7">
              <w:rPr>
                <w:rFonts w:eastAsia="Times New Roman"/>
                <w:szCs w:val="20"/>
                <w:lang w:eastAsia="en-AU"/>
              </w:rPr>
              <w:t>Groundwater</w:t>
            </w:r>
          </w:p>
        </w:tc>
        <w:tc>
          <w:tcPr>
            <w:tcW w:w="1431" w:type="dxa"/>
            <w:hideMark/>
          </w:tcPr>
          <w:p w14:paraId="331FBD1C"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Operational</w:t>
            </w:r>
          </w:p>
        </w:tc>
        <w:tc>
          <w:tcPr>
            <w:tcW w:w="1728" w:type="dxa"/>
            <w:hideMark/>
          </w:tcPr>
          <w:p w14:paraId="63A6B370"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09-Dec-23</w:t>
            </w:r>
          </w:p>
        </w:tc>
        <w:tc>
          <w:tcPr>
            <w:tcW w:w="1367" w:type="dxa"/>
            <w:shd w:val="clear" w:color="auto" w:fill="FF0000"/>
            <w:hideMark/>
          </w:tcPr>
          <w:p w14:paraId="0D3EA87B"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No</w:t>
            </w:r>
          </w:p>
        </w:tc>
        <w:tc>
          <w:tcPr>
            <w:tcW w:w="1367" w:type="dxa"/>
            <w:shd w:val="clear" w:color="auto" w:fill="FF0000"/>
            <w:hideMark/>
          </w:tcPr>
          <w:p w14:paraId="37D23387"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No</w:t>
            </w:r>
          </w:p>
        </w:tc>
        <w:tc>
          <w:tcPr>
            <w:tcW w:w="1570" w:type="dxa"/>
            <w:shd w:val="clear" w:color="auto" w:fill="92D050"/>
            <w:hideMark/>
          </w:tcPr>
          <w:p w14:paraId="160F8867"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Yes</w:t>
            </w:r>
          </w:p>
        </w:tc>
      </w:tr>
      <w:tr w:rsidR="00CD2FAA" w:rsidRPr="00DB3BA7" w14:paraId="57B3A843" w14:textId="77777777">
        <w:trPr>
          <w:trHeight w:val="397"/>
        </w:trPr>
        <w:tc>
          <w:tcPr>
            <w:tcW w:w="851" w:type="dxa"/>
            <w:hideMark/>
          </w:tcPr>
          <w:p w14:paraId="66463FBF" w14:textId="77777777" w:rsidR="00CD2FAA" w:rsidRPr="00DB3BA7" w:rsidRDefault="00CD2FAA">
            <w:pPr>
              <w:spacing w:after="0"/>
              <w:rPr>
                <w:rFonts w:eastAsia="Times New Roman"/>
                <w:szCs w:val="20"/>
                <w:lang w:eastAsia="en-AU"/>
              </w:rPr>
            </w:pPr>
            <w:r w:rsidRPr="00DB3BA7">
              <w:rPr>
                <w:rFonts w:eastAsia="Times New Roman"/>
                <w:szCs w:val="20"/>
                <w:lang w:eastAsia="en-AU"/>
              </w:rPr>
              <w:t>NSW</w:t>
            </w:r>
          </w:p>
        </w:tc>
        <w:tc>
          <w:tcPr>
            <w:tcW w:w="4150" w:type="dxa"/>
            <w:noWrap/>
            <w:hideMark/>
          </w:tcPr>
          <w:p w14:paraId="3008625F" w14:textId="77777777" w:rsidR="00CD2FAA" w:rsidRPr="00DB3BA7" w:rsidRDefault="00CD2FAA">
            <w:pPr>
              <w:spacing w:after="0"/>
              <w:rPr>
                <w:rFonts w:eastAsia="Times New Roman"/>
                <w:color w:val="000000"/>
                <w:szCs w:val="20"/>
                <w:lang w:eastAsia="en-AU"/>
              </w:rPr>
            </w:pPr>
            <w:r w:rsidRPr="00DB3BA7">
              <w:rPr>
                <w:rFonts w:eastAsia="Times New Roman"/>
                <w:color w:val="000000"/>
                <w:szCs w:val="20"/>
                <w:lang w:eastAsia="en-AU"/>
              </w:rPr>
              <w:t>NSW Murray–Darling Basin Fractured Rock</w:t>
            </w:r>
          </w:p>
        </w:tc>
        <w:tc>
          <w:tcPr>
            <w:tcW w:w="3292" w:type="dxa"/>
            <w:hideMark/>
          </w:tcPr>
          <w:p w14:paraId="4CB2A423" w14:textId="77777777" w:rsidR="00CD2FAA" w:rsidRPr="00DB3BA7" w:rsidRDefault="00CD2FAA">
            <w:pPr>
              <w:spacing w:after="0"/>
              <w:rPr>
                <w:rFonts w:eastAsia="Times New Roman"/>
                <w:szCs w:val="20"/>
                <w:lang w:eastAsia="en-AU"/>
              </w:rPr>
            </w:pPr>
            <w:r w:rsidRPr="00DB3BA7">
              <w:rPr>
                <w:rFonts w:eastAsia="Times New Roman"/>
                <w:szCs w:val="20"/>
                <w:lang w:eastAsia="en-AU"/>
              </w:rPr>
              <w:t>Groundwater</w:t>
            </w:r>
          </w:p>
        </w:tc>
        <w:tc>
          <w:tcPr>
            <w:tcW w:w="1431" w:type="dxa"/>
            <w:hideMark/>
          </w:tcPr>
          <w:p w14:paraId="7C4FB372"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Operational</w:t>
            </w:r>
          </w:p>
        </w:tc>
        <w:tc>
          <w:tcPr>
            <w:tcW w:w="1728" w:type="dxa"/>
            <w:hideMark/>
          </w:tcPr>
          <w:p w14:paraId="18A4095D"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22-Nov-22</w:t>
            </w:r>
          </w:p>
        </w:tc>
        <w:tc>
          <w:tcPr>
            <w:tcW w:w="1367" w:type="dxa"/>
            <w:shd w:val="clear" w:color="auto" w:fill="FF0000"/>
            <w:hideMark/>
          </w:tcPr>
          <w:p w14:paraId="6807EC74"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No</w:t>
            </w:r>
          </w:p>
        </w:tc>
        <w:tc>
          <w:tcPr>
            <w:tcW w:w="1367" w:type="dxa"/>
            <w:shd w:val="clear" w:color="auto" w:fill="92D050"/>
            <w:hideMark/>
          </w:tcPr>
          <w:p w14:paraId="13071CC6"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Yes</w:t>
            </w:r>
          </w:p>
        </w:tc>
        <w:tc>
          <w:tcPr>
            <w:tcW w:w="1570" w:type="dxa"/>
            <w:shd w:val="clear" w:color="auto" w:fill="92D050"/>
            <w:hideMark/>
          </w:tcPr>
          <w:p w14:paraId="12E78A5C"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Yes</w:t>
            </w:r>
          </w:p>
        </w:tc>
      </w:tr>
      <w:tr w:rsidR="00CD2FAA" w:rsidRPr="00DB3BA7" w14:paraId="5FE05268" w14:textId="77777777">
        <w:trPr>
          <w:trHeight w:val="397"/>
        </w:trPr>
        <w:tc>
          <w:tcPr>
            <w:tcW w:w="851" w:type="dxa"/>
            <w:hideMark/>
          </w:tcPr>
          <w:p w14:paraId="224AFF10" w14:textId="77777777" w:rsidR="00CD2FAA" w:rsidRPr="00DB3BA7" w:rsidRDefault="00CD2FAA">
            <w:pPr>
              <w:spacing w:after="0"/>
              <w:rPr>
                <w:rFonts w:eastAsia="Times New Roman"/>
                <w:szCs w:val="20"/>
                <w:lang w:eastAsia="en-AU"/>
              </w:rPr>
            </w:pPr>
            <w:r w:rsidRPr="00DB3BA7">
              <w:rPr>
                <w:rFonts w:eastAsia="Times New Roman"/>
                <w:szCs w:val="20"/>
                <w:lang w:eastAsia="en-AU"/>
              </w:rPr>
              <w:t>NSW</w:t>
            </w:r>
          </w:p>
        </w:tc>
        <w:tc>
          <w:tcPr>
            <w:tcW w:w="4150" w:type="dxa"/>
            <w:noWrap/>
            <w:hideMark/>
          </w:tcPr>
          <w:p w14:paraId="3227D1CB" w14:textId="77777777" w:rsidR="00CD2FAA" w:rsidRPr="00DB3BA7" w:rsidRDefault="00CD2FAA">
            <w:pPr>
              <w:spacing w:after="0"/>
              <w:rPr>
                <w:rFonts w:eastAsia="Times New Roman"/>
                <w:color w:val="000000"/>
                <w:szCs w:val="20"/>
                <w:lang w:eastAsia="en-AU"/>
              </w:rPr>
            </w:pPr>
            <w:r w:rsidRPr="00DB3BA7">
              <w:rPr>
                <w:rFonts w:eastAsia="Times New Roman"/>
                <w:color w:val="000000"/>
                <w:szCs w:val="20"/>
                <w:lang w:eastAsia="en-AU"/>
              </w:rPr>
              <w:t>NSW Murray–Darling Basin Porous Rock</w:t>
            </w:r>
          </w:p>
        </w:tc>
        <w:tc>
          <w:tcPr>
            <w:tcW w:w="3292" w:type="dxa"/>
            <w:hideMark/>
          </w:tcPr>
          <w:p w14:paraId="3CA82F70" w14:textId="77777777" w:rsidR="00CD2FAA" w:rsidRPr="00DB3BA7" w:rsidRDefault="00CD2FAA">
            <w:pPr>
              <w:spacing w:after="0"/>
              <w:rPr>
                <w:rFonts w:eastAsia="Times New Roman"/>
                <w:szCs w:val="20"/>
                <w:lang w:eastAsia="en-AU"/>
              </w:rPr>
            </w:pPr>
            <w:r w:rsidRPr="00DB3BA7">
              <w:rPr>
                <w:rFonts w:eastAsia="Times New Roman"/>
                <w:szCs w:val="20"/>
                <w:lang w:eastAsia="en-AU"/>
              </w:rPr>
              <w:t>Groundwater</w:t>
            </w:r>
          </w:p>
        </w:tc>
        <w:tc>
          <w:tcPr>
            <w:tcW w:w="1431" w:type="dxa"/>
            <w:hideMark/>
          </w:tcPr>
          <w:p w14:paraId="1B30BB99"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Operational</w:t>
            </w:r>
          </w:p>
        </w:tc>
        <w:tc>
          <w:tcPr>
            <w:tcW w:w="1728" w:type="dxa"/>
            <w:hideMark/>
          </w:tcPr>
          <w:p w14:paraId="3799A33E"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24-Dec-22</w:t>
            </w:r>
          </w:p>
        </w:tc>
        <w:tc>
          <w:tcPr>
            <w:tcW w:w="1367" w:type="dxa"/>
            <w:shd w:val="clear" w:color="auto" w:fill="FF0000"/>
            <w:hideMark/>
          </w:tcPr>
          <w:p w14:paraId="1C184004"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No</w:t>
            </w:r>
          </w:p>
        </w:tc>
        <w:tc>
          <w:tcPr>
            <w:tcW w:w="1367" w:type="dxa"/>
            <w:shd w:val="clear" w:color="auto" w:fill="92D050"/>
            <w:hideMark/>
          </w:tcPr>
          <w:p w14:paraId="695C9FA9"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Yes</w:t>
            </w:r>
          </w:p>
        </w:tc>
        <w:tc>
          <w:tcPr>
            <w:tcW w:w="1570" w:type="dxa"/>
            <w:shd w:val="clear" w:color="auto" w:fill="92D050"/>
            <w:hideMark/>
          </w:tcPr>
          <w:p w14:paraId="2165F7CE"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Yes</w:t>
            </w:r>
          </w:p>
        </w:tc>
      </w:tr>
      <w:tr w:rsidR="00CD2FAA" w:rsidRPr="00DB3BA7" w14:paraId="3FA44EF5" w14:textId="77777777">
        <w:trPr>
          <w:trHeight w:val="397"/>
        </w:trPr>
        <w:tc>
          <w:tcPr>
            <w:tcW w:w="851" w:type="dxa"/>
            <w:hideMark/>
          </w:tcPr>
          <w:p w14:paraId="3BC63EF1" w14:textId="77777777" w:rsidR="00CD2FAA" w:rsidRPr="00DB3BA7" w:rsidRDefault="00CD2FAA">
            <w:pPr>
              <w:spacing w:after="0"/>
              <w:rPr>
                <w:rFonts w:eastAsia="Times New Roman"/>
                <w:szCs w:val="20"/>
                <w:lang w:eastAsia="en-AU"/>
              </w:rPr>
            </w:pPr>
            <w:r w:rsidRPr="00DB3BA7">
              <w:rPr>
                <w:rFonts w:eastAsia="Times New Roman"/>
                <w:szCs w:val="20"/>
                <w:lang w:eastAsia="en-AU"/>
              </w:rPr>
              <w:t>VIC</w:t>
            </w:r>
          </w:p>
        </w:tc>
        <w:tc>
          <w:tcPr>
            <w:tcW w:w="4150" w:type="dxa"/>
            <w:noWrap/>
            <w:hideMark/>
          </w:tcPr>
          <w:p w14:paraId="3F697140" w14:textId="77777777" w:rsidR="00CD2FAA" w:rsidRPr="00DB3BA7" w:rsidRDefault="00CD2FAA">
            <w:pPr>
              <w:spacing w:after="0"/>
              <w:rPr>
                <w:rFonts w:eastAsia="Times New Roman"/>
                <w:color w:val="000000"/>
                <w:szCs w:val="20"/>
                <w:lang w:eastAsia="en-AU"/>
              </w:rPr>
            </w:pPr>
            <w:r w:rsidRPr="00DB3BA7">
              <w:rPr>
                <w:rFonts w:eastAsia="Times New Roman"/>
                <w:color w:val="000000"/>
                <w:szCs w:val="20"/>
                <w:lang w:eastAsia="en-AU"/>
              </w:rPr>
              <w:t>Goulburn–Murray</w:t>
            </w:r>
          </w:p>
        </w:tc>
        <w:tc>
          <w:tcPr>
            <w:tcW w:w="3292" w:type="dxa"/>
            <w:hideMark/>
          </w:tcPr>
          <w:p w14:paraId="4B2A8BF3" w14:textId="77777777" w:rsidR="00CD2FAA" w:rsidRPr="00DB3BA7" w:rsidRDefault="00CD2FAA">
            <w:pPr>
              <w:spacing w:after="0"/>
              <w:rPr>
                <w:rFonts w:eastAsia="Times New Roman"/>
                <w:szCs w:val="20"/>
                <w:lang w:eastAsia="en-AU"/>
              </w:rPr>
            </w:pPr>
            <w:r w:rsidRPr="00DB3BA7">
              <w:rPr>
                <w:rFonts w:eastAsia="Times New Roman"/>
                <w:szCs w:val="20"/>
                <w:lang w:eastAsia="en-AU"/>
              </w:rPr>
              <w:t>Groundwater</w:t>
            </w:r>
          </w:p>
        </w:tc>
        <w:tc>
          <w:tcPr>
            <w:tcW w:w="1431" w:type="dxa"/>
            <w:hideMark/>
          </w:tcPr>
          <w:p w14:paraId="3A47D21A"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Operational</w:t>
            </w:r>
          </w:p>
        </w:tc>
        <w:tc>
          <w:tcPr>
            <w:tcW w:w="1728" w:type="dxa"/>
            <w:hideMark/>
          </w:tcPr>
          <w:p w14:paraId="70540DB4"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13-Jun-20</w:t>
            </w:r>
          </w:p>
        </w:tc>
        <w:tc>
          <w:tcPr>
            <w:tcW w:w="1367" w:type="dxa"/>
            <w:shd w:val="clear" w:color="auto" w:fill="92D050"/>
            <w:hideMark/>
          </w:tcPr>
          <w:p w14:paraId="639E9F8F"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Yes</w:t>
            </w:r>
          </w:p>
        </w:tc>
        <w:tc>
          <w:tcPr>
            <w:tcW w:w="1367" w:type="dxa"/>
            <w:shd w:val="clear" w:color="auto" w:fill="92D050"/>
            <w:hideMark/>
          </w:tcPr>
          <w:p w14:paraId="575C23D0"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Yes</w:t>
            </w:r>
          </w:p>
        </w:tc>
        <w:tc>
          <w:tcPr>
            <w:tcW w:w="1570" w:type="dxa"/>
            <w:shd w:val="clear" w:color="auto" w:fill="92D050"/>
            <w:hideMark/>
          </w:tcPr>
          <w:p w14:paraId="04D6CDDD"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Yes</w:t>
            </w:r>
          </w:p>
        </w:tc>
      </w:tr>
      <w:tr w:rsidR="00CD2FAA" w:rsidRPr="00DB3BA7" w14:paraId="59705883" w14:textId="77777777">
        <w:trPr>
          <w:trHeight w:val="397"/>
        </w:trPr>
        <w:tc>
          <w:tcPr>
            <w:tcW w:w="851" w:type="dxa"/>
            <w:hideMark/>
          </w:tcPr>
          <w:p w14:paraId="1D75E546" w14:textId="77777777" w:rsidR="00CD2FAA" w:rsidRPr="00DB3BA7" w:rsidRDefault="00CD2FAA">
            <w:pPr>
              <w:spacing w:after="0"/>
              <w:rPr>
                <w:rFonts w:eastAsia="Times New Roman"/>
                <w:szCs w:val="20"/>
                <w:lang w:eastAsia="en-AU"/>
              </w:rPr>
            </w:pPr>
            <w:r w:rsidRPr="00DB3BA7">
              <w:rPr>
                <w:rFonts w:eastAsia="Times New Roman"/>
                <w:szCs w:val="20"/>
                <w:lang w:eastAsia="en-AU"/>
              </w:rPr>
              <w:t>VIC</w:t>
            </w:r>
          </w:p>
        </w:tc>
        <w:tc>
          <w:tcPr>
            <w:tcW w:w="4150" w:type="dxa"/>
            <w:noWrap/>
            <w:hideMark/>
          </w:tcPr>
          <w:p w14:paraId="4EE960DB" w14:textId="77777777" w:rsidR="00CD2FAA" w:rsidRPr="00DB3BA7" w:rsidRDefault="00CD2FAA">
            <w:pPr>
              <w:spacing w:after="0"/>
              <w:rPr>
                <w:rFonts w:eastAsia="Times New Roman"/>
                <w:color w:val="000000"/>
                <w:szCs w:val="20"/>
                <w:lang w:eastAsia="en-AU"/>
              </w:rPr>
            </w:pPr>
            <w:r w:rsidRPr="00DB3BA7">
              <w:rPr>
                <w:rFonts w:eastAsia="Times New Roman"/>
                <w:color w:val="000000"/>
                <w:szCs w:val="20"/>
                <w:lang w:eastAsia="en-AU"/>
              </w:rPr>
              <w:t>Wimmera–Mallee (groundwater)</w:t>
            </w:r>
          </w:p>
        </w:tc>
        <w:tc>
          <w:tcPr>
            <w:tcW w:w="3292" w:type="dxa"/>
            <w:hideMark/>
          </w:tcPr>
          <w:p w14:paraId="6A3594C3" w14:textId="77777777" w:rsidR="00CD2FAA" w:rsidRPr="00DB3BA7" w:rsidRDefault="00CD2FAA">
            <w:pPr>
              <w:spacing w:after="0"/>
              <w:rPr>
                <w:rFonts w:eastAsia="Times New Roman"/>
                <w:szCs w:val="20"/>
                <w:lang w:eastAsia="en-AU"/>
              </w:rPr>
            </w:pPr>
            <w:r w:rsidRPr="00DB3BA7">
              <w:rPr>
                <w:rFonts w:eastAsia="Times New Roman"/>
                <w:szCs w:val="20"/>
                <w:lang w:eastAsia="en-AU"/>
              </w:rPr>
              <w:t>Groundwater</w:t>
            </w:r>
          </w:p>
        </w:tc>
        <w:tc>
          <w:tcPr>
            <w:tcW w:w="1431" w:type="dxa"/>
            <w:hideMark/>
          </w:tcPr>
          <w:p w14:paraId="2498E990"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Operational</w:t>
            </w:r>
          </w:p>
        </w:tc>
        <w:tc>
          <w:tcPr>
            <w:tcW w:w="1728" w:type="dxa"/>
            <w:hideMark/>
          </w:tcPr>
          <w:p w14:paraId="1945024C"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21-Sep-19</w:t>
            </w:r>
          </w:p>
        </w:tc>
        <w:tc>
          <w:tcPr>
            <w:tcW w:w="1367" w:type="dxa"/>
            <w:shd w:val="clear" w:color="auto" w:fill="92D050"/>
            <w:hideMark/>
          </w:tcPr>
          <w:p w14:paraId="0775CDF1"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Yes</w:t>
            </w:r>
          </w:p>
        </w:tc>
        <w:tc>
          <w:tcPr>
            <w:tcW w:w="1367" w:type="dxa"/>
            <w:shd w:val="clear" w:color="auto" w:fill="92D050"/>
            <w:hideMark/>
          </w:tcPr>
          <w:p w14:paraId="4D6A5018"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Yes</w:t>
            </w:r>
          </w:p>
        </w:tc>
        <w:tc>
          <w:tcPr>
            <w:tcW w:w="1570" w:type="dxa"/>
            <w:shd w:val="clear" w:color="auto" w:fill="92D050"/>
            <w:hideMark/>
          </w:tcPr>
          <w:p w14:paraId="028F95BE" w14:textId="77777777" w:rsidR="00CD2FAA" w:rsidRPr="00DB3BA7" w:rsidRDefault="00CD2FAA">
            <w:pPr>
              <w:spacing w:after="0"/>
              <w:jc w:val="center"/>
              <w:rPr>
                <w:rFonts w:eastAsia="Times New Roman"/>
                <w:szCs w:val="20"/>
                <w:lang w:eastAsia="en-AU"/>
              </w:rPr>
            </w:pPr>
            <w:r w:rsidRPr="00DB3BA7">
              <w:rPr>
                <w:rFonts w:eastAsia="Times New Roman"/>
                <w:szCs w:val="20"/>
                <w:lang w:eastAsia="en-AU"/>
              </w:rPr>
              <w:t>Yes</w:t>
            </w:r>
          </w:p>
        </w:tc>
      </w:tr>
    </w:tbl>
    <w:p w14:paraId="4600862A" w14:textId="77777777" w:rsidR="00CD2FAA" w:rsidRDefault="00CD2FAA" w:rsidP="00CD2FAA"/>
    <w:p w14:paraId="50FEBBE0" w14:textId="77777777" w:rsidR="00CD2FAA" w:rsidRDefault="00CD2FAA" w:rsidP="00CD2FAA"/>
    <w:p w14:paraId="577A4E00" w14:textId="77777777" w:rsidR="00CD2FAA" w:rsidRDefault="00CD2FAA" w:rsidP="00CD2FAA"/>
    <w:tbl>
      <w:tblPr>
        <w:tblStyle w:val="TableGridLight"/>
        <w:tblW w:w="15756" w:type="dxa"/>
        <w:tblLook w:val="04A0" w:firstRow="1" w:lastRow="0" w:firstColumn="1" w:lastColumn="0" w:noHBand="0" w:noVBand="1"/>
      </w:tblPr>
      <w:tblGrid>
        <w:gridCol w:w="851"/>
        <w:gridCol w:w="4150"/>
        <w:gridCol w:w="3292"/>
        <w:gridCol w:w="1431"/>
        <w:gridCol w:w="1728"/>
        <w:gridCol w:w="1367"/>
        <w:gridCol w:w="1367"/>
        <w:gridCol w:w="1570"/>
      </w:tblGrid>
      <w:tr w:rsidR="00CD2FAA" w:rsidRPr="00C45272" w14:paraId="7E19B7E8" w14:textId="77777777">
        <w:trPr>
          <w:cnfStyle w:val="100000000000" w:firstRow="1" w:lastRow="0" w:firstColumn="0" w:lastColumn="0" w:oddVBand="0" w:evenVBand="0" w:oddHBand="0" w:evenHBand="0" w:firstRowFirstColumn="0" w:firstRowLastColumn="0" w:lastRowFirstColumn="0" w:lastRowLastColumn="0"/>
          <w:trHeight w:val="397"/>
        </w:trPr>
        <w:tc>
          <w:tcPr>
            <w:tcW w:w="851" w:type="dxa"/>
          </w:tcPr>
          <w:p w14:paraId="0A0F36BC" w14:textId="77777777" w:rsidR="00CD2FAA" w:rsidRPr="00C45272" w:rsidRDefault="00CD2FAA">
            <w:pPr>
              <w:spacing w:after="0"/>
              <w:rPr>
                <w:rFonts w:eastAsia="Times New Roman"/>
                <w:szCs w:val="20"/>
                <w:lang w:eastAsia="en-AU"/>
              </w:rPr>
            </w:pPr>
            <w:r w:rsidRPr="00C45272">
              <w:rPr>
                <w:b/>
                <w:color w:val="E7E6E6" w:themeColor="background2"/>
                <w:szCs w:val="20"/>
              </w:rPr>
              <w:lastRenderedPageBreak/>
              <w:t>State</w:t>
            </w:r>
          </w:p>
        </w:tc>
        <w:tc>
          <w:tcPr>
            <w:tcW w:w="4150" w:type="dxa"/>
            <w:noWrap/>
          </w:tcPr>
          <w:p w14:paraId="04B390E2" w14:textId="77777777" w:rsidR="00CD2FAA" w:rsidRPr="00C45272" w:rsidRDefault="00CD2FAA">
            <w:pPr>
              <w:spacing w:after="0"/>
              <w:rPr>
                <w:rFonts w:eastAsia="Times New Roman"/>
                <w:color w:val="000000"/>
                <w:szCs w:val="20"/>
                <w:lang w:eastAsia="en-AU"/>
              </w:rPr>
            </w:pPr>
            <w:r w:rsidRPr="00C45272">
              <w:rPr>
                <w:b/>
                <w:color w:val="E7E6E6" w:themeColor="background2"/>
                <w:szCs w:val="20"/>
              </w:rPr>
              <w:t>WRP area</w:t>
            </w:r>
          </w:p>
        </w:tc>
        <w:tc>
          <w:tcPr>
            <w:tcW w:w="3292" w:type="dxa"/>
          </w:tcPr>
          <w:p w14:paraId="77C9E59F" w14:textId="77777777" w:rsidR="00CD2FAA" w:rsidRPr="00C45272" w:rsidRDefault="00CD2FAA">
            <w:pPr>
              <w:spacing w:after="0"/>
              <w:rPr>
                <w:rFonts w:eastAsia="Times New Roman"/>
                <w:szCs w:val="20"/>
                <w:lang w:eastAsia="en-AU"/>
              </w:rPr>
            </w:pPr>
            <w:r w:rsidRPr="00C45272">
              <w:rPr>
                <w:b/>
                <w:color w:val="E7E6E6" w:themeColor="background2"/>
                <w:szCs w:val="20"/>
              </w:rPr>
              <w:t>Resource Type</w:t>
            </w:r>
          </w:p>
        </w:tc>
        <w:tc>
          <w:tcPr>
            <w:tcW w:w="1431" w:type="dxa"/>
          </w:tcPr>
          <w:p w14:paraId="177AF575" w14:textId="77777777" w:rsidR="00CD2FAA" w:rsidRPr="00C45272" w:rsidRDefault="00CD2FAA">
            <w:pPr>
              <w:spacing w:after="0"/>
              <w:jc w:val="center"/>
              <w:rPr>
                <w:rFonts w:eastAsia="Times New Roman"/>
                <w:szCs w:val="20"/>
                <w:lang w:eastAsia="en-AU"/>
              </w:rPr>
            </w:pPr>
            <w:r w:rsidRPr="00C45272">
              <w:rPr>
                <w:b/>
                <w:color w:val="E7E6E6" w:themeColor="background2"/>
                <w:szCs w:val="20"/>
              </w:rPr>
              <w:t>Status</w:t>
            </w:r>
          </w:p>
        </w:tc>
        <w:tc>
          <w:tcPr>
            <w:tcW w:w="1728" w:type="dxa"/>
          </w:tcPr>
          <w:p w14:paraId="6327442C" w14:textId="77777777" w:rsidR="00CD2FAA" w:rsidRPr="00C45272" w:rsidRDefault="00CD2FAA">
            <w:pPr>
              <w:spacing w:after="0"/>
              <w:jc w:val="center"/>
              <w:rPr>
                <w:rFonts w:eastAsia="Times New Roman"/>
                <w:szCs w:val="20"/>
                <w:lang w:eastAsia="en-AU"/>
              </w:rPr>
            </w:pPr>
            <w:r w:rsidRPr="00C45272">
              <w:rPr>
                <w:b/>
                <w:color w:val="E7E6E6" w:themeColor="background2"/>
                <w:szCs w:val="20"/>
              </w:rPr>
              <w:t>Accreditation Date</w:t>
            </w:r>
          </w:p>
        </w:tc>
        <w:tc>
          <w:tcPr>
            <w:tcW w:w="1367" w:type="dxa"/>
          </w:tcPr>
          <w:p w14:paraId="10F5420E" w14:textId="77777777" w:rsidR="00CD2FAA" w:rsidRDefault="00CD2FAA">
            <w:pPr>
              <w:spacing w:after="0"/>
              <w:jc w:val="center"/>
              <w:rPr>
                <w:b/>
                <w:color w:val="E7E6E6" w:themeColor="background2"/>
                <w:szCs w:val="20"/>
              </w:rPr>
            </w:pPr>
            <w:r w:rsidRPr="00C45272">
              <w:rPr>
                <w:b/>
                <w:color w:val="E7E6E6" w:themeColor="background2"/>
                <w:szCs w:val="20"/>
              </w:rPr>
              <w:t>2022-23 assessed?</w:t>
            </w:r>
          </w:p>
          <w:p w14:paraId="746F2E70" w14:textId="4C5A2DFB" w:rsidR="00CD2FAA" w:rsidRPr="00C45272" w:rsidRDefault="00F719C1">
            <w:pPr>
              <w:spacing w:after="0"/>
              <w:jc w:val="center"/>
              <w:rPr>
                <w:rFonts w:eastAsia="Times New Roman"/>
                <w:szCs w:val="20"/>
                <w:lang w:eastAsia="en-AU"/>
              </w:rPr>
            </w:pPr>
            <w:r>
              <w:rPr>
                <w:b/>
                <w:color w:val="E7E6E6" w:themeColor="background2"/>
                <w:szCs w:val="20"/>
              </w:rPr>
              <w:t>(Last Year)</w:t>
            </w:r>
          </w:p>
        </w:tc>
        <w:tc>
          <w:tcPr>
            <w:tcW w:w="1367" w:type="dxa"/>
          </w:tcPr>
          <w:p w14:paraId="580CF925" w14:textId="77777777" w:rsidR="00CD2FAA" w:rsidRDefault="00CD2FAA">
            <w:pPr>
              <w:spacing w:after="0"/>
              <w:jc w:val="center"/>
              <w:rPr>
                <w:b/>
                <w:color w:val="E7E6E6" w:themeColor="background2"/>
                <w:szCs w:val="20"/>
              </w:rPr>
            </w:pPr>
            <w:r w:rsidRPr="00C45272">
              <w:rPr>
                <w:b/>
                <w:color w:val="E7E6E6" w:themeColor="background2"/>
                <w:szCs w:val="20"/>
              </w:rPr>
              <w:t>2023-24 assessed?</w:t>
            </w:r>
          </w:p>
          <w:p w14:paraId="68557273" w14:textId="40CD5F03" w:rsidR="00CD2FAA" w:rsidRPr="00C45272" w:rsidRDefault="00F719C1">
            <w:pPr>
              <w:spacing w:after="0"/>
              <w:jc w:val="center"/>
              <w:rPr>
                <w:rFonts w:eastAsia="Times New Roman"/>
                <w:szCs w:val="20"/>
                <w:lang w:eastAsia="en-AU"/>
              </w:rPr>
            </w:pPr>
            <w:r>
              <w:rPr>
                <w:b/>
                <w:color w:val="E7E6E6" w:themeColor="background2"/>
                <w:szCs w:val="20"/>
              </w:rPr>
              <w:t>(This Year)</w:t>
            </w:r>
          </w:p>
        </w:tc>
        <w:tc>
          <w:tcPr>
            <w:tcW w:w="1570" w:type="dxa"/>
          </w:tcPr>
          <w:p w14:paraId="5BB55FC5" w14:textId="77777777" w:rsidR="00CD2FAA" w:rsidRDefault="00CD2FAA">
            <w:pPr>
              <w:spacing w:after="0"/>
              <w:jc w:val="center"/>
              <w:rPr>
                <w:b/>
                <w:color w:val="E7E6E6" w:themeColor="background2"/>
                <w:szCs w:val="20"/>
              </w:rPr>
            </w:pPr>
            <w:r w:rsidRPr="00C45272">
              <w:rPr>
                <w:b/>
                <w:color w:val="E7E6E6" w:themeColor="background2"/>
                <w:szCs w:val="20"/>
              </w:rPr>
              <w:t>2024-25 assessable?</w:t>
            </w:r>
          </w:p>
          <w:p w14:paraId="3114980B" w14:textId="3B6183AE" w:rsidR="00CD2FAA" w:rsidRPr="00C45272" w:rsidRDefault="00F719C1">
            <w:pPr>
              <w:spacing w:after="0"/>
              <w:jc w:val="center"/>
              <w:rPr>
                <w:rFonts w:eastAsia="Times New Roman"/>
                <w:szCs w:val="20"/>
                <w:lang w:eastAsia="en-AU"/>
              </w:rPr>
            </w:pPr>
            <w:r>
              <w:rPr>
                <w:b/>
                <w:color w:val="E7E6E6" w:themeColor="background2"/>
                <w:szCs w:val="20"/>
              </w:rPr>
              <w:t>(Next Year)</w:t>
            </w:r>
          </w:p>
        </w:tc>
      </w:tr>
      <w:tr w:rsidR="00CD2FAA" w:rsidRPr="00C45272" w14:paraId="681558CE" w14:textId="77777777">
        <w:trPr>
          <w:trHeight w:val="397"/>
        </w:trPr>
        <w:tc>
          <w:tcPr>
            <w:tcW w:w="851" w:type="dxa"/>
            <w:hideMark/>
          </w:tcPr>
          <w:p w14:paraId="3BB13E49" w14:textId="77777777" w:rsidR="00CD2FAA" w:rsidRPr="00C45272" w:rsidRDefault="00CD2FAA">
            <w:pPr>
              <w:spacing w:after="0"/>
              <w:rPr>
                <w:rFonts w:eastAsia="Times New Roman"/>
                <w:szCs w:val="20"/>
                <w:lang w:eastAsia="en-AU"/>
              </w:rPr>
            </w:pPr>
            <w:r w:rsidRPr="00C45272">
              <w:rPr>
                <w:rFonts w:eastAsia="Times New Roman"/>
                <w:szCs w:val="20"/>
                <w:lang w:eastAsia="en-AU"/>
              </w:rPr>
              <w:t>QLD</w:t>
            </w:r>
          </w:p>
        </w:tc>
        <w:tc>
          <w:tcPr>
            <w:tcW w:w="4150" w:type="dxa"/>
            <w:noWrap/>
            <w:hideMark/>
          </w:tcPr>
          <w:p w14:paraId="19AF4BDE" w14:textId="77777777" w:rsidR="00CD2FAA" w:rsidRPr="00C45272" w:rsidRDefault="00CD2FAA">
            <w:pPr>
              <w:spacing w:after="0"/>
              <w:rPr>
                <w:rFonts w:eastAsia="Times New Roman"/>
                <w:color w:val="000000"/>
                <w:szCs w:val="20"/>
                <w:lang w:eastAsia="en-AU"/>
              </w:rPr>
            </w:pPr>
            <w:r w:rsidRPr="00C45272">
              <w:rPr>
                <w:rFonts w:eastAsia="Times New Roman"/>
                <w:color w:val="000000"/>
                <w:szCs w:val="20"/>
                <w:lang w:eastAsia="en-AU"/>
              </w:rPr>
              <w:t>Border Rivers Moonie</w:t>
            </w:r>
          </w:p>
        </w:tc>
        <w:tc>
          <w:tcPr>
            <w:tcW w:w="3292" w:type="dxa"/>
            <w:hideMark/>
          </w:tcPr>
          <w:p w14:paraId="74FE32DA" w14:textId="77777777" w:rsidR="00CD2FAA" w:rsidRPr="00C45272" w:rsidRDefault="00CD2FAA">
            <w:pPr>
              <w:spacing w:after="0"/>
              <w:rPr>
                <w:rFonts w:eastAsia="Times New Roman"/>
                <w:szCs w:val="20"/>
                <w:lang w:eastAsia="en-AU"/>
              </w:rPr>
            </w:pPr>
            <w:r w:rsidRPr="00C45272">
              <w:rPr>
                <w:rFonts w:eastAsia="Times New Roman"/>
                <w:szCs w:val="20"/>
                <w:lang w:eastAsia="en-AU"/>
              </w:rPr>
              <w:t>Groundwater &amp; surface water</w:t>
            </w:r>
          </w:p>
        </w:tc>
        <w:tc>
          <w:tcPr>
            <w:tcW w:w="1431" w:type="dxa"/>
            <w:hideMark/>
          </w:tcPr>
          <w:p w14:paraId="56F1BFAB"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Operational</w:t>
            </w:r>
          </w:p>
        </w:tc>
        <w:tc>
          <w:tcPr>
            <w:tcW w:w="1728" w:type="dxa"/>
            <w:hideMark/>
          </w:tcPr>
          <w:p w14:paraId="1352E14F"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24-Sep-19</w:t>
            </w:r>
          </w:p>
        </w:tc>
        <w:tc>
          <w:tcPr>
            <w:tcW w:w="1367" w:type="dxa"/>
            <w:shd w:val="clear" w:color="auto" w:fill="92D050"/>
            <w:hideMark/>
          </w:tcPr>
          <w:p w14:paraId="6D9A5389"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c>
          <w:tcPr>
            <w:tcW w:w="1367" w:type="dxa"/>
            <w:shd w:val="clear" w:color="auto" w:fill="92D050"/>
            <w:hideMark/>
          </w:tcPr>
          <w:p w14:paraId="5483A5AE"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c>
          <w:tcPr>
            <w:tcW w:w="1570" w:type="dxa"/>
            <w:shd w:val="clear" w:color="auto" w:fill="92D050"/>
            <w:hideMark/>
          </w:tcPr>
          <w:p w14:paraId="5977E83D"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r>
      <w:tr w:rsidR="00CD2FAA" w:rsidRPr="00C45272" w14:paraId="59D4ACBE" w14:textId="77777777">
        <w:trPr>
          <w:trHeight w:val="397"/>
        </w:trPr>
        <w:tc>
          <w:tcPr>
            <w:tcW w:w="851" w:type="dxa"/>
            <w:hideMark/>
          </w:tcPr>
          <w:p w14:paraId="15FCBF37" w14:textId="77777777" w:rsidR="00CD2FAA" w:rsidRPr="00C45272" w:rsidRDefault="00CD2FAA">
            <w:pPr>
              <w:spacing w:after="0"/>
              <w:rPr>
                <w:rFonts w:eastAsia="Times New Roman"/>
                <w:szCs w:val="20"/>
                <w:lang w:eastAsia="en-AU"/>
              </w:rPr>
            </w:pPr>
            <w:r w:rsidRPr="00C45272">
              <w:rPr>
                <w:rFonts w:eastAsia="Times New Roman"/>
                <w:szCs w:val="20"/>
                <w:lang w:eastAsia="en-AU"/>
              </w:rPr>
              <w:t>QLD</w:t>
            </w:r>
          </w:p>
        </w:tc>
        <w:tc>
          <w:tcPr>
            <w:tcW w:w="4150" w:type="dxa"/>
            <w:noWrap/>
            <w:hideMark/>
          </w:tcPr>
          <w:p w14:paraId="1C40556F" w14:textId="77777777" w:rsidR="00CD2FAA" w:rsidRPr="00C45272" w:rsidRDefault="00CD2FAA">
            <w:pPr>
              <w:spacing w:after="0"/>
              <w:rPr>
                <w:rFonts w:eastAsia="Times New Roman"/>
                <w:color w:val="000000"/>
                <w:szCs w:val="20"/>
                <w:lang w:eastAsia="en-AU"/>
              </w:rPr>
            </w:pPr>
            <w:r w:rsidRPr="00C45272">
              <w:rPr>
                <w:rFonts w:eastAsia="Times New Roman"/>
                <w:color w:val="000000"/>
                <w:szCs w:val="20"/>
                <w:lang w:eastAsia="en-AU"/>
              </w:rPr>
              <w:t>Condamine–Balonne</w:t>
            </w:r>
          </w:p>
        </w:tc>
        <w:tc>
          <w:tcPr>
            <w:tcW w:w="3292" w:type="dxa"/>
            <w:hideMark/>
          </w:tcPr>
          <w:p w14:paraId="6B1A3C7E" w14:textId="77777777" w:rsidR="00CD2FAA" w:rsidRPr="00C45272" w:rsidRDefault="00CD2FAA">
            <w:pPr>
              <w:spacing w:after="0"/>
              <w:rPr>
                <w:rFonts w:eastAsia="Times New Roman"/>
                <w:szCs w:val="20"/>
                <w:lang w:eastAsia="en-AU"/>
              </w:rPr>
            </w:pPr>
            <w:r w:rsidRPr="00C45272">
              <w:rPr>
                <w:rFonts w:eastAsia="Times New Roman"/>
                <w:szCs w:val="20"/>
                <w:lang w:eastAsia="en-AU"/>
              </w:rPr>
              <w:t>Groundwater &amp; surface water</w:t>
            </w:r>
          </w:p>
        </w:tc>
        <w:tc>
          <w:tcPr>
            <w:tcW w:w="1431" w:type="dxa"/>
            <w:hideMark/>
          </w:tcPr>
          <w:p w14:paraId="688F9E50"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Operational</w:t>
            </w:r>
          </w:p>
        </w:tc>
        <w:tc>
          <w:tcPr>
            <w:tcW w:w="1728" w:type="dxa"/>
            <w:hideMark/>
          </w:tcPr>
          <w:p w14:paraId="68B95CAB"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21-Sep-19</w:t>
            </w:r>
          </w:p>
        </w:tc>
        <w:tc>
          <w:tcPr>
            <w:tcW w:w="1367" w:type="dxa"/>
            <w:shd w:val="clear" w:color="auto" w:fill="92D050"/>
            <w:hideMark/>
          </w:tcPr>
          <w:p w14:paraId="2A2504C2"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c>
          <w:tcPr>
            <w:tcW w:w="1367" w:type="dxa"/>
            <w:shd w:val="clear" w:color="auto" w:fill="92D050"/>
            <w:hideMark/>
          </w:tcPr>
          <w:p w14:paraId="69344AE2"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c>
          <w:tcPr>
            <w:tcW w:w="1570" w:type="dxa"/>
            <w:shd w:val="clear" w:color="auto" w:fill="92D050"/>
            <w:hideMark/>
          </w:tcPr>
          <w:p w14:paraId="1629BA16"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r>
      <w:tr w:rsidR="00CD2FAA" w:rsidRPr="00C45272" w14:paraId="3E3DC336" w14:textId="77777777">
        <w:trPr>
          <w:trHeight w:val="397"/>
        </w:trPr>
        <w:tc>
          <w:tcPr>
            <w:tcW w:w="851" w:type="dxa"/>
            <w:hideMark/>
          </w:tcPr>
          <w:p w14:paraId="4EF3CB31" w14:textId="77777777" w:rsidR="00CD2FAA" w:rsidRPr="00C45272" w:rsidRDefault="00CD2FAA">
            <w:pPr>
              <w:spacing w:after="0"/>
              <w:rPr>
                <w:rFonts w:eastAsia="Times New Roman"/>
                <w:szCs w:val="20"/>
                <w:lang w:eastAsia="en-AU"/>
              </w:rPr>
            </w:pPr>
            <w:r w:rsidRPr="00C45272">
              <w:rPr>
                <w:rFonts w:eastAsia="Times New Roman"/>
                <w:szCs w:val="20"/>
                <w:lang w:eastAsia="en-AU"/>
              </w:rPr>
              <w:t>QLD</w:t>
            </w:r>
          </w:p>
        </w:tc>
        <w:tc>
          <w:tcPr>
            <w:tcW w:w="4150" w:type="dxa"/>
            <w:noWrap/>
            <w:hideMark/>
          </w:tcPr>
          <w:p w14:paraId="79C6EC4A" w14:textId="77777777" w:rsidR="00CD2FAA" w:rsidRPr="00C45272" w:rsidRDefault="00CD2FAA">
            <w:pPr>
              <w:spacing w:after="0"/>
              <w:rPr>
                <w:rFonts w:eastAsia="Times New Roman"/>
                <w:color w:val="000000"/>
                <w:szCs w:val="20"/>
                <w:lang w:eastAsia="en-AU"/>
              </w:rPr>
            </w:pPr>
            <w:r w:rsidRPr="00C45272">
              <w:rPr>
                <w:rFonts w:eastAsia="Times New Roman"/>
                <w:color w:val="000000"/>
                <w:szCs w:val="20"/>
                <w:lang w:eastAsia="en-AU"/>
              </w:rPr>
              <w:t>Warrego–Paroo–Nebine</w:t>
            </w:r>
          </w:p>
        </w:tc>
        <w:tc>
          <w:tcPr>
            <w:tcW w:w="3292" w:type="dxa"/>
            <w:hideMark/>
          </w:tcPr>
          <w:p w14:paraId="5F63DCC0" w14:textId="77777777" w:rsidR="00CD2FAA" w:rsidRPr="00C45272" w:rsidRDefault="00CD2FAA">
            <w:pPr>
              <w:spacing w:after="0"/>
              <w:rPr>
                <w:rFonts w:eastAsia="Times New Roman"/>
                <w:szCs w:val="20"/>
                <w:lang w:eastAsia="en-AU"/>
              </w:rPr>
            </w:pPr>
            <w:r w:rsidRPr="00C45272">
              <w:rPr>
                <w:rFonts w:eastAsia="Times New Roman"/>
                <w:szCs w:val="20"/>
                <w:lang w:eastAsia="en-AU"/>
              </w:rPr>
              <w:t>Groundwater &amp; surface water</w:t>
            </w:r>
          </w:p>
        </w:tc>
        <w:tc>
          <w:tcPr>
            <w:tcW w:w="1431" w:type="dxa"/>
            <w:hideMark/>
          </w:tcPr>
          <w:p w14:paraId="151893FC"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Operational</w:t>
            </w:r>
          </w:p>
        </w:tc>
        <w:tc>
          <w:tcPr>
            <w:tcW w:w="1728" w:type="dxa"/>
            <w:hideMark/>
          </w:tcPr>
          <w:p w14:paraId="6AF1E30A"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28-Jun-17</w:t>
            </w:r>
          </w:p>
        </w:tc>
        <w:tc>
          <w:tcPr>
            <w:tcW w:w="1367" w:type="dxa"/>
            <w:shd w:val="clear" w:color="auto" w:fill="92D050"/>
            <w:hideMark/>
          </w:tcPr>
          <w:p w14:paraId="5C9FF52F"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c>
          <w:tcPr>
            <w:tcW w:w="1367" w:type="dxa"/>
            <w:shd w:val="clear" w:color="auto" w:fill="92D050"/>
            <w:hideMark/>
          </w:tcPr>
          <w:p w14:paraId="7F8E0455"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c>
          <w:tcPr>
            <w:tcW w:w="1570" w:type="dxa"/>
            <w:shd w:val="clear" w:color="auto" w:fill="92D050"/>
            <w:hideMark/>
          </w:tcPr>
          <w:p w14:paraId="06491F2D"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r>
      <w:tr w:rsidR="00CD2FAA" w:rsidRPr="00C45272" w14:paraId="3FB3EAA6" w14:textId="77777777">
        <w:trPr>
          <w:trHeight w:val="397"/>
        </w:trPr>
        <w:tc>
          <w:tcPr>
            <w:tcW w:w="851" w:type="dxa"/>
            <w:hideMark/>
          </w:tcPr>
          <w:p w14:paraId="6276BB7E" w14:textId="77777777" w:rsidR="00CD2FAA" w:rsidRPr="00C45272" w:rsidRDefault="00CD2FAA">
            <w:pPr>
              <w:spacing w:after="0"/>
              <w:rPr>
                <w:rFonts w:eastAsia="Times New Roman"/>
                <w:szCs w:val="20"/>
                <w:lang w:eastAsia="en-AU"/>
              </w:rPr>
            </w:pPr>
            <w:r w:rsidRPr="00C45272">
              <w:rPr>
                <w:rFonts w:eastAsia="Times New Roman"/>
                <w:szCs w:val="20"/>
                <w:lang w:eastAsia="en-AU"/>
              </w:rPr>
              <w:t>SA</w:t>
            </w:r>
          </w:p>
        </w:tc>
        <w:tc>
          <w:tcPr>
            <w:tcW w:w="4150" w:type="dxa"/>
            <w:noWrap/>
            <w:hideMark/>
          </w:tcPr>
          <w:p w14:paraId="0003B88E" w14:textId="77777777" w:rsidR="00CD2FAA" w:rsidRPr="00C45272" w:rsidRDefault="00CD2FAA">
            <w:pPr>
              <w:spacing w:after="0"/>
              <w:rPr>
                <w:rFonts w:eastAsia="Times New Roman"/>
                <w:color w:val="000000"/>
                <w:szCs w:val="20"/>
                <w:lang w:eastAsia="en-AU"/>
              </w:rPr>
            </w:pPr>
            <w:r w:rsidRPr="00C45272">
              <w:rPr>
                <w:rFonts w:eastAsia="Times New Roman"/>
                <w:color w:val="000000"/>
                <w:szCs w:val="20"/>
                <w:lang w:eastAsia="en-AU"/>
              </w:rPr>
              <w:t>Eastern Mount Lofty Ranges</w:t>
            </w:r>
          </w:p>
        </w:tc>
        <w:tc>
          <w:tcPr>
            <w:tcW w:w="3292" w:type="dxa"/>
            <w:hideMark/>
          </w:tcPr>
          <w:p w14:paraId="29CBC2A7" w14:textId="77777777" w:rsidR="00CD2FAA" w:rsidRPr="00C45272" w:rsidRDefault="00CD2FAA">
            <w:pPr>
              <w:spacing w:after="0"/>
              <w:rPr>
                <w:rFonts w:eastAsia="Times New Roman"/>
                <w:szCs w:val="20"/>
                <w:lang w:eastAsia="en-AU"/>
              </w:rPr>
            </w:pPr>
            <w:r w:rsidRPr="00C45272">
              <w:rPr>
                <w:rFonts w:eastAsia="Times New Roman"/>
                <w:szCs w:val="20"/>
                <w:lang w:eastAsia="en-AU"/>
              </w:rPr>
              <w:t>Groundwater &amp; surface water</w:t>
            </w:r>
          </w:p>
        </w:tc>
        <w:tc>
          <w:tcPr>
            <w:tcW w:w="1431" w:type="dxa"/>
            <w:hideMark/>
          </w:tcPr>
          <w:p w14:paraId="08F75AD0"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Operational</w:t>
            </w:r>
          </w:p>
        </w:tc>
        <w:tc>
          <w:tcPr>
            <w:tcW w:w="1728" w:type="dxa"/>
            <w:hideMark/>
          </w:tcPr>
          <w:p w14:paraId="14638C35"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16-Nov-19</w:t>
            </w:r>
          </w:p>
        </w:tc>
        <w:tc>
          <w:tcPr>
            <w:tcW w:w="1367" w:type="dxa"/>
            <w:shd w:val="clear" w:color="auto" w:fill="92D050"/>
            <w:hideMark/>
          </w:tcPr>
          <w:p w14:paraId="4A0696A5"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c>
          <w:tcPr>
            <w:tcW w:w="1367" w:type="dxa"/>
            <w:shd w:val="clear" w:color="auto" w:fill="92D050"/>
            <w:hideMark/>
          </w:tcPr>
          <w:p w14:paraId="79CE21C6"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c>
          <w:tcPr>
            <w:tcW w:w="1570" w:type="dxa"/>
            <w:shd w:val="clear" w:color="auto" w:fill="92D050"/>
            <w:hideMark/>
          </w:tcPr>
          <w:p w14:paraId="73F2ABC0"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r>
      <w:tr w:rsidR="00CD2FAA" w:rsidRPr="00C45272" w14:paraId="7D27FD70" w14:textId="77777777">
        <w:trPr>
          <w:trHeight w:val="397"/>
        </w:trPr>
        <w:tc>
          <w:tcPr>
            <w:tcW w:w="851" w:type="dxa"/>
            <w:hideMark/>
          </w:tcPr>
          <w:p w14:paraId="743DAC8E" w14:textId="77777777" w:rsidR="00CD2FAA" w:rsidRPr="00C45272" w:rsidRDefault="00CD2FAA">
            <w:pPr>
              <w:spacing w:after="0"/>
              <w:rPr>
                <w:rFonts w:eastAsia="Times New Roman"/>
                <w:szCs w:val="20"/>
                <w:lang w:eastAsia="en-AU"/>
              </w:rPr>
            </w:pPr>
            <w:r w:rsidRPr="00C45272">
              <w:rPr>
                <w:rFonts w:eastAsia="Times New Roman"/>
                <w:szCs w:val="20"/>
                <w:lang w:eastAsia="en-AU"/>
              </w:rPr>
              <w:t>SA</w:t>
            </w:r>
          </w:p>
        </w:tc>
        <w:tc>
          <w:tcPr>
            <w:tcW w:w="4150" w:type="dxa"/>
            <w:noWrap/>
            <w:hideMark/>
          </w:tcPr>
          <w:p w14:paraId="7D11C402" w14:textId="77777777" w:rsidR="00CD2FAA" w:rsidRPr="00C45272" w:rsidRDefault="00CD2FAA">
            <w:pPr>
              <w:spacing w:after="0"/>
              <w:rPr>
                <w:rFonts w:eastAsia="Times New Roman"/>
                <w:color w:val="000000"/>
                <w:szCs w:val="20"/>
                <w:lang w:eastAsia="en-AU"/>
              </w:rPr>
            </w:pPr>
            <w:r w:rsidRPr="00C45272">
              <w:rPr>
                <w:rFonts w:eastAsia="Times New Roman"/>
                <w:color w:val="000000"/>
                <w:szCs w:val="20"/>
                <w:lang w:eastAsia="en-AU"/>
              </w:rPr>
              <w:t>Murray Region</w:t>
            </w:r>
          </w:p>
        </w:tc>
        <w:tc>
          <w:tcPr>
            <w:tcW w:w="3292" w:type="dxa"/>
            <w:hideMark/>
          </w:tcPr>
          <w:p w14:paraId="2D998DD1" w14:textId="77777777" w:rsidR="00CD2FAA" w:rsidRPr="00C45272" w:rsidRDefault="00CD2FAA">
            <w:pPr>
              <w:spacing w:after="0"/>
              <w:rPr>
                <w:rFonts w:eastAsia="Times New Roman"/>
                <w:szCs w:val="20"/>
                <w:lang w:eastAsia="en-AU"/>
              </w:rPr>
            </w:pPr>
            <w:r w:rsidRPr="00C45272">
              <w:rPr>
                <w:rFonts w:eastAsia="Times New Roman"/>
                <w:szCs w:val="20"/>
                <w:lang w:eastAsia="en-AU"/>
              </w:rPr>
              <w:t>Groundwater &amp; surface water</w:t>
            </w:r>
          </w:p>
        </w:tc>
        <w:tc>
          <w:tcPr>
            <w:tcW w:w="1431" w:type="dxa"/>
            <w:hideMark/>
          </w:tcPr>
          <w:p w14:paraId="76E265F6"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Operational</w:t>
            </w:r>
          </w:p>
        </w:tc>
        <w:tc>
          <w:tcPr>
            <w:tcW w:w="1728" w:type="dxa"/>
            <w:hideMark/>
          </w:tcPr>
          <w:p w14:paraId="666E82CE"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22-Aug-19</w:t>
            </w:r>
          </w:p>
        </w:tc>
        <w:tc>
          <w:tcPr>
            <w:tcW w:w="1367" w:type="dxa"/>
            <w:shd w:val="clear" w:color="auto" w:fill="92D050"/>
            <w:hideMark/>
          </w:tcPr>
          <w:p w14:paraId="389CFD2A"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c>
          <w:tcPr>
            <w:tcW w:w="1367" w:type="dxa"/>
            <w:shd w:val="clear" w:color="auto" w:fill="92D050"/>
            <w:hideMark/>
          </w:tcPr>
          <w:p w14:paraId="79A91669"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c>
          <w:tcPr>
            <w:tcW w:w="1570" w:type="dxa"/>
            <w:shd w:val="clear" w:color="auto" w:fill="92D050"/>
            <w:hideMark/>
          </w:tcPr>
          <w:p w14:paraId="66CDB866"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r>
      <w:tr w:rsidR="00CD2FAA" w:rsidRPr="00C45272" w14:paraId="5D0D4D5B" w14:textId="77777777">
        <w:trPr>
          <w:trHeight w:val="397"/>
        </w:trPr>
        <w:tc>
          <w:tcPr>
            <w:tcW w:w="851" w:type="dxa"/>
            <w:hideMark/>
          </w:tcPr>
          <w:p w14:paraId="0232B078" w14:textId="77777777" w:rsidR="00CD2FAA" w:rsidRPr="00C45272" w:rsidRDefault="00CD2FAA">
            <w:pPr>
              <w:spacing w:after="0"/>
              <w:rPr>
                <w:rFonts w:eastAsia="Times New Roman"/>
                <w:szCs w:val="20"/>
                <w:lang w:eastAsia="en-AU"/>
              </w:rPr>
            </w:pPr>
            <w:r w:rsidRPr="00C45272">
              <w:rPr>
                <w:rFonts w:eastAsia="Times New Roman"/>
                <w:szCs w:val="20"/>
                <w:lang w:eastAsia="en-AU"/>
              </w:rPr>
              <w:t>ACT</w:t>
            </w:r>
          </w:p>
        </w:tc>
        <w:tc>
          <w:tcPr>
            <w:tcW w:w="4150" w:type="dxa"/>
            <w:noWrap/>
            <w:hideMark/>
          </w:tcPr>
          <w:p w14:paraId="6DA8ABF4" w14:textId="77777777" w:rsidR="00CD2FAA" w:rsidRPr="00C45272" w:rsidRDefault="00CD2FAA">
            <w:pPr>
              <w:spacing w:after="0"/>
              <w:rPr>
                <w:rFonts w:eastAsia="Times New Roman"/>
                <w:color w:val="000000"/>
                <w:szCs w:val="20"/>
                <w:lang w:eastAsia="en-AU"/>
              </w:rPr>
            </w:pPr>
            <w:r w:rsidRPr="00C45272">
              <w:rPr>
                <w:rFonts w:eastAsia="Times New Roman"/>
                <w:color w:val="000000"/>
                <w:szCs w:val="20"/>
                <w:lang w:eastAsia="en-AU"/>
              </w:rPr>
              <w:t>Australian Capital Territory (surface water)</w:t>
            </w:r>
          </w:p>
        </w:tc>
        <w:tc>
          <w:tcPr>
            <w:tcW w:w="3292" w:type="dxa"/>
            <w:hideMark/>
          </w:tcPr>
          <w:p w14:paraId="7AD9B0F7" w14:textId="77777777" w:rsidR="00CD2FAA" w:rsidRPr="00C45272" w:rsidRDefault="00CD2FAA">
            <w:pPr>
              <w:spacing w:after="0"/>
              <w:rPr>
                <w:rFonts w:eastAsia="Times New Roman"/>
                <w:szCs w:val="20"/>
                <w:lang w:eastAsia="en-AU"/>
              </w:rPr>
            </w:pPr>
            <w:r w:rsidRPr="00C45272">
              <w:rPr>
                <w:rFonts w:eastAsia="Times New Roman"/>
                <w:szCs w:val="20"/>
                <w:lang w:eastAsia="en-AU"/>
              </w:rPr>
              <w:t>Surface water</w:t>
            </w:r>
          </w:p>
        </w:tc>
        <w:tc>
          <w:tcPr>
            <w:tcW w:w="1431" w:type="dxa"/>
            <w:hideMark/>
          </w:tcPr>
          <w:p w14:paraId="0C66F848"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Operational</w:t>
            </w:r>
          </w:p>
        </w:tc>
        <w:tc>
          <w:tcPr>
            <w:tcW w:w="1728" w:type="dxa"/>
            <w:hideMark/>
          </w:tcPr>
          <w:p w14:paraId="654FA211"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30-Jun-20</w:t>
            </w:r>
          </w:p>
        </w:tc>
        <w:tc>
          <w:tcPr>
            <w:tcW w:w="1367" w:type="dxa"/>
            <w:shd w:val="clear" w:color="auto" w:fill="92D050"/>
            <w:hideMark/>
          </w:tcPr>
          <w:p w14:paraId="3B09640E"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c>
          <w:tcPr>
            <w:tcW w:w="1367" w:type="dxa"/>
            <w:shd w:val="clear" w:color="auto" w:fill="92D050"/>
            <w:hideMark/>
          </w:tcPr>
          <w:p w14:paraId="72504CEB"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c>
          <w:tcPr>
            <w:tcW w:w="1570" w:type="dxa"/>
            <w:shd w:val="clear" w:color="auto" w:fill="92D050"/>
            <w:hideMark/>
          </w:tcPr>
          <w:p w14:paraId="0DA3B96D"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r>
      <w:tr w:rsidR="00CD2FAA" w:rsidRPr="00C45272" w14:paraId="6FF226C5" w14:textId="77777777">
        <w:trPr>
          <w:trHeight w:val="397"/>
        </w:trPr>
        <w:tc>
          <w:tcPr>
            <w:tcW w:w="851" w:type="dxa"/>
            <w:hideMark/>
          </w:tcPr>
          <w:p w14:paraId="625D9631" w14:textId="77777777" w:rsidR="00CD2FAA" w:rsidRPr="00C45272" w:rsidRDefault="00CD2FAA">
            <w:pPr>
              <w:spacing w:after="0"/>
              <w:rPr>
                <w:rFonts w:eastAsia="Times New Roman"/>
                <w:szCs w:val="20"/>
                <w:lang w:eastAsia="en-AU"/>
              </w:rPr>
            </w:pPr>
            <w:r w:rsidRPr="00C45272">
              <w:rPr>
                <w:rFonts w:eastAsia="Times New Roman"/>
                <w:szCs w:val="20"/>
                <w:lang w:eastAsia="en-AU"/>
              </w:rPr>
              <w:t>NSW</w:t>
            </w:r>
          </w:p>
        </w:tc>
        <w:tc>
          <w:tcPr>
            <w:tcW w:w="4150" w:type="dxa"/>
            <w:noWrap/>
            <w:hideMark/>
          </w:tcPr>
          <w:p w14:paraId="3B57B27D" w14:textId="77777777" w:rsidR="00CD2FAA" w:rsidRPr="00C45272" w:rsidRDefault="00CD2FAA">
            <w:pPr>
              <w:spacing w:after="0"/>
              <w:rPr>
                <w:rFonts w:eastAsia="Times New Roman"/>
                <w:color w:val="000000"/>
                <w:szCs w:val="20"/>
                <w:lang w:eastAsia="en-AU"/>
              </w:rPr>
            </w:pPr>
            <w:r w:rsidRPr="00C45272">
              <w:rPr>
                <w:rFonts w:eastAsia="Times New Roman"/>
                <w:color w:val="000000"/>
                <w:szCs w:val="20"/>
                <w:lang w:eastAsia="en-AU"/>
              </w:rPr>
              <w:t>Barwon–Darling Watercourse</w:t>
            </w:r>
          </w:p>
        </w:tc>
        <w:tc>
          <w:tcPr>
            <w:tcW w:w="3292" w:type="dxa"/>
            <w:hideMark/>
          </w:tcPr>
          <w:p w14:paraId="2E673356" w14:textId="77777777" w:rsidR="00CD2FAA" w:rsidRPr="00C45272" w:rsidRDefault="00CD2FAA">
            <w:pPr>
              <w:spacing w:after="0"/>
              <w:rPr>
                <w:rFonts w:eastAsia="Times New Roman"/>
                <w:szCs w:val="20"/>
                <w:lang w:eastAsia="en-AU"/>
              </w:rPr>
            </w:pPr>
            <w:r w:rsidRPr="00C45272">
              <w:rPr>
                <w:rFonts w:eastAsia="Times New Roman"/>
                <w:szCs w:val="20"/>
                <w:lang w:eastAsia="en-AU"/>
              </w:rPr>
              <w:t>Surface water</w:t>
            </w:r>
          </w:p>
        </w:tc>
        <w:tc>
          <w:tcPr>
            <w:tcW w:w="1431" w:type="dxa"/>
            <w:hideMark/>
          </w:tcPr>
          <w:p w14:paraId="4829407C"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Operational</w:t>
            </w:r>
          </w:p>
        </w:tc>
        <w:tc>
          <w:tcPr>
            <w:tcW w:w="1728" w:type="dxa"/>
            <w:hideMark/>
          </w:tcPr>
          <w:p w14:paraId="719BB181"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19-Jun-24</w:t>
            </w:r>
          </w:p>
        </w:tc>
        <w:tc>
          <w:tcPr>
            <w:tcW w:w="1367" w:type="dxa"/>
            <w:shd w:val="clear" w:color="auto" w:fill="FF0000"/>
            <w:hideMark/>
          </w:tcPr>
          <w:p w14:paraId="7CF5A79B"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No</w:t>
            </w:r>
          </w:p>
        </w:tc>
        <w:tc>
          <w:tcPr>
            <w:tcW w:w="1367" w:type="dxa"/>
            <w:shd w:val="clear" w:color="auto" w:fill="FF0000"/>
            <w:hideMark/>
          </w:tcPr>
          <w:p w14:paraId="772BEE59"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No</w:t>
            </w:r>
          </w:p>
        </w:tc>
        <w:tc>
          <w:tcPr>
            <w:tcW w:w="1570" w:type="dxa"/>
            <w:shd w:val="clear" w:color="auto" w:fill="92D050"/>
            <w:hideMark/>
          </w:tcPr>
          <w:p w14:paraId="6B63D513"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r>
      <w:tr w:rsidR="00CD2FAA" w:rsidRPr="00C45272" w14:paraId="00363BEE" w14:textId="77777777">
        <w:trPr>
          <w:trHeight w:val="397"/>
        </w:trPr>
        <w:tc>
          <w:tcPr>
            <w:tcW w:w="851" w:type="dxa"/>
            <w:hideMark/>
          </w:tcPr>
          <w:p w14:paraId="37C650EC" w14:textId="77777777" w:rsidR="00CD2FAA" w:rsidRPr="00C45272" w:rsidRDefault="00CD2FAA">
            <w:pPr>
              <w:spacing w:after="0"/>
              <w:rPr>
                <w:rFonts w:eastAsia="Times New Roman"/>
                <w:szCs w:val="20"/>
                <w:lang w:eastAsia="en-AU"/>
              </w:rPr>
            </w:pPr>
            <w:r w:rsidRPr="00C45272">
              <w:rPr>
                <w:rFonts w:eastAsia="Times New Roman"/>
                <w:szCs w:val="20"/>
                <w:lang w:eastAsia="en-AU"/>
              </w:rPr>
              <w:t>NSW</w:t>
            </w:r>
          </w:p>
        </w:tc>
        <w:tc>
          <w:tcPr>
            <w:tcW w:w="4150" w:type="dxa"/>
            <w:hideMark/>
          </w:tcPr>
          <w:p w14:paraId="4E1B433A" w14:textId="77777777" w:rsidR="00CD2FAA" w:rsidRPr="00C45272" w:rsidRDefault="00CD2FAA">
            <w:pPr>
              <w:spacing w:after="0"/>
              <w:rPr>
                <w:rFonts w:eastAsia="Times New Roman"/>
                <w:szCs w:val="20"/>
                <w:lang w:eastAsia="en-AU"/>
              </w:rPr>
            </w:pPr>
            <w:r w:rsidRPr="00C45272">
              <w:rPr>
                <w:rFonts w:eastAsia="Times New Roman"/>
                <w:szCs w:val="20"/>
                <w:lang w:eastAsia="en-AU"/>
              </w:rPr>
              <w:t>Gwydir</w:t>
            </w:r>
          </w:p>
        </w:tc>
        <w:tc>
          <w:tcPr>
            <w:tcW w:w="3292" w:type="dxa"/>
            <w:hideMark/>
          </w:tcPr>
          <w:p w14:paraId="06EEEB94" w14:textId="77777777" w:rsidR="00CD2FAA" w:rsidRPr="00C45272" w:rsidRDefault="00CD2FAA">
            <w:pPr>
              <w:spacing w:after="0"/>
              <w:rPr>
                <w:rFonts w:eastAsia="Times New Roman"/>
                <w:szCs w:val="20"/>
                <w:lang w:eastAsia="en-AU"/>
              </w:rPr>
            </w:pPr>
            <w:r w:rsidRPr="00C45272">
              <w:rPr>
                <w:rFonts w:eastAsia="Times New Roman"/>
                <w:szCs w:val="20"/>
                <w:lang w:eastAsia="en-AU"/>
              </w:rPr>
              <w:t>Surface water</w:t>
            </w:r>
          </w:p>
        </w:tc>
        <w:tc>
          <w:tcPr>
            <w:tcW w:w="1431" w:type="dxa"/>
            <w:hideMark/>
          </w:tcPr>
          <w:p w14:paraId="16D048A3"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Withdrawn</w:t>
            </w:r>
          </w:p>
        </w:tc>
        <w:tc>
          <w:tcPr>
            <w:tcW w:w="1728" w:type="dxa"/>
            <w:hideMark/>
          </w:tcPr>
          <w:p w14:paraId="4F7F4DB6"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n/a</w:t>
            </w:r>
          </w:p>
        </w:tc>
        <w:tc>
          <w:tcPr>
            <w:tcW w:w="1367" w:type="dxa"/>
            <w:shd w:val="clear" w:color="auto" w:fill="FF0000"/>
            <w:noWrap/>
            <w:hideMark/>
          </w:tcPr>
          <w:p w14:paraId="61D5174E"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No</w:t>
            </w:r>
          </w:p>
        </w:tc>
        <w:tc>
          <w:tcPr>
            <w:tcW w:w="1367" w:type="dxa"/>
            <w:shd w:val="clear" w:color="auto" w:fill="FF0000"/>
            <w:noWrap/>
            <w:hideMark/>
          </w:tcPr>
          <w:p w14:paraId="46EC0385"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No</w:t>
            </w:r>
          </w:p>
        </w:tc>
        <w:tc>
          <w:tcPr>
            <w:tcW w:w="1570" w:type="dxa"/>
            <w:shd w:val="clear" w:color="auto" w:fill="FF0000"/>
            <w:noWrap/>
            <w:hideMark/>
          </w:tcPr>
          <w:p w14:paraId="674FECA4"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No</w:t>
            </w:r>
          </w:p>
        </w:tc>
      </w:tr>
      <w:tr w:rsidR="00CD2FAA" w:rsidRPr="00C45272" w14:paraId="11E52BBF" w14:textId="77777777">
        <w:trPr>
          <w:trHeight w:val="397"/>
        </w:trPr>
        <w:tc>
          <w:tcPr>
            <w:tcW w:w="851" w:type="dxa"/>
            <w:hideMark/>
          </w:tcPr>
          <w:p w14:paraId="3BA5BF9A" w14:textId="77777777" w:rsidR="00CD2FAA" w:rsidRPr="00C45272" w:rsidRDefault="00CD2FAA">
            <w:pPr>
              <w:spacing w:after="0"/>
              <w:rPr>
                <w:rFonts w:eastAsia="Times New Roman"/>
                <w:szCs w:val="20"/>
                <w:lang w:eastAsia="en-AU"/>
              </w:rPr>
            </w:pPr>
            <w:r w:rsidRPr="00C45272">
              <w:rPr>
                <w:rFonts w:eastAsia="Times New Roman"/>
                <w:szCs w:val="20"/>
                <w:lang w:eastAsia="en-AU"/>
              </w:rPr>
              <w:t>NSW</w:t>
            </w:r>
          </w:p>
        </w:tc>
        <w:tc>
          <w:tcPr>
            <w:tcW w:w="4150" w:type="dxa"/>
            <w:noWrap/>
            <w:hideMark/>
          </w:tcPr>
          <w:p w14:paraId="60B43BE1" w14:textId="77777777" w:rsidR="00CD2FAA" w:rsidRPr="00C45272" w:rsidRDefault="00CD2FAA">
            <w:pPr>
              <w:spacing w:after="0"/>
              <w:rPr>
                <w:rFonts w:eastAsia="Times New Roman"/>
                <w:color w:val="000000"/>
                <w:szCs w:val="20"/>
                <w:lang w:eastAsia="en-AU"/>
              </w:rPr>
            </w:pPr>
            <w:r w:rsidRPr="00C45272">
              <w:rPr>
                <w:rFonts w:eastAsia="Times New Roman"/>
                <w:color w:val="000000"/>
                <w:szCs w:val="20"/>
                <w:lang w:eastAsia="en-AU"/>
              </w:rPr>
              <w:t>Intersecting streams</w:t>
            </w:r>
          </w:p>
        </w:tc>
        <w:tc>
          <w:tcPr>
            <w:tcW w:w="3292" w:type="dxa"/>
            <w:hideMark/>
          </w:tcPr>
          <w:p w14:paraId="7D6A1328" w14:textId="77777777" w:rsidR="00CD2FAA" w:rsidRPr="00C45272" w:rsidRDefault="00CD2FAA">
            <w:pPr>
              <w:spacing w:after="0"/>
              <w:rPr>
                <w:rFonts w:eastAsia="Times New Roman"/>
                <w:szCs w:val="20"/>
                <w:lang w:eastAsia="en-AU"/>
              </w:rPr>
            </w:pPr>
            <w:r w:rsidRPr="00C45272">
              <w:rPr>
                <w:rFonts w:eastAsia="Times New Roman"/>
                <w:szCs w:val="20"/>
                <w:lang w:eastAsia="en-AU"/>
              </w:rPr>
              <w:t>Surface water</w:t>
            </w:r>
          </w:p>
        </w:tc>
        <w:tc>
          <w:tcPr>
            <w:tcW w:w="1431" w:type="dxa"/>
            <w:hideMark/>
          </w:tcPr>
          <w:p w14:paraId="696DDF5D"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Operational</w:t>
            </w:r>
          </w:p>
        </w:tc>
        <w:tc>
          <w:tcPr>
            <w:tcW w:w="1728" w:type="dxa"/>
            <w:hideMark/>
          </w:tcPr>
          <w:p w14:paraId="371EDA1D"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09-Nov-23</w:t>
            </w:r>
          </w:p>
        </w:tc>
        <w:tc>
          <w:tcPr>
            <w:tcW w:w="1367" w:type="dxa"/>
            <w:shd w:val="clear" w:color="auto" w:fill="FF0000"/>
            <w:hideMark/>
          </w:tcPr>
          <w:p w14:paraId="35A25085"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No</w:t>
            </w:r>
          </w:p>
        </w:tc>
        <w:tc>
          <w:tcPr>
            <w:tcW w:w="1367" w:type="dxa"/>
            <w:shd w:val="clear" w:color="auto" w:fill="FF0000"/>
            <w:hideMark/>
          </w:tcPr>
          <w:p w14:paraId="2EF7CAD2"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No</w:t>
            </w:r>
          </w:p>
        </w:tc>
        <w:tc>
          <w:tcPr>
            <w:tcW w:w="1570" w:type="dxa"/>
            <w:shd w:val="clear" w:color="auto" w:fill="92D050"/>
            <w:hideMark/>
          </w:tcPr>
          <w:p w14:paraId="732C9F38"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r>
      <w:tr w:rsidR="00CD2FAA" w:rsidRPr="00C45272" w14:paraId="3ECC1FA9" w14:textId="77777777">
        <w:trPr>
          <w:trHeight w:val="397"/>
        </w:trPr>
        <w:tc>
          <w:tcPr>
            <w:tcW w:w="851" w:type="dxa"/>
            <w:hideMark/>
          </w:tcPr>
          <w:p w14:paraId="1FCBF05E" w14:textId="77777777" w:rsidR="00CD2FAA" w:rsidRPr="00C45272" w:rsidRDefault="00CD2FAA">
            <w:pPr>
              <w:spacing w:after="0"/>
              <w:rPr>
                <w:rFonts w:eastAsia="Times New Roman"/>
                <w:szCs w:val="20"/>
                <w:lang w:eastAsia="en-AU"/>
              </w:rPr>
            </w:pPr>
            <w:r w:rsidRPr="00C45272">
              <w:rPr>
                <w:rFonts w:eastAsia="Times New Roman"/>
                <w:szCs w:val="20"/>
                <w:lang w:eastAsia="en-AU"/>
              </w:rPr>
              <w:t>NSW</w:t>
            </w:r>
          </w:p>
        </w:tc>
        <w:tc>
          <w:tcPr>
            <w:tcW w:w="4150" w:type="dxa"/>
            <w:noWrap/>
            <w:hideMark/>
          </w:tcPr>
          <w:p w14:paraId="6DD0FF8B" w14:textId="77777777" w:rsidR="00CD2FAA" w:rsidRPr="00C45272" w:rsidRDefault="00CD2FAA">
            <w:pPr>
              <w:spacing w:after="0"/>
              <w:rPr>
                <w:rFonts w:eastAsia="Times New Roman"/>
                <w:color w:val="000000"/>
                <w:szCs w:val="20"/>
                <w:lang w:eastAsia="en-AU"/>
              </w:rPr>
            </w:pPr>
            <w:r w:rsidRPr="00C45272">
              <w:rPr>
                <w:rFonts w:eastAsia="Times New Roman"/>
                <w:color w:val="000000"/>
                <w:szCs w:val="20"/>
                <w:lang w:eastAsia="en-AU"/>
              </w:rPr>
              <w:t>Lachlan</w:t>
            </w:r>
          </w:p>
        </w:tc>
        <w:tc>
          <w:tcPr>
            <w:tcW w:w="3292" w:type="dxa"/>
            <w:hideMark/>
          </w:tcPr>
          <w:p w14:paraId="05E85695" w14:textId="77777777" w:rsidR="00CD2FAA" w:rsidRPr="00C45272" w:rsidRDefault="00CD2FAA">
            <w:pPr>
              <w:spacing w:after="0"/>
              <w:rPr>
                <w:rFonts w:eastAsia="Times New Roman"/>
                <w:szCs w:val="20"/>
                <w:lang w:eastAsia="en-AU"/>
              </w:rPr>
            </w:pPr>
            <w:r w:rsidRPr="00C45272">
              <w:rPr>
                <w:rFonts w:eastAsia="Times New Roman"/>
                <w:szCs w:val="20"/>
                <w:lang w:eastAsia="en-AU"/>
              </w:rPr>
              <w:t>Surface water</w:t>
            </w:r>
          </w:p>
        </w:tc>
        <w:tc>
          <w:tcPr>
            <w:tcW w:w="1431" w:type="dxa"/>
            <w:hideMark/>
          </w:tcPr>
          <w:p w14:paraId="3D4E58F0"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Operational</w:t>
            </w:r>
          </w:p>
        </w:tc>
        <w:tc>
          <w:tcPr>
            <w:tcW w:w="1728" w:type="dxa"/>
            <w:hideMark/>
          </w:tcPr>
          <w:p w14:paraId="01B6BB9E"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18-May-24</w:t>
            </w:r>
          </w:p>
        </w:tc>
        <w:tc>
          <w:tcPr>
            <w:tcW w:w="1367" w:type="dxa"/>
            <w:shd w:val="clear" w:color="auto" w:fill="FF0000"/>
            <w:hideMark/>
          </w:tcPr>
          <w:p w14:paraId="5A485A5D"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No</w:t>
            </w:r>
          </w:p>
        </w:tc>
        <w:tc>
          <w:tcPr>
            <w:tcW w:w="1367" w:type="dxa"/>
            <w:shd w:val="clear" w:color="auto" w:fill="FF0000"/>
            <w:hideMark/>
          </w:tcPr>
          <w:p w14:paraId="24BF83F2"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No</w:t>
            </w:r>
          </w:p>
        </w:tc>
        <w:tc>
          <w:tcPr>
            <w:tcW w:w="1570" w:type="dxa"/>
            <w:shd w:val="clear" w:color="auto" w:fill="92D050"/>
            <w:hideMark/>
          </w:tcPr>
          <w:p w14:paraId="6235A371"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r>
      <w:tr w:rsidR="00CD2FAA" w:rsidRPr="00C45272" w14:paraId="102127F3" w14:textId="77777777">
        <w:trPr>
          <w:trHeight w:val="397"/>
        </w:trPr>
        <w:tc>
          <w:tcPr>
            <w:tcW w:w="851" w:type="dxa"/>
            <w:hideMark/>
          </w:tcPr>
          <w:p w14:paraId="37E768AB" w14:textId="77777777" w:rsidR="00CD2FAA" w:rsidRPr="00C45272" w:rsidRDefault="00CD2FAA">
            <w:pPr>
              <w:spacing w:after="0"/>
              <w:rPr>
                <w:rFonts w:eastAsia="Times New Roman"/>
                <w:szCs w:val="20"/>
                <w:lang w:eastAsia="en-AU"/>
              </w:rPr>
            </w:pPr>
            <w:r w:rsidRPr="00C45272">
              <w:rPr>
                <w:rFonts w:eastAsia="Times New Roman"/>
                <w:szCs w:val="20"/>
                <w:lang w:eastAsia="en-AU"/>
              </w:rPr>
              <w:t>NSW</w:t>
            </w:r>
          </w:p>
        </w:tc>
        <w:tc>
          <w:tcPr>
            <w:tcW w:w="4150" w:type="dxa"/>
            <w:noWrap/>
            <w:hideMark/>
          </w:tcPr>
          <w:p w14:paraId="43A72C88" w14:textId="77777777" w:rsidR="00CD2FAA" w:rsidRPr="00C45272" w:rsidRDefault="00CD2FAA">
            <w:pPr>
              <w:spacing w:after="0"/>
              <w:rPr>
                <w:rFonts w:eastAsia="Times New Roman"/>
                <w:color w:val="000000"/>
                <w:szCs w:val="20"/>
                <w:lang w:eastAsia="en-AU"/>
              </w:rPr>
            </w:pPr>
            <w:r w:rsidRPr="00C45272">
              <w:rPr>
                <w:rFonts w:eastAsia="Times New Roman"/>
                <w:color w:val="000000"/>
                <w:szCs w:val="20"/>
                <w:lang w:eastAsia="en-AU"/>
              </w:rPr>
              <w:t>Macquarie–Castlereagh</w:t>
            </w:r>
          </w:p>
        </w:tc>
        <w:tc>
          <w:tcPr>
            <w:tcW w:w="3292" w:type="dxa"/>
            <w:hideMark/>
          </w:tcPr>
          <w:p w14:paraId="7F643106" w14:textId="77777777" w:rsidR="00CD2FAA" w:rsidRPr="00C45272" w:rsidRDefault="00CD2FAA">
            <w:pPr>
              <w:spacing w:after="0"/>
              <w:rPr>
                <w:rFonts w:eastAsia="Times New Roman"/>
                <w:szCs w:val="20"/>
                <w:lang w:eastAsia="en-AU"/>
              </w:rPr>
            </w:pPr>
            <w:r w:rsidRPr="00C45272">
              <w:rPr>
                <w:rFonts w:eastAsia="Times New Roman"/>
                <w:szCs w:val="20"/>
                <w:lang w:eastAsia="en-AU"/>
              </w:rPr>
              <w:t>Surface water</w:t>
            </w:r>
          </w:p>
        </w:tc>
        <w:tc>
          <w:tcPr>
            <w:tcW w:w="1431" w:type="dxa"/>
            <w:hideMark/>
          </w:tcPr>
          <w:p w14:paraId="41B9A84B"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Operational</w:t>
            </w:r>
          </w:p>
        </w:tc>
        <w:tc>
          <w:tcPr>
            <w:tcW w:w="1728" w:type="dxa"/>
            <w:hideMark/>
          </w:tcPr>
          <w:p w14:paraId="0A7A1B7E"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19-Jun-24</w:t>
            </w:r>
          </w:p>
        </w:tc>
        <w:tc>
          <w:tcPr>
            <w:tcW w:w="1367" w:type="dxa"/>
            <w:shd w:val="clear" w:color="auto" w:fill="FF0000"/>
            <w:hideMark/>
          </w:tcPr>
          <w:p w14:paraId="097D66E0"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No</w:t>
            </w:r>
          </w:p>
        </w:tc>
        <w:tc>
          <w:tcPr>
            <w:tcW w:w="1367" w:type="dxa"/>
            <w:shd w:val="clear" w:color="auto" w:fill="FF0000"/>
            <w:hideMark/>
          </w:tcPr>
          <w:p w14:paraId="2AE05866"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No</w:t>
            </w:r>
          </w:p>
        </w:tc>
        <w:tc>
          <w:tcPr>
            <w:tcW w:w="1570" w:type="dxa"/>
            <w:shd w:val="clear" w:color="auto" w:fill="92D050"/>
            <w:hideMark/>
          </w:tcPr>
          <w:p w14:paraId="7BABFD4B"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r>
      <w:tr w:rsidR="00CD2FAA" w:rsidRPr="00C45272" w14:paraId="3E289256" w14:textId="77777777">
        <w:trPr>
          <w:trHeight w:val="397"/>
        </w:trPr>
        <w:tc>
          <w:tcPr>
            <w:tcW w:w="851" w:type="dxa"/>
            <w:hideMark/>
          </w:tcPr>
          <w:p w14:paraId="630658F0" w14:textId="77777777" w:rsidR="00CD2FAA" w:rsidRPr="00C45272" w:rsidRDefault="00CD2FAA">
            <w:pPr>
              <w:spacing w:after="0"/>
              <w:rPr>
                <w:rFonts w:eastAsia="Times New Roman"/>
                <w:szCs w:val="20"/>
                <w:lang w:eastAsia="en-AU"/>
              </w:rPr>
            </w:pPr>
            <w:r w:rsidRPr="00C45272">
              <w:rPr>
                <w:rFonts w:eastAsia="Times New Roman"/>
                <w:szCs w:val="20"/>
                <w:lang w:eastAsia="en-AU"/>
              </w:rPr>
              <w:t>NSW</w:t>
            </w:r>
          </w:p>
        </w:tc>
        <w:tc>
          <w:tcPr>
            <w:tcW w:w="4150" w:type="dxa"/>
            <w:noWrap/>
            <w:hideMark/>
          </w:tcPr>
          <w:p w14:paraId="058EC9DB" w14:textId="77777777" w:rsidR="00CD2FAA" w:rsidRPr="00C45272" w:rsidRDefault="00CD2FAA">
            <w:pPr>
              <w:spacing w:after="0"/>
              <w:rPr>
                <w:rFonts w:eastAsia="Times New Roman"/>
                <w:color w:val="000000"/>
                <w:szCs w:val="20"/>
                <w:lang w:eastAsia="en-AU"/>
              </w:rPr>
            </w:pPr>
            <w:r w:rsidRPr="00C45272">
              <w:rPr>
                <w:rFonts w:eastAsia="Times New Roman"/>
                <w:color w:val="000000"/>
                <w:szCs w:val="20"/>
                <w:lang w:eastAsia="en-AU"/>
              </w:rPr>
              <w:t>Murrumbidgee</w:t>
            </w:r>
          </w:p>
        </w:tc>
        <w:tc>
          <w:tcPr>
            <w:tcW w:w="3292" w:type="dxa"/>
            <w:hideMark/>
          </w:tcPr>
          <w:p w14:paraId="51E281CB" w14:textId="77777777" w:rsidR="00CD2FAA" w:rsidRPr="00C45272" w:rsidRDefault="00CD2FAA">
            <w:pPr>
              <w:spacing w:after="0"/>
              <w:rPr>
                <w:rFonts w:eastAsia="Times New Roman"/>
                <w:szCs w:val="20"/>
                <w:lang w:eastAsia="en-AU"/>
              </w:rPr>
            </w:pPr>
            <w:r w:rsidRPr="00C45272">
              <w:rPr>
                <w:rFonts w:eastAsia="Times New Roman"/>
                <w:szCs w:val="20"/>
                <w:lang w:eastAsia="en-AU"/>
              </w:rPr>
              <w:t>Surface water</w:t>
            </w:r>
          </w:p>
        </w:tc>
        <w:tc>
          <w:tcPr>
            <w:tcW w:w="1431" w:type="dxa"/>
            <w:hideMark/>
          </w:tcPr>
          <w:p w14:paraId="799A1B2A"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Operational</w:t>
            </w:r>
          </w:p>
        </w:tc>
        <w:tc>
          <w:tcPr>
            <w:tcW w:w="1728" w:type="dxa"/>
            <w:hideMark/>
          </w:tcPr>
          <w:p w14:paraId="281112F8"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29-Feb-24</w:t>
            </w:r>
          </w:p>
        </w:tc>
        <w:tc>
          <w:tcPr>
            <w:tcW w:w="1367" w:type="dxa"/>
            <w:shd w:val="clear" w:color="auto" w:fill="FF0000"/>
            <w:hideMark/>
          </w:tcPr>
          <w:p w14:paraId="32117F8C"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No</w:t>
            </w:r>
          </w:p>
        </w:tc>
        <w:tc>
          <w:tcPr>
            <w:tcW w:w="1367" w:type="dxa"/>
            <w:shd w:val="clear" w:color="auto" w:fill="FF0000"/>
            <w:hideMark/>
          </w:tcPr>
          <w:p w14:paraId="6456F453"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No</w:t>
            </w:r>
          </w:p>
        </w:tc>
        <w:tc>
          <w:tcPr>
            <w:tcW w:w="1570" w:type="dxa"/>
            <w:shd w:val="clear" w:color="auto" w:fill="92D050"/>
            <w:hideMark/>
          </w:tcPr>
          <w:p w14:paraId="76E80584"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r>
      <w:tr w:rsidR="00CD2FAA" w:rsidRPr="00C45272" w14:paraId="06DD70DB" w14:textId="77777777">
        <w:trPr>
          <w:trHeight w:val="397"/>
        </w:trPr>
        <w:tc>
          <w:tcPr>
            <w:tcW w:w="851" w:type="dxa"/>
            <w:hideMark/>
          </w:tcPr>
          <w:p w14:paraId="3582D0F9" w14:textId="77777777" w:rsidR="00CD2FAA" w:rsidRPr="00C45272" w:rsidRDefault="00CD2FAA">
            <w:pPr>
              <w:spacing w:after="0"/>
              <w:rPr>
                <w:rFonts w:eastAsia="Times New Roman"/>
                <w:szCs w:val="20"/>
                <w:lang w:eastAsia="en-AU"/>
              </w:rPr>
            </w:pPr>
            <w:r w:rsidRPr="00C45272">
              <w:rPr>
                <w:rFonts w:eastAsia="Times New Roman"/>
                <w:szCs w:val="20"/>
                <w:lang w:eastAsia="en-AU"/>
              </w:rPr>
              <w:t>NSW</w:t>
            </w:r>
          </w:p>
        </w:tc>
        <w:tc>
          <w:tcPr>
            <w:tcW w:w="4150" w:type="dxa"/>
            <w:hideMark/>
          </w:tcPr>
          <w:p w14:paraId="7697B13A" w14:textId="77777777" w:rsidR="00CD2FAA" w:rsidRPr="00C45272" w:rsidRDefault="00CD2FAA">
            <w:pPr>
              <w:spacing w:after="0"/>
              <w:rPr>
                <w:rFonts w:eastAsia="Times New Roman"/>
                <w:szCs w:val="20"/>
                <w:lang w:eastAsia="en-AU"/>
              </w:rPr>
            </w:pPr>
            <w:r w:rsidRPr="00C45272">
              <w:rPr>
                <w:rFonts w:eastAsia="Times New Roman"/>
                <w:szCs w:val="20"/>
                <w:lang w:eastAsia="en-AU"/>
              </w:rPr>
              <w:t>Namoi</w:t>
            </w:r>
          </w:p>
        </w:tc>
        <w:tc>
          <w:tcPr>
            <w:tcW w:w="3292" w:type="dxa"/>
            <w:hideMark/>
          </w:tcPr>
          <w:p w14:paraId="3476F6EE" w14:textId="77777777" w:rsidR="00CD2FAA" w:rsidRPr="00C45272" w:rsidRDefault="00CD2FAA">
            <w:pPr>
              <w:spacing w:after="0"/>
              <w:rPr>
                <w:rFonts w:eastAsia="Times New Roman"/>
                <w:szCs w:val="20"/>
                <w:lang w:eastAsia="en-AU"/>
              </w:rPr>
            </w:pPr>
            <w:r w:rsidRPr="00C45272">
              <w:rPr>
                <w:rFonts w:eastAsia="Times New Roman"/>
                <w:szCs w:val="20"/>
                <w:lang w:eastAsia="en-AU"/>
              </w:rPr>
              <w:t>Surface water</w:t>
            </w:r>
          </w:p>
        </w:tc>
        <w:tc>
          <w:tcPr>
            <w:tcW w:w="1431" w:type="dxa"/>
            <w:hideMark/>
          </w:tcPr>
          <w:p w14:paraId="52EBE1D9"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Withdrawn</w:t>
            </w:r>
          </w:p>
        </w:tc>
        <w:tc>
          <w:tcPr>
            <w:tcW w:w="1728" w:type="dxa"/>
            <w:hideMark/>
          </w:tcPr>
          <w:p w14:paraId="3E44366C"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n/a</w:t>
            </w:r>
          </w:p>
        </w:tc>
        <w:tc>
          <w:tcPr>
            <w:tcW w:w="1367" w:type="dxa"/>
            <w:shd w:val="clear" w:color="auto" w:fill="FF0000"/>
            <w:hideMark/>
          </w:tcPr>
          <w:p w14:paraId="59E898FC"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No</w:t>
            </w:r>
          </w:p>
        </w:tc>
        <w:tc>
          <w:tcPr>
            <w:tcW w:w="1367" w:type="dxa"/>
            <w:shd w:val="clear" w:color="auto" w:fill="FF0000"/>
            <w:hideMark/>
          </w:tcPr>
          <w:p w14:paraId="4B41EDE3"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No</w:t>
            </w:r>
          </w:p>
        </w:tc>
        <w:tc>
          <w:tcPr>
            <w:tcW w:w="1570" w:type="dxa"/>
            <w:shd w:val="clear" w:color="auto" w:fill="FF0000"/>
            <w:hideMark/>
          </w:tcPr>
          <w:p w14:paraId="3B4FFE59"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No</w:t>
            </w:r>
          </w:p>
        </w:tc>
      </w:tr>
      <w:tr w:rsidR="00CD2FAA" w:rsidRPr="00C45272" w14:paraId="0ECF42EC" w14:textId="77777777">
        <w:trPr>
          <w:trHeight w:val="397"/>
        </w:trPr>
        <w:tc>
          <w:tcPr>
            <w:tcW w:w="851" w:type="dxa"/>
            <w:hideMark/>
          </w:tcPr>
          <w:p w14:paraId="783F30D6" w14:textId="77777777" w:rsidR="00CD2FAA" w:rsidRPr="00C45272" w:rsidRDefault="00CD2FAA">
            <w:pPr>
              <w:spacing w:after="0"/>
              <w:rPr>
                <w:rFonts w:eastAsia="Times New Roman"/>
                <w:szCs w:val="20"/>
                <w:lang w:eastAsia="en-AU"/>
              </w:rPr>
            </w:pPr>
            <w:r w:rsidRPr="00C45272">
              <w:rPr>
                <w:rFonts w:eastAsia="Times New Roman"/>
                <w:szCs w:val="20"/>
                <w:lang w:eastAsia="en-AU"/>
              </w:rPr>
              <w:t>NSW</w:t>
            </w:r>
          </w:p>
        </w:tc>
        <w:tc>
          <w:tcPr>
            <w:tcW w:w="4150" w:type="dxa"/>
            <w:noWrap/>
            <w:hideMark/>
          </w:tcPr>
          <w:p w14:paraId="2B41732F" w14:textId="77777777" w:rsidR="00CD2FAA" w:rsidRPr="00C45272" w:rsidRDefault="00CD2FAA">
            <w:pPr>
              <w:spacing w:after="0"/>
              <w:rPr>
                <w:rFonts w:eastAsia="Times New Roman"/>
                <w:color w:val="000000"/>
                <w:szCs w:val="20"/>
                <w:lang w:eastAsia="en-AU"/>
              </w:rPr>
            </w:pPr>
            <w:r w:rsidRPr="00C45272">
              <w:rPr>
                <w:rFonts w:eastAsia="Times New Roman"/>
                <w:color w:val="000000"/>
                <w:szCs w:val="20"/>
                <w:lang w:eastAsia="en-AU"/>
              </w:rPr>
              <w:t>NSW Border Rivers</w:t>
            </w:r>
          </w:p>
        </w:tc>
        <w:tc>
          <w:tcPr>
            <w:tcW w:w="3292" w:type="dxa"/>
            <w:hideMark/>
          </w:tcPr>
          <w:p w14:paraId="08ECAC37" w14:textId="77777777" w:rsidR="00CD2FAA" w:rsidRPr="00C45272" w:rsidRDefault="00CD2FAA">
            <w:pPr>
              <w:spacing w:after="0"/>
              <w:rPr>
                <w:rFonts w:eastAsia="Times New Roman"/>
                <w:szCs w:val="20"/>
                <w:lang w:eastAsia="en-AU"/>
              </w:rPr>
            </w:pPr>
            <w:r w:rsidRPr="00C45272">
              <w:rPr>
                <w:rFonts w:eastAsia="Times New Roman"/>
                <w:szCs w:val="20"/>
                <w:lang w:eastAsia="en-AU"/>
              </w:rPr>
              <w:t>Surface water</w:t>
            </w:r>
          </w:p>
        </w:tc>
        <w:tc>
          <w:tcPr>
            <w:tcW w:w="1431" w:type="dxa"/>
            <w:hideMark/>
          </w:tcPr>
          <w:p w14:paraId="7A978129"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Operational</w:t>
            </w:r>
          </w:p>
        </w:tc>
        <w:tc>
          <w:tcPr>
            <w:tcW w:w="1728" w:type="dxa"/>
            <w:hideMark/>
          </w:tcPr>
          <w:p w14:paraId="2142F12A"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02-May-24</w:t>
            </w:r>
          </w:p>
        </w:tc>
        <w:tc>
          <w:tcPr>
            <w:tcW w:w="1367" w:type="dxa"/>
            <w:shd w:val="clear" w:color="auto" w:fill="FF0000"/>
            <w:hideMark/>
          </w:tcPr>
          <w:p w14:paraId="202AA80F"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No</w:t>
            </w:r>
          </w:p>
        </w:tc>
        <w:tc>
          <w:tcPr>
            <w:tcW w:w="1367" w:type="dxa"/>
            <w:shd w:val="clear" w:color="auto" w:fill="FF0000"/>
            <w:hideMark/>
          </w:tcPr>
          <w:p w14:paraId="1F7E0C16"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No</w:t>
            </w:r>
          </w:p>
        </w:tc>
        <w:tc>
          <w:tcPr>
            <w:tcW w:w="1570" w:type="dxa"/>
            <w:shd w:val="clear" w:color="auto" w:fill="92D050"/>
            <w:hideMark/>
          </w:tcPr>
          <w:p w14:paraId="41A26A27"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r>
      <w:tr w:rsidR="00CD2FAA" w:rsidRPr="00C45272" w14:paraId="297AFA50" w14:textId="77777777">
        <w:trPr>
          <w:trHeight w:val="397"/>
        </w:trPr>
        <w:tc>
          <w:tcPr>
            <w:tcW w:w="851" w:type="dxa"/>
            <w:hideMark/>
          </w:tcPr>
          <w:p w14:paraId="404708AA" w14:textId="77777777" w:rsidR="00CD2FAA" w:rsidRPr="00C45272" w:rsidRDefault="00CD2FAA">
            <w:pPr>
              <w:spacing w:after="0"/>
              <w:rPr>
                <w:rFonts w:eastAsia="Times New Roman"/>
                <w:szCs w:val="20"/>
                <w:lang w:eastAsia="en-AU"/>
              </w:rPr>
            </w:pPr>
            <w:r w:rsidRPr="00C45272">
              <w:rPr>
                <w:rFonts w:eastAsia="Times New Roman"/>
                <w:szCs w:val="20"/>
                <w:lang w:eastAsia="en-AU"/>
              </w:rPr>
              <w:t>NSW</w:t>
            </w:r>
          </w:p>
        </w:tc>
        <w:tc>
          <w:tcPr>
            <w:tcW w:w="4150" w:type="dxa"/>
            <w:noWrap/>
            <w:hideMark/>
          </w:tcPr>
          <w:p w14:paraId="00242CB1" w14:textId="77777777" w:rsidR="00CD2FAA" w:rsidRPr="00C45272" w:rsidRDefault="00CD2FAA">
            <w:pPr>
              <w:spacing w:after="0"/>
              <w:rPr>
                <w:rFonts w:eastAsia="Times New Roman"/>
                <w:color w:val="000000"/>
                <w:szCs w:val="20"/>
                <w:lang w:eastAsia="en-AU"/>
              </w:rPr>
            </w:pPr>
            <w:r w:rsidRPr="00C45272">
              <w:rPr>
                <w:rFonts w:eastAsia="Times New Roman"/>
                <w:color w:val="000000"/>
                <w:szCs w:val="20"/>
                <w:lang w:eastAsia="en-AU"/>
              </w:rPr>
              <w:t>NSW Murray and Lower Darling</w:t>
            </w:r>
          </w:p>
        </w:tc>
        <w:tc>
          <w:tcPr>
            <w:tcW w:w="3292" w:type="dxa"/>
            <w:hideMark/>
          </w:tcPr>
          <w:p w14:paraId="06D327FE" w14:textId="77777777" w:rsidR="00CD2FAA" w:rsidRPr="00C45272" w:rsidRDefault="00CD2FAA">
            <w:pPr>
              <w:spacing w:after="0"/>
              <w:rPr>
                <w:rFonts w:eastAsia="Times New Roman"/>
                <w:szCs w:val="20"/>
                <w:lang w:eastAsia="en-AU"/>
              </w:rPr>
            </w:pPr>
            <w:r w:rsidRPr="00C45272">
              <w:rPr>
                <w:rFonts w:eastAsia="Times New Roman"/>
                <w:szCs w:val="20"/>
                <w:lang w:eastAsia="en-AU"/>
              </w:rPr>
              <w:t>Surface water</w:t>
            </w:r>
          </w:p>
        </w:tc>
        <w:tc>
          <w:tcPr>
            <w:tcW w:w="1431" w:type="dxa"/>
            <w:hideMark/>
          </w:tcPr>
          <w:p w14:paraId="6DB1FCC3"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Operational</w:t>
            </w:r>
          </w:p>
        </w:tc>
        <w:tc>
          <w:tcPr>
            <w:tcW w:w="1728" w:type="dxa"/>
            <w:hideMark/>
          </w:tcPr>
          <w:p w14:paraId="603AA39D"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18-May-24</w:t>
            </w:r>
          </w:p>
        </w:tc>
        <w:tc>
          <w:tcPr>
            <w:tcW w:w="1367" w:type="dxa"/>
            <w:shd w:val="clear" w:color="auto" w:fill="FF0000"/>
            <w:hideMark/>
          </w:tcPr>
          <w:p w14:paraId="44A3A669"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No</w:t>
            </w:r>
          </w:p>
        </w:tc>
        <w:tc>
          <w:tcPr>
            <w:tcW w:w="1367" w:type="dxa"/>
            <w:shd w:val="clear" w:color="auto" w:fill="FF0000"/>
            <w:hideMark/>
          </w:tcPr>
          <w:p w14:paraId="5533E4F5"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No</w:t>
            </w:r>
          </w:p>
        </w:tc>
        <w:tc>
          <w:tcPr>
            <w:tcW w:w="1570" w:type="dxa"/>
            <w:shd w:val="clear" w:color="auto" w:fill="92D050"/>
            <w:hideMark/>
          </w:tcPr>
          <w:p w14:paraId="42E36A8A"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r>
      <w:tr w:rsidR="00CD2FAA" w:rsidRPr="00C45272" w14:paraId="1D60CAA3" w14:textId="77777777">
        <w:trPr>
          <w:trHeight w:val="397"/>
        </w:trPr>
        <w:tc>
          <w:tcPr>
            <w:tcW w:w="851" w:type="dxa"/>
            <w:hideMark/>
          </w:tcPr>
          <w:p w14:paraId="6DE1A228" w14:textId="77777777" w:rsidR="00CD2FAA" w:rsidRPr="00C45272" w:rsidRDefault="00CD2FAA">
            <w:pPr>
              <w:spacing w:after="0"/>
              <w:rPr>
                <w:rFonts w:eastAsia="Times New Roman"/>
                <w:szCs w:val="20"/>
                <w:lang w:eastAsia="en-AU"/>
              </w:rPr>
            </w:pPr>
            <w:r w:rsidRPr="00C45272">
              <w:rPr>
                <w:rFonts w:eastAsia="Times New Roman"/>
                <w:szCs w:val="20"/>
                <w:lang w:eastAsia="en-AU"/>
              </w:rPr>
              <w:t>SA</w:t>
            </w:r>
          </w:p>
        </w:tc>
        <w:tc>
          <w:tcPr>
            <w:tcW w:w="4150" w:type="dxa"/>
            <w:noWrap/>
            <w:hideMark/>
          </w:tcPr>
          <w:p w14:paraId="0416C33C" w14:textId="77777777" w:rsidR="00CD2FAA" w:rsidRPr="00C45272" w:rsidRDefault="00CD2FAA">
            <w:pPr>
              <w:spacing w:after="0"/>
              <w:rPr>
                <w:rFonts w:eastAsia="Times New Roman"/>
                <w:color w:val="000000"/>
                <w:szCs w:val="20"/>
                <w:lang w:eastAsia="en-AU"/>
              </w:rPr>
            </w:pPr>
            <w:r w:rsidRPr="00C45272">
              <w:rPr>
                <w:rFonts w:eastAsia="Times New Roman"/>
                <w:color w:val="000000"/>
                <w:szCs w:val="20"/>
                <w:lang w:eastAsia="en-AU"/>
              </w:rPr>
              <w:t>South Australian River Murray</w:t>
            </w:r>
          </w:p>
        </w:tc>
        <w:tc>
          <w:tcPr>
            <w:tcW w:w="3292" w:type="dxa"/>
            <w:hideMark/>
          </w:tcPr>
          <w:p w14:paraId="784C7B15" w14:textId="77777777" w:rsidR="00CD2FAA" w:rsidRPr="00C45272" w:rsidRDefault="00CD2FAA">
            <w:pPr>
              <w:spacing w:after="0"/>
              <w:rPr>
                <w:rFonts w:eastAsia="Times New Roman"/>
                <w:szCs w:val="20"/>
                <w:lang w:eastAsia="en-AU"/>
              </w:rPr>
            </w:pPr>
            <w:r w:rsidRPr="00C45272">
              <w:rPr>
                <w:rFonts w:eastAsia="Times New Roman"/>
                <w:szCs w:val="20"/>
                <w:lang w:eastAsia="en-AU"/>
              </w:rPr>
              <w:t>Surface water</w:t>
            </w:r>
          </w:p>
        </w:tc>
        <w:tc>
          <w:tcPr>
            <w:tcW w:w="1431" w:type="dxa"/>
            <w:hideMark/>
          </w:tcPr>
          <w:p w14:paraId="291ACDDD"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Operational</w:t>
            </w:r>
          </w:p>
        </w:tc>
        <w:tc>
          <w:tcPr>
            <w:tcW w:w="1728" w:type="dxa"/>
            <w:hideMark/>
          </w:tcPr>
          <w:p w14:paraId="04586D3B"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16-Nov-19</w:t>
            </w:r>
          </w:p>
        </w:tc>
        <w:tc>
          <w:tcPr>
            <w:tcW w:w="1367" w:type="dxa"/>
            <w:shd w:val="clear" w:color="auto" w:fill="92D050"/>
            <w:hideMark/>
          </w:tcPr>
          <w:p w14:paraId="4F633105"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c>
          <w:tcPr>
            <w:tcW w:w="1367" w:type="dxa"/>
            <w:shd w:val="clear" w:color="auto" w:fill="92D050"/>
            <w:hideMark/>
          </w:tcPr>
          <w:p w14:paraId="2B5C7CB0"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c>
          <w:tcPr>
            <w:tcW w:w="1570" w:type="dxa"/>
            <w:shd w:val="clear" w:color="auto" w:fill="92D050"/>
            <w:hideMark/>
          </w:tcPr>
          <w:p w14:paraId="162826AF"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r>
      <w:tr w:rsidR="00CD2FAA" w:rsidRPr="00C45272" w14:paraId="56EF5C47" w14:textId="77777777">
        <w:trPr>
          <w:trHeight w:val="397"/>
        </w:trPr>
        <w:tc>
          <w:tcPr>
            <w:tcW w:w="851" w:type="dxa"/>
            <w:hideMark/>
          </w:tcPr>
          <w:p w14:paraId="254A987F" w14:textId="77777777" w:rsidR="00CD2FAA" w:rsidRPr="00C45272" w:rsidRDefault="00CD2FAA">
            <w:pPr>
              <w:spacing w:after="0"/>
              <w:rPr>
                <w:rFonts w:eastAsia="Times New Roman"/>
                <w:szCs w:val="20"/>
                <w:lang w:eastAsia="en-AU"/>
              </w:rPr>
            </w:pPr>
            <w:r w:rsidRPr="00C45272">
              <w:rPr>
                <w:rFonts w:eastAsia="Times New Roman"/>
                <w:szCs w:val="20"/>
                <w:lang w:eastAsia="en-AU"/>
              </w:rPr>
              <w:t>VIC</w:t>
            </w:r>
          </w:p>
        </w:tc>
        <w:tc>
          <w:tcPr>
            <w:tcW w:w="4150" w:type="dxa"/>
            <w:noWrap/>
            <w:hideMark/>
          </w:tcPr>
          <w:p w14:paraId="39C90C57" w14:textId="77777777" w:rsidR="00CD2FAA" w:rsidRPr="00C45272" w:rsidRDefault="00CD2FAA">
            <w:pPr>
              <w:spacing w:after="0"/>
              <w:rPr>
                <w:rFonts w:eastAsia="Times New Roman"/>
                <w:color w:val="000000"/>
                <w:szCs w:val="20"/>
                <w:lang w:eastAsia="en-AU"/>
              </w:rPr>
            </w:pPr>
            <w:r w:rsidRPr="00C45272">
              <w:rPr>
                <w:rFonts w:eastAsia="Times New Roman"/>
                <w:color w:val="000000"/>
                <w:szCs w:val="20"/>
                <w:lang w:eastAsia="en-AU"/>
              </w:rPr>
              <w:t>Northern Victoria</w:t>
            </w:r>
          </w:p>
        </w:tc>
        <w:tc>
          <w:tcPr>
            <w:tcW w:w="3292" w:type="dxa"/>
            <w:hideMark/>
          </w:tcPr>
          <w:p w14:paraId="70EB3507" w14:textId="77777777" w:rsidR="00CD2FAA" w:rsidRPr="00C45272" w:rsidRDefault="00CD2FAA">
            <w:pPr>
              <w:spacing w:after="0"/>
              <w:rPr>
                <w:rFonts w:eastAsia="Times New Roman"/>
                <w:szCs w:val="20"/>
                <w:lang w:eastAsia="en-AU"/>
              </w:rPr>
            </w:pPr>
            <w:r w:rsidRPr="00C45272">
              <w:rPr>
                <w:rFonts w:eastAsia="Times New Roman"/>
                <w:szCs w:val="20"/>
                <w:lang w:eastAsia="en-AU"/>
              </w:rPr>
              <w:t>Surface water</w:t>
            </w:r>
          </w:p>
        </w:tc>
        <w:tc>
          <w:tcPr>
            <w:tcW w:w="1431" w:type="dxa"/>
            <w:hideMark/>
          </w:tcPr>
          <w:p w14:paraId="0A5E3C11"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Operational</w:t>
            </w:r>
          </w:p>
        </w:tc>
        <w:tc>
          <w:tcPr>
            <w:tcW w:w="1728" w:type="dxa"/>
            <w:hideMark/>
          </w:tcPr>
          <w:p w14:paraId="5C3308A7"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13-Jun-20</w:t>
            </w:r>
          </w:p>
        </w:tc>
        <w:tc>
          <w:tcPr>
            <w:tcW w:w="1367" w:type="dxa"/>
            <w:shd w:val="clear" w:color="auto" w:fill="92D050"/>
            <w:hideMark/>
          </w:tcPr>
          <w:p w14:paraId="2CDFDC84"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c>
          <w:tcPr>
            <w:tcW w:w="1367" w:type="dxa"/>
            <w:shd w:val="clear" w:color="auto" w:fill="92D050"/>
            <w:hideMark/>
          </w:tcPr>
          <w:p w14:paraId="231B725F"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c>
          <w:tcPr>
            <w:tcW w:w="1570" w:type="dxa"/>
            <w:shd w:val="clear" w:color="auto" w:fill="92D050"/>
            <w:hideMark/>
          </w:tcPr>
          <w:p w14:paraId="6EFF65C0"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r>
      <w:tr w:rsidR="00CD2FAA" w:rsidRPr="00C45272" w14:paraId="35292692" w14:textId="77777777">
        <w:trPr>
          <w:trHeight w:val="397"/>
        </w:trPr>
        <w:tc>
          <w:tcPr>
            <w:tcW w:w="851" w:type="dxa"/>
            <w:hideMark/>
          </w:tcPr>
          <w:p w14:paraId="37B3EE6E" w14:textId="77777777" w:rsidR="00CD2FAA" w:rsidRPr="00C45272" w:rsidRDefault="00CD2FAA">
            <w:pPr>
              <w:spacing w:after="0"/>
              <w:rPr>
                <w:rFonts w:eastAsia="Times New Roman"/>
                <w:szCs w:val="20"/>
                <w:lang w:eastAsia="en-AU"/>
              </w:rPr>
            </w:pPr>
            <w:r w:rsidRPr="00C45272">
              <w:rPr>
                <w:rFonts w:eastAsia="Times New Roman"/>
                <w:szCs w:val="20"/>
                <w:lang w:eastAsia="en-AU"/>
              </w:rPr>
              <w:t>VIC</w:t>
            </w:r>
          </w:p>
        </w:tc>
        <w:tc>
          <w:tcPr>
            <w:tcW w:w="4150" w:type="dxa"/>
            <w:noWrap/>
            <w:hideMark/>
          </w:tcPr>
          <w:p w14:paraId="0CCEB540" w14:textId="77777777" w:rsidR="00CD2FAA" w:rsidRPr="00C45272" w:rsidRDefault="00CD2FAA">
            <w:pPr>
              <w:spacing w:after="0"/>
              <w:rPr>
                <w:rFonts w:eastAsia="Times New Roman"/>
                <w:color w:val="000000"/>
                <w:szCs w:val="20"/>
                <w:lang w:eastAsia="en-AU"/>
              </w:rPr>
            </w:pPr>
            <w:r w:rsidRPr="00C45272">
              <w:rPr>
                <w:rFonts w:eastAsia="Times New Roman"/>
                <w:color w:val="000000"/>
                <w:szCs w:val="20"/>
                <w:lang w:eastAsia="en-AU"/>
              </w:rPr>
              <w:t>Victorian Murray</w:t>
            </w:r>
          </w:p>
        </w:tc>
        <w:tc>
          <w:tcPr>
            <w:tcW w:w="3292" w:type="dxa"/>
            <w:hideMark/>
          </w:tcPr>
          <w:p w14:paraId="710C1012" w14:textId="77777777" w:rsidR="00CD2FAA" w:rsidRPr="00C45272" w:rsidRDefault="00CD2FAA">
            <w:pPr>
              <w:spacing w:after="0"/>
              <w:rPr>
                <w:rFonts w:eastAsia="Times New Roman"/>
                <w:szCs w:val="20"/>
                <w:lang w:eastAsia="en-AU"/>
              </w:rPr>
            </w:pPr>
            <w:r w:rsidRPr="00C45272">
              <w:rPr>
                <w:rFonts w:eastAsia="Times New Roman"/>
                <w:szCs w:val="20"/>
                <w:lang w:eastAsia="en-AU"/>
              </w:rPr>
              <w:t>Surface water</w:t>
            </w:r>
          </w:p>
        </w:tc>
        <w:tc>
          <w:tcPr>
            <w:tcW w:w="1431" w:type="dxa"/>
            <w:hideMark/>
          </w:tcPr>
          <w:p w14:paraId="76D168BD"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Operational</w:t>
            </w:r>
          </w:p>
        </w:tc>
        <w:tc>
          <w:tcPr>
            <w:tcW w:w="1728" w:type="dxa"/>
            <w:hideMark/>
          </w:tcPr>
          <w:p w14:paraId="5AAC1192"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13-Jun-20</w:t>
            </w:r>
          </w:p>
        </w:tc>
        <w:tc>
          <w:tcPr>
            <w:tcW w:w="1367" w:type="dxa"/>
            <w:shd w:val="clear" w:color="auto" w:fill="92D050"/>
            <w:hideMark/>
          </w:tcPr>
          <w:p w14:paraId="162AF212"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c>
          <w:tcPr>
            <w:tcW w:w="1367" w:type="dxa"/>
            <w:shd w:val="clear" w:color="auto" w:fill="92D050"/>
            <w:hideMark/>
          </w:tcPr>
          <w:p w14:paraId="089562D3"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c>
          <w:tcPr>
            <w:tcW w:w="1570" w:type="dxa"/>
            <w:shd w:val="clear" w:color="auto" w:fill="92D050"/>
            <w:hideMark/>
          </w:tcPr>
          <w:p w14:paraId="65FCFAAA"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r>
      <w:tr w:rsidR="00CD2FAA" w:rsidRPr="00C45272" w14:paraId="4507CA6F" w14:textId="77777777">
        <w:trPr>
          <w:trHeight w:val="397"/>
        </w:trPr>
        <w:tc>
          <w:tcPr>
            <w:tcW w:w="851" w:type="dxa"/>
            <w:hideMark/>
          </w:tcPr>
          <w:p w14:paraId="06B98E94" w14:textId="77777777" w:rsidR="00CD2FAA" w:rsidRPr="00C45272" w:rsidRDefault="00CD2FAA">
            <w:pPr>
              <w:spacing w:after="0"/>
              <w:rPr>
                <w:rFonts w:eastAsia="Times New Roman"/>
                <w:szCs w:val="20"/>
                <w:lang w:eastAsia="en-AU"/>
              </w:rPr>
            </w:pPr>
            <w:r w:rsidRPr="00C45272">
              <w:rPr>
                <w:rFonts w:eastAsia="Times New Roman"/>
                <w:szCs w:val="20"/>
                <w:lang w:eastAsia="en-AU"/>
              </w:rPr>
              <w:t>VIC</w:t>
            </w:r>
          </w:p>
        </w:tc>
        <w:tc>
          <w:tcPr>
            <w:tcW w:w="4150" w:type="dxa"/>
            <w:noWrap/>
            <w:hideMark/>
          </w:tcPr>
          <w:p w14:paraId="179F6796" w14:textId="77777777" w:rsidR="00CD2FAA" w:rsidRPr="00C45272" w:rsidRDefault="00CD2FAA">
            <w:pPr>
              <w:spacing w:after="0"/>
              <w:rPr>
                <w:rFonts w:eastAsia="Times New Roman"/>
                <w:color w:val="000000"/>
                <w:szCs w:val="20"/>
                <w:lang w:eastAsia="en-AU"/>
              </w:rPr>
            </w:pPr>
            <w:r w:rsidRPr="00C45272">
              <w:rPr>
                <w:rFonts w:eastAsia="Times New Roman"/>
                <w:color w:val="000000"/>
                <w:szCs w:val="20"/>
                <w:lang w:eastAsia="en-AU"/>
              </w:rPr>
              <w:t>Wimmera–Mallee (surface water)</w:t>
            </w:r>
          </w:p>
        </w:tc>
        <w:tc>
          <w:tcPr>
            <w:tcW w:w="3292" w:type="dxa"/>
            <w:hideMark/>
          </w:tcPr>
          <w:p w14:paraId="59559239" w14:textId="77777777" w:rsidR="00CD2FAA" w:rsidRPr="00C45272" w:rsidRDefault="00CD2FAA">
            <w:pPr>
              <w:spacing w:after="0"/>
              <w:rPr>
                <w:rFonts w:eastAsia="Times New Roman"/>
                <w:szCs w:val="20"/>
                <w:lang w:eastAsia="en-AU"/>
              </w:rPr>
            </w:pPr>
            <w:r w:rsidRPr="00C45272">
              <w:rPr>
                <w:rFonts w:eastAsia="Times New Roman"/>
                <w:szCs w:val="20"/>
                <w:lang w:eastAsia="en-AU"/>
              </w:rPr>
              <w:t>Surface water</w:t>
            </w:r>
          </w:p>
        </w:tc>
        <w:tc>
          <w:tcPr>
            <w:tcW w:w="1431" w:type="dxa"/>
            <w:hideMark/>
          </w:tcPr>
          <w:p w14:paraId="42D77F68"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Operational</w:t>
            </w:r>
          </w:p>
        </w:tc>
        <w:tc>
          <w:tcPr>
            <w:tcW w:w="1728" w:type="dxa"/>
            <w:hideMark/>
          </w:tcPr>
          <w:p w14:paraId="603F856E"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24-Sep-19</w:t>
            </w:r>
          </w:p>
        </w:tc>
        <w:tc>
          <w:tcPr>
            <w:tcW w:w="1367" w:type="dxa"/>
            <w:shd w:val="clear" w:color="auto" w:fill="92D050"/>
            <w:hideMark/>
          </w:tcPr>
          <w:p w14:paraId="7FEEC631"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c>
          <w:tcPr>
            <w:tcW w:w="1367" w:type="dxa"/>
            <w:shd w:val="clear" w:color="auto" w:fill="92D050"/>
            <w:hideMark/>
          </w:tcPr>
          <w:p w14:paraId="063641F6"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c>
          <w:tcPr>
            <w:tcW w:w="1570" w:type="dxa"/>
            <w:shd w:val="clear" w:color="auto" w:fill="92D050"/>
            <w:hideMark/>
          </w:tcPr>
          <w:p w14:paraId="6A8D2D17" w14:textId="77777777" w:rsidR="00CD2FAA" w:rsidRPr="00C45272" w:rsidRDefault="00CD2FAA">
            <w:pPr>
              <w:spacing w:after="0"/>
              <w:jc w:val="center"/>
              <w:rPr>
                <w:rFonts w:eastAsia="Times New Roman"/>
                <w:szCs w:val="20"/>
                <w:lang w:eastAsia="en-AU"/>
              </w:rPr>
            </w:pPr>
            <w:r w:rsidRPr="00C45272">
              <w:rPr>
                <w:rFonts w:eastAsia="Times New Roman"/>
                <w:szCs w:val="20"/>
                <w:lang w:eastAsia="en-AU"/>
              </w:rPr>
              <w:t>Yes</w:t>
            </w:r>
          </w:p>
        </w:tc>
      </w:tr>
    </w:tbl>
    <w:p w14:paraId="56EDE08F" w14:textId="77777777" w:rsidR="00CD2FAA" w:rsidRDefault="00CD2FAA" w:rsidP="00CD2FAA">
      <w:pPr>
        <w:rPr>
          <w:szCs w:val="20"/>
        </w:rPr>
        <w:sectPr w:rsidR="00CD2FAA" w:rsidSect="00CD2FAA">
          <w:pgSz w:w="16838" w:h="11906" w:orient="landscape"/>
          <w:pgMar w:top="1134" w:right="709" w:bottom="1134" w:left="816" w:header="425" w:footer="999" w:gutter="0"/>
          <w:cols w:space="708"/>
          <w:docGrid w:linePitch="360"/>
        </w:sectPr>
      </w:pPr>
    </w:p>
    <w:p w14:paraId="5B555EC1" w14:textId="77777777" w:rsidR="00CD2FAA" w:rsidRPr="00AD142C" w:rsidRDefault="00CD2FAA" w:rsidP="00CD2FAA">
      <w:pPr>
        <w:pStyle w:val="Heading3"/>
      </w:pPr>
      <w:bookmarkStart w:id="12" w:name="_Toc203485721"/>
      <w:r>
        <w:lastRenderedPageBreak/>
        <w:t>Uncertainty in Modelled Actual Take</w:t>
      </w:r>
      <w:bookmarkEnd w:id="12"/>
    </w:p>
    <w:p w14:paraId="186D67B8" w14:textId="49DE229C" w:rsidR="002B6BFC" w:rsidRPr="003042B7" w:rsidRDefault="00CD2FAA" w:rsidP="003042B7">
      <w:r w:rsidRPr="003042B7">
        <w:t>There is a reliance in the Murray</w:t>
      </w:r>
      <w:r w:rsidR="00CC7278">
        <w:t>–</w:t>
      </w:r>
      <w:r w:rsidRPr="003042B7">
        <w:t xml:space="preserve">Darling Basin on modelled take </w:t>
      </w:r>
      <w:r w:rsidR="00F65F41">
        <w:t>for some aspects of</w:t>
      </w:r>
      <w:r w:rsidRPr="003042B7">
        <w:t xml:space="preserve"> SDL reporting</w:t>
      </w:r>
      <w:r w:rsidR="00F65F41">
        <w:t>. In particular,</w:t>
      </w:r>
      <w:r w:rsidRPr="003042B7">
        <w:t xml:space="preserve"> for floodplain harvesting</w:t>
      </w:r>
      <w:r w:rsidR="008607BC" w:rsidRPr="003042B7">
        <w:t xml:space="preserve"> </w:t>
      </w:r>
      <w:r w:rsidR="00603BB6" w:rsidRPr="003042B7">
        <w:t>and</w:t>
      </w:r>
      <w:r w:rsidR="008607BC" w:rsidRPr="003042B7">
        <w:t xml:space="preserve"> runoff</w:t>
      </w:r>
      <w:r w:rsidR="000B37B0">
        <w:t xml:space="preserve"> </w:t>
      </w:r>
      <w:r w:rsidR="00106FB1" w:rsidRPr="003042B7">
        <w:t>(farm)</w:t>
      </w:r>
      <w:r w:rsidR="008607BC" w:rsidRPr="003042B7">
        <w:t xml:space="preserve"> dams</w:t>
      </w:r>
      <w:r w:rsidRPr="003042B7">
        <w:t xml:space="preserve">. </w:t>
      </w:r>
      <w:r w:rsidR="00D47E02">
        <w:t>Sometimes this is necessary, and sometimes methods can mature over time.</w:t>
      </w:r>
    </w:p>
    <w:p w14:paraId="07AC6F1E" w14:textId="669616AF" w:rsidR="00690B34" w:rsidRPr="003042B7" w:rsidRDefault="00387822" w:rsidP="003042B7">
      <w:r w:rsidRPr="003042B7">
        <w:t>T</w:t>
      </w:r>
      <w:r w:rsidR="00CD2FAA" w:rsidRPr="003042B7">
        <w:t>he</w:t>
      </w:r>
      <w:r w:rsidR="00F65F41">
        <w:t>re are</w:t>
      </w:r>
      <w:r w:rsidR="00D47E02">
        <w:t xml:space="preserve"> </w:t>
      </w:r>
      <w:r w:rsidR="00CD2FAA" w:rsidRPr="003042B7">
        <w:t xml:space="preserve">risks around the uncertainties in the modelling used by Basin States to determine </w:t>
      </w:r>
      <w:r w:rsidR="00480FFA" w:rsidRPr="003042B7">
        <w:t xml:space="preserve">actual </w:t>
      </w:r>
      <w:r w:rsidR="00CD2FAA" w:rsidRPr="003042B7">
        <w:t>water take particularly for floodplain harvesting</w:t>
      </w:r>
      <w:r w:rsidR="001528BB" w:rsidRPr="003042B7">
        <w:t xml:space="preserve"> and runoff dams</w:t>
      </w:r>
      <w:r w:rsidR="00CD2FAA" w:rsidRPr="003042B7">
        <w:t xml:space="preserve">. </w:t>
      </w:r>
      <w:r w:rsidR="00F65F41">
        <w:rPr>
          <w:rFonts w:cs="Segoe UI"/>
          <w:color w:val="424242"/>
          <w:shd w:val="clear" w:color="auto" w:fill="FAFAFA"/>
        </w:rPr>
        <w:t>Modelled</w:t>
      </w:r>
      <w:r w:rsidR="006178FD" w:rsidRPr="00705370">
        <w:rPr>
          <w:rFonts w:cs="Segoe UI"/>
          <w:color w:val="424242"/>
          <w:shd w:val="clear" w:color="auto" w:fill="FAFAFA"/>
        </w:rPr>
        <w:t xml:space="preserve"> estimates for floodplain </w:t>
      </w:r>
      <w:r w:rsidR="004036D4" w:rsidRPr="00705370">
        <w:rPr>
          <w:rFonts w:cs="Segoe UI"/>
          <w:color w:val="424242"/>
          <w:shd w:val="clear" w:color="auto" w:fill="FAFAFA"/>
        </w:rPr>
        <w:t>harvesting,</w:t>
      </w:r>
      <w:r w:rsidR="006178FD" w:rsidRPr="00705370">
        <w:rPr>
          <w:rFonts w:cs="Segoe UI"/>
          <w:color w:val="424242"/>
          <w:shd w:val="clear" w:color="auto" w:fill="FAFAFA"/>
        </w:rPr>
        <w:t xml:space="preserve"> and runoff dams carry uncertainty. </w:t>
      </w:r>
      <w:r w:rsidR="00F65F41">
        <w:t>Limited</w:t>
      </w:r>
      <w:r w:rsidR="00690B34" w:rsidRPr="003042B7">
        <w:t xml:space="preserve"> transparency around modelled figures</w:t>
      </w:r>
      <w:r w:rsidR="00056C95">
        <w:t>, particularly</w:t>
      </w:r>
      <w:r w:rsidR="00690B34" w:rsidRPr="003042B7">
        <w:t xml:space="preserve"> </w:t>
      </w:r>
      <w:r w:rsidR="002770C5" w:rsidRPr="003042B7">
        <w:t>for floodplain harvesting</w:t>
      </w:r>
      <w:r w:rsidR="00204633">
        <w:t xml:space="preserve"> </w:t>
      </w:r>
      <w:r w:rsidR="00690B34" w:rsidRPr="003042B7">
        <w:t>makes it difficult to examine how these modelled figures are calculated and lowers confidence in their accuracy and consistency.</w:t>
      </w:r>
      <w:r w:rsidR="009F34AF" w:rsidRPr="003042B7">
        <w:t xml:space="preserve"> </w:t>
      </w:r>
      <w:r w:rsidR="00480FFA" w:rsidRPr="003042B7">
        <w:t>Th</w:t>
      </w:r>
      <w:r w:rsidR="0066787D" w:rsidRPr="003042B7">
        <w:t>is</w:t>
      </w:r>
      <w:r w:rsidR="00480FFA" w:rsidRPr="003042B7">
        <w:t xml:space="preserve"> potential inaccuracy identified in Basin States reporting </w:t>
      </w:r>
      <w:r w:rsidR="00F65F41">
        <w:t>indicates</w:t>
      </w:r>
      <w:r w:rsidR="00480FFA" w:rsidRPr="003042B7">
        <w:t xml:space="preserve"> a risk to the effective assessment of SDL compliance.</w:t>
      </w:r>
    </w:p>
    <w:p w14:paraId="3B7F8C06" w14:textId="72A225FE" w:rsidR="003D6843" w:rsidRDefault="003D6843" w:rsidP="000E7CA8">
      <w:r>
        <w:t>A</w:t>
      </w:r>
      <w:r w:rsidR="009E598F" w:rsidRPr="003042B7">
        <w:t xml:space="preserve">ccredited </w:t>
      </w:r>
      <w:r w:rsidR="00EB5F8F">
        <w:t>water resource plans</w:t>
      </w:r>
      <w:r w:rsidR="009E598F" w:rsidRPr="003042B7">
        <w:t xml:space="preserve"> allow for Basin State jurisdictions to quote multi-year average values for actual take, rather than estimates that have been tailored to the year in question. The use of outdated data and annual averages </w:t>
      </w:r>
      <w:r w:rsidR="00FE1B2D" w:rsidRPr="003042B7">
        <w:t>to infor</w:t>
      </w:r>
      <w:r w:rsidR="007355C1" w:rsidRPr="003042B7">
        <w:t xml:space="preserve">m the Registers of Take </w:t>
      </w:r>
      <w:r w:rsidR="009E598F" w:rsidRPr="003042B7">
        <w:t xml:space="preserve">may underestimate </w:t>
      </w:r>
      <w:r w:rsidR="00204633">
        <w:t xml:space="preserve">or overestimate </w:t>
      </w:r>
      <w:r w:rsidR="009E598F" w:rsidRPr="003042B7">
        <w:t>current water take for both floodplain harvesting</w:t>
      </w:r>
      <w:r w:rsidR="005516F3" w:rsidRPr="003042B7">
        <w:t xml:space="preserve"> </w:t>
      </w:r>
      <w:r w:rsidR="007355C1" w:rsidRPr="003042B7">
        <w:t xml:space="preserve">and </w:t>
      </w:r>
      <w:r w:rsidR="009E598F" w:rsidRPr="003042B7">
        <w:t xml:space="preserve">runoff dams </w:t>
      </w:r>
      <w:r w:rsidR="007355C1" w:rsidRPr="003042B7">
        <w:t xml:space="preserve">and </w:t>
      </w:r>
      <w:r>
        <w:t>may</w:t>
      </w:r>
      <w:r w:rsidR="001B5305" w:rsidRPr="003042B7">
        <w:t xml:space="preserve"> not represent </w:t>
      </w:r>
      <w:r w:rsidR="00F65F41">
        <w:t>the actual volume</w:t>
      </w:r>
      <w:r w:rsidR="001B5305" w:rsidRPr="003042B7">
        <w:t xml:space="preserve"> of water take on ground</w:t>
      </w:r>
      <w:r w:rsidR="009E598F" w:rsidRPr="003042B7">
        <w:t xml:space="preserve">. </w:t>
      </w:r>
    </w:p>
    <w:p w14:paraId="5B193CB1" w14:textId="38A0A10D" w:rsidR="00255240" w:rsidRPr="00655801" w:rsidRDefault="009E598F" w:rsidP="000E7CA8">
      <w:r w:rsidRPr="003042B7">
        <w:t xml:space="preserve">The </w:t>
      </w:r>
      <w:r w:rsidR="007F0A30" w:rsidRPr="003042B7">
        <w:t>a</w:t>
      </w:r>
      <w:r w:rsidR="009F34AF" w:rsidRPr="003042B7">
        <w:t xml:space="preserve">ccredited </w:t>
      </w:r>
      <w:r w:rsidR="002C55E2">
        <w:t>water resource plan</w:t>
      </w:r>
      <w:r w:rsidR="002C55E2" w:rsidRPr="003042B7">
        <w:t>s</w:t>
      </w:r>
      <w:r w:rsidR="009F34AF" w:rsidRPr="003042B7">
        <w:t xml:space="preserve"> </w:t>
      </w:r>
      <w:r w:rsidRPr="003042B7">
        <w:t xml:space="preserve">also </w:t>
      </w:r>
      <w:r w:rsidR="009F34AF" w:rsidRPr="003042B7">
        <w:t xml:space="preserve">allow for the Annual Permitted Take (APT) and the Annual Actual </w:t>
      </w:r>
      <w:r w:rsidR="009F34AF" w:rsidRPr="00655801">
        <w:t>Take (AAT) to be the same number (ie APT = AAT)</w:t>
      </w:r>
      <w:r w:rsidR="000233BB" w:rsidRPr="00655801">
        <w:t xml:space="preserve"> for these modelled components of </w:t>
      </w:r>
      <w:r w:rsidR="006F7626" w:rsidRPr="00655801">
        <w:t>AAT</w:t>
      </w:r>
      <w:r w:rsidR="009F34AF" w:rsidRPr="00655801">
        <w:t xml:space="preserve">. </w:t>
      </w:r>
      <w:r w:rsidR="002143A9" w:rsidRPr="00655801">
        <w:t>As a result of the</w:t>
      </w:r>
      <w:r w:rsidR="009F34AF" w:rsidRPr="00655801">
        <w:t xml:space="preserve"> design, the reported AAT </w:t>
      </w:r>
      <w:r w:rsidR="00257187" w:rsidRPr="00655801">
        <w:t xml:space="preserve">for SDL compliance </w:t>
      </w:r>
      <w:r w:rsidR="00E93FEE">
        <w:t>can be</w:t>
      </w:r>
      <w:r w:rsidR="009F34AF" w:rsidRPr="00655801">
        <w:t xml:space="preserve"> equal to </w:t>
      </w:r>
      <w:r w:rsidR="002143A9" w:rsidRPr="00655801">
        <w:t>the APT</w:t>
      </w:r>
      <w:r w:rsidR="00E93FEE">
        <w:t xml:space="preserve"> from the same model</w:t>
      </w:r>
      <w:r w:rsidR="002143A9" w:rsidRPr="00655801">
        <w:t>, ensuring that</w:t>
      </w:r>
      <w:r w:rsidR="0009401A" w:rsidRPr="00655801">
        <w:t xml:space="preserve"> </w:t>
      </w:r>
      <w:r w:rsidR="003D6843" w:rsidRPr="00655801">
        <w:t>a variance</w:t>
      </w:r>
      <w:r w:rsidR="0009401A" w:rsidRPr="00655801">
        <w:t xml:space="preserve"> </w:t>
      </w:r>
      <w:r w:rsidR="002143A9" w:rsidRPr="00655801">
        <w:t>cannot occur</w:t>
      </w:r>
      <w:r w:rsidR="00E46B96" w:rsidRPr="00655801">
        <w:t xml:space="preserve"> under this framework. </w:t>
      </w:r>
      <w:r w:rsidR="00CA2952" w:rsidRPr="00655801">
        <w:t>This renders</w:t>
      </w:r>
      <w:r w:rsidR="007F56D1" w:rsidRPr="00655801">
        <w:t xml:space="preserve"> Commonwealth </w:t>
      </w:r>
      <w:r w:rsidR="003D6843" w:rsidRPr="00655801">
        <w:t xml:space="preserve">SDL accounting and </w:t>
      </w:r>
      <w:r w:rsidR="007F56D1" w:rsidRPr="00655801">
        <w:t xml:space="preserve">compliance </w:t>
      </w:r>
      <w:r w:rsidR="003D6843" w:rsidRPr="00655801">
        <w:t xml:space="preserve">as </w:t>
      </w:r>
      <w:r w:rsidR="007F56D1" w:rsidRPr="00655801">
        <w:t>ineffective</w:t>
      </w:r>
      <w:r w:rsidR="003D6843" w:rsidRPr="00655801">
        <w:t xml:space="preserve"> tools</w:t>
      </w:r>
      <w:r w:rsidR="007F56D1" w:rsidRPr="00655801">
        <w:t xml:space="preserve"> for managing </w:t>
      </w:r>
      <w:r w:rsidR="001803BA" w:rsidRPr="00655801">
        <w:t>these components of take</w:t>
      </w:r>
      <w:r w:rsidR="007F56D1" w:rsidRPr="00655801">
        <w:t xml:space="preserve"> under the Plan.</w:t>
      </w:r>
    </w:p>
    <w:p w14:paraId="027975DD" w14:textId="436D5785" w:rsidR="00655801" w:rsidRPr="00655801" w:rsidRDefault="00F30DC7" w:rsidP="000E7CA8">
      <w:r w:rsidRPr="00655801">
        <w:t xml:space="preserve">While </w:t>
      </w:r>
      <w:r w:rsidR="00F65F41" w:rsidRPr="00655801">
        <w:t xml:space="preserve">some </w:t>
      </w:r>
      <w:r w:rsidRPr="00655801">
        <w:t xml:space="preserve">progress has been made in licensing and metering floodplain harvesting, the delayed incorporation of improved measurement data into </w:t>
      </w:r>
      <w:r w:rsidR="00655801" w:rsidRPr="00655801">
        <w:t>SDL accounting and reporting</w:t>
      </w:r>
      <w:r w:rsidRPr="00655801">
        <w:t xml:space="preserve"> has resulted in a disconnect between reported AAT and current on-ground practices. This gap undermines the reliability of SDL compliance assessments. </w:t>
      </w:r>
      <w:r w:rsidR="00655801" w:rsidRPr="00655801">
        <w:t>It is important to note that inaccuracy can either under-represent take or alternatively over-represent take. Both are undesirable.</w:t>
      </w:r>
    </w:p>
    <w:p w14:paraId="14152CB4" w14:textId="56FB2A59" w:rsidR="00203E42" w:rsidRDefault="00F30DC7" w:rsidP="000E7CA8">
      <w:r w:rsidRPr="00655801">
        <w:t xml:space="preserve">Although reforms were intended to enable measurement of actual take, implementation </w:t>
      </w:r>
      <w:r w:rsidR="00655801" w:rsidRPr="00655801">
        <w:t>is occurring at a slow rate</w:t>
      </w:r>
      <w:r w:rsidRPr="00655801">
        <w:t xml:space="preserve">. At present, there is no defined pathway or timeline for transitioning floodplain harvesting from modelled to metered </w:t>
      </w:r>
      <w:r w:rsidR="00655801" w:rsidRPr="00655801">
        <w:t xml:space="preserve">annual actual </w:t>
      </w:r>
      <w:r w:rsidRPr="00655801">
        <w:t xml:space="preserve">take. Addressing this issue is a matter of </w:t>
      </w:r>
      <w:r w:rsidR="00655801" w:rsidRPr="00655801">
        <w:t>importance</w:t>
      </w:r>
      <w:r w:rsidRPr="00655801">
        <w:t>.</w:t>
      </w:r>
    </w:p>
    <w:p w14:paraId="4D5FFC79" w14:textId="1981653A" w:rsidR="00CD2FAA" w:rsidRDefault="00CD2FAA" w:rsidP="00CD2FAA">
      <w:pPr>
        <w:pStyle w:val="Heading1"/>
        <w:spacing w:after="0" w:line="276" w:lineRule="auto"/>
        <w:rPr>
          <w:rFonts w:ascii="Aptos" w:eastAsia="Aptos" w:hAnsi="Aptos" w:cs="Aptos"/>
          <w:sz w:val="24"/>
          <w:highlight w:val="yellow"/>
        </w:rPr>
      </w:pPr>
      <w:bookmarkStart w:id="13" w:name="_Toc203485722"/>
      <w:r>
        <w:lastRenderedPageBreak/>
        <w:t>Trends in SDL Compliance</w:t>
      </w:r>
      <w:bookmarkEnd w:id="13"/>
    </w:p>
    <w:p w14:paraId="48A90479" w14:textId="0C7957FB" w:rsidR="00F4574C" w:rsidRPr="00240F71" w:rsidRDefault="00F4574C" w:rsidP="00F4574C">
      <w:r w:rsidRPr="00240F71">
        <w:t>The focus on SDL</w:t>
      </w:r>
      <w:r w:rsidR="00433924" w:rsidRPr="00240F71">
        <w:t xml:space="preserve"> compliance</w:t>
      </w:r>
      <w:r w:rsidRPr="00240F71">
        <w:t xml:space="preserve"> trends analyses</w:t>
      </w:r>
      <w:r w:rsidRPr="00240F71" w:rsidDel="00D21F54">
        <w:t xml:space="preserve"> </w:t>
      </w:r>
      <w:r w:rsidR="00065F7D" w:rsidRPr="00240F71">
        <w:t xml:space="preserve">in this </w:t>
      </w:r>
      <w:r w:rsidR="00F8323B" w:rsidRPr="00240F71">
        <w:t xml:space="preserve">section of the report </w:t>
      </w:r>
      <w:r w:rsidRPr="00240F71">
        <w:t xml:space="preserve">echoes the IGWC’s </w:t>
      </w:r>
      <w:hyperlink r:id="rId26">
        <w:r w:rsidRPr="00240F71">
          <w:rPr>
            <w:rStyle w:val="Hyperlink"/>
          </w:rPr>
          <w:t>Strategic Plan 2023-2026</w:t>
        </w:r>
      </w:hyperlink>
      <w:r w:rsidRPr="00240F71">
        <w:t>, to achieve transparency in the management of water resources and to draw attention to community concerns about water use in the Basin.</w:t>
      </w:r>
    </w:p>
    <w:p w14:paraId="171D6A08" w14:textId="1DFB2290" w:rsidR="00F4574C" w:rsidRPr="00240F71" w:rsidRDefault="00F4574C" w:rsidP="00F4574C">
      <w:r w:rsidRPr="00240F71">
        <w:t xml:space="preserve">Analysis is part of the IGWCs evidence-based tool kit to assess compliance systems and evaluate if </w:t>
      </w:r>
      <w:r w:rsidR="00CA0A8B">
        <w:t>the</w:t>
      </w:r>
      <w:r w:rsidR="00CA0A8B" w:rsidRPr="00240F71">
        <w:t xml:space="preserve"> </w:t>
      </w:r>
      <w:r w:rsidRPr="00240F71">
        <w:t>Plan outcomes are being delivered.</w:t>
      </w:r>
    </w:p>
    <w:p w14:paraId="5E7960BD" w14:textId="77777777" w:rsidR="00F4574C" w:rsidRDefault="00F4574C" w:rsidP="00F4574C">
      <w:r w:rsidRPr="00240F71">
        <w:t>Moving forward,</w:t>
      </w:r>
      <w:r>
        <w:t xml:space="preserve"> active compliance monitoring will remain a fundamental component of the SDL compliance assessment framework, ensuring continuous transparency, timely identification of compliance issues, and maintaining the highest standards of accountability throughout the process.</w:t>
      </w:r>
    </w:p>
    <w:p w14:paraId="2F1A7A2A" w14:textId="77777777" w:rsidR="00CD2FAA" w:rsidRDefault="00CD2FAA" w:rsidP="00CD2FAA">
      <w:pPr>
        <w:pStyle w:val="Heading3"/>
      </w:pPr>
      <w:bookmarkStart w:id="14" w:name="_Toc203485723"/>
      <w:r>
        <w:t>Climatic context</w:t>
      </w:r>
      <w:bookmarkEnd w:id="14"/>
    </w:p>
    <w:p w14:paraId="25CD61D2" w14:textId="3F1B481F" w:rsidR="00CD2FAA" w:rsidRDefault="001F1487" w:rsidP="00CD2FAA">
      <w:r>
        <w:t xml:space="preserve">Between 2020 and </w:t>
      </w:r>
      <w:r w:rsidR="00CD2FAA">
        <w:t>2022</w:t>
      </w:r>
      <w:r w:rsidR="004C4D2B">
        <w:t>,</w:t>
      </w:r>
      <w:r w:rsidR="00CD2FAA">
        <w:t xml:space="preserve"> Australia experienced a three year (“triple – dip”) La Niña event, which brought higher than average rainfall to much of the Murray</w:t>
      </w:r>
      <w:r w:rsidR="00CC7278">
        <w:t>–</w:t>
      </w:r>
      <w:r w:rsidR="00CD2FAA">
        <w:t xml:space="preserve">Darling Basin, with intense rainfall contributing to widespread flooding in river systems. The Basin experienced its </w:t>
      </w:r>
      <w:r w:rsidR="00CD2FAA" w:rsidRPr="00910F75">
        <w:t xml:space="preserve">wettest October and </w:t>
      </w:r>
      <w:r w:rsidR="00CD2FAA">
        <w:t>S</w:t>
      </w:r>
      <w:r w:rsidR="00CD2FAA" w:rsidRPr="00910F75">
        <w:t xml:space="preserve">pring </w:t>
      </w:r>
      <w:r w:rsidR="00CD2FAA">
        <w:t>season</w:t>
      </w:r>
      <w:r w:rsidR="00CD2FAA" w:rsidRPr="00910F75">
        <w:t xml:space="preserve"> on record</w:t>
      </w:r>
      <w:r w:rsidR="00914702">
        <w:t xml:space="preserve"> in 2022</w:t>
      </w:r>
      <w:r w:rsidR="00CD2FAA">
        <w:t>.</w:t>
      </w:r>
    </w:p>
    <w:p w14:paraId="612B8A0E" w14:textId="090C6C02" w:rsidR="00E45B06" w:rsidRDefault="00CD2FAA" w:rsidP="00CD2FAA">
      <w:r>
        <w:t xml:space="preserve">Preceding the La Niña events, the South-East of Australia experienced an intense drought called the Tinderbox Drought from 2017 to 2019. </w:t>
      </w:r>
      <w:r w:rsidRPr="006D2906">
        <w:t xml:space="preserve"> </w:t>
      </w:r>
      <w:r>
        <w:t xml:space="preserve">This drought impacted stream flow and groundwater recharge across catchments, and water security for Basin communities. </w:t>
      </w:r>
      <w:r w:rsidRPr="006D2906">
        <w:t>As a result, the La Niña recovery was still much slower to achieve needed aquifer and catchment recharge given the antecedent conditions from the extended Tinderbox drought period.</w:t>
      </w:r>
    </w:p>
    <w:p w14:paraId="379E0B8E" w14:textId="14272CEA" w:rsidR="00CD2FAA" w:rsidRDefault="00CD2FAA" w:rsidP="00CD2FAA">
      <w:r>
        <w:t>Throughout much of 2024, weather patterns across southern Australia were dominated by slow-moving high-pressure systems which resulted in persistent warm and dry conditions. This is presently resulting in below average streamflow across much of southern Australia. Long-range forecasts suggest that these conditions are likely to continue into the southern hemisphere winter.</w:t>
      </w:r>
    </w:p>
    <w:p w14:paraId="452E1D81" w14:textId="3DF2D850" w:rsidR="00CD2FAA" w:rsidRDefault="00CD2FAA" w:rsidP="00CD2FAA">
      <w:r>
        <w:t>In contrast, the northern Basin has experienced significant flooding on the Basin margins, with significantly increased flows expected along the western catchments.</w:t>
      </w:r>
    </w:p>
    <w:p w14:paraId="198D2155" w14:textId="28613D98" w:rsidR="00C0209D" w:rsidRDefault="009E21BC" w:rsidP="00CD2FAA">
      <w:r>
        <w:t xml:space="preserve">SDL accounting commenced on 1 July 2019, and this report examines trends over the subsequent five years to 30 June 2024. </w:t>
      </w:r>
      <w:r w:rsidR="00CD2FAA">
        <w:t>Overall, most</w:t>
      </w:r>
      <w:r w:rsidR="00CD2FAA" w:rsidRPr="00B372D2">
        <w:t xml:space="preserve"> SDL resource units appear to be trending toward higher water balance credits</w:t>
      </w:r>
      <w:r w:rsidR="00CD2FAA">
        <w:t>.</w:t>
      </w:r>
      <w:r w:rsidR="00CD2FAA" w:rsidRPr="00B372D2">
        <w:t xml:space="preserve"> </w:t>
      </w:r>
      <w:r w:rsidR="00CD2FAA">
        <w:t>This</w:t>
      </w:r>
      <w:r w:rsidR="00CD2FAA" w:rsidDel="00C14527">
        <w:t xml:space="preserve"> </w:t>
      </w:r>
      <w:r w:rsidR="00C14527">
        <w:t xml:space="preserve">likely </w:t>
      </w:r>
      <w:r w:rsidR="00CD2FAA">
        <w:t>reflect</w:t>
      </w:r>
      <w:r w:rsidR="00C14527">
        <w:t>s</w:t>
      </w:r>
      <w:r w:rsidR="00CD2FAA">
        <w:t xml:space="preserve"> the relatively dry </w:t>
      </w:r>
      <w:r w:rsidR="00C14527">
        <w:t>d</w:t>
      </w:r>
      <w:r w:rsidR="00CD2FAA">
        <w:t xml:space="preserve">rought period, during which water take was reduced, followed by a </w:t>
      </w:r>
      <w:r w:rsidR="00F8570A">
        <w:t>three-year</w:t>
      </w:r>
      <w:r w:rsidR="00157C90">
        <w:t>,</w:t>
      </w:r>
      <w:r w:rsidR="00F8570A">
        <w:t xml:space="preserve"> </w:t>
      </w:r>
      <w:r w:rsidR="00CD2FAA">
        <w:t>wetter-than-average period contributing to the accumulation of credits in subsequent years.</w:t>
      </w:r>
    </w:p>
    <w:p w14:paraId="3A9559B8" w14:textId="77777777" w:rsidR="00CD2FAA" w:rsidRDefault="00CD2FAA" w:rsidP="00CD2FAA">
      <w:pPr>
        <w:pStyle w:val="Heading3"/>
      </w:pPr>
      <w:bookmarkStart w:id="15" w:name="_Toc203485724"/>
      <w:r>
        <w:t>SDL Trends since implementation</w:t>
      </w:r>
      <w:bookmarkEnd w:id="15"/>
    </w:p>
    <w:p w14:paraId="0E9FCDD3" w14:textId="70E15A12" w:rsidR="00CD2FAA" w:rsidRDefault="00CD2FAA" w:rsidP="00CD2FAA">
      <w:r>
        <w:t>The IGWC take</w:t>
      </w:r>
      <w:r w:rsidR="009F0CFB">
        <w:t>s</w:t>
      </w:r>
      <w:r>
        <w:t xml:space="preserve"> an active approach to compliance monitoring, with the aim of identifying SDL resource units that risk SDL non-compliance before it occurs</w:t>
      </w:r>
      <w:r w:rsidR="00D65980">
        <w:t>;</w:t>
      </w:r>
      <w:r w:rsidR="007564A6">
        <w:t xml:space="preserve"> </w:t>
      </w:r>
      <w:r w:rsidR="008834EC">
        <w:t>case</w:t>
      </w:r>
      <w:r w:rsidR="00696AAF">
        <w:t xml:space="preserve"> studies</w:t>
      </w:r>
      <w:r w:rsidR="007564A6">
        <w:t xml:space="preserve"> of </w:t>
      </w:r>
      <w:r w:rsidR="00901692">
        <w:t>such</w:t>
      </w:r>
      <w:r w:rsidR="007564A6">
        <w:t xml:space="preserve"> are</w:t>
      </w:r>
      <w:r w:rsidR="007564A6" w:rsidRPr="00F007FF">
        <w:t xml:space="preserve"> </w:t>
      </w:r>
      <w:r w:rsidR="007564A6">
        <w:t>presented</w:t>
      </w:r>
      <w:r w:rsidR="007564A6" w:rsidRPr="00F007FF">
        <w:t xml:space="preserve"> below</w:t>
      </w:r>
      <w:r>
        <w:t>. Data has been collected and analysed since 2019-2020, the period at which point SDL compliance was originally meant to be enforced.</w:t>
      </w:r>
      <w:r w:rsidR="00B7339D">
        <w:t xml:space="preserve"> </w:t>
      </w:r>
      <w:r w:rsidR="00593BD1">
        <w:t xml:space="preserve">While </w:t>
      </w:r>
      <w:r w:rsidR="00DD548F">
        <w:t xml:space="preserve">several of </w:t>
      </w:r>
      <w:r w:rsidR="00593BD1">
        <w:t>the</w:t>
      </w:r>
      <w:r w:rsidR="00DD548F">
        <w:t>se case studies</w:t>
      </w:r>
      <w:r w:rsidR="00593BD1">
        <w:t xml:space="preserve"> </w:t>
      </w:r>
      <w:r w:rsidR="00434E9B">
        <w:t>are not subject to compliance assessment until the 202</w:t>
      </w:r>
      <w:r w:rsidR="00E43643">
        <w:t xml:space="preserve">4-2025 water accounting year, </w:t>
      </w:r>
      <w:r w:rsidR="002A63E2">
        <w:t xml:space="preserve">and </w:t>
      </w:r>
      <w:r w:rsidR="006628F1">
        <w:t xml:space="preserve">their water accounts </w:t>
      </w:r>
      <w:r w:rsidR="002A63E2">
        <w:t xml:space="preserve">will be </w:t>
      </w:r>
      <w:r w:rsidR="006628F1">
        <w:t xml:space="preserve">subject to </w:t>
      </w:r>
      <w:r w:rsidR="00903610">
        <w:t>an initial one-off adjustment</w:t>
      </w:r>
      <w:r w:rsidR="00D361FE">
        <w:t xml:space="preserve">, they </w:t>
      </w:r>
      <w:r w:rsidR="00663019">
        <w:t xml:space="preserve">serve to illustrate how </w:t>
      </w:r>
      <w:r w:rsidR="00C67236">
        <w:t xml:space="preserve">the IGWC </w:t>
      </w:r>
      <w:r w:rsidR="00A2556E">
        <w:t>utilises data and identifies risk.</w:t>
      </w:r>
      <w:r>
        <w:t xml:space="preserve"> For interpretation of graphs presented in this section, please see Figures </w:t>
      </w:r>
      <w:r w:rsidR="002054D2">
        <w:t>4</w:t>
      </w:r>
      <w:r>
        <w:t xml:space="preserve"> and </w:t>
      </w:r>
      <w:r w:rsidR="002054D2">
        <w:t>5</w:t>
      </w:r>
      <w:r>
        <w:t xml:space="preserve"> of this report.</w:t>
      </w:r>
    </w:p>
    <w:p w14:paraId="0EC26F61" w14:textId="0C0DCDAC" w:rsidR="00091C56" w:rsidRDefault="00D5434E" w:rsidP="00091C56">
      <w:r w:rsidRPr="00D5434E">
        <w:t>Water take under all water resource plans was examined for the entire 2023-2024 water accounting year even though 15 of the 33 WRPs were not accredited.</w:t>
      </w:r>
      <w:r>
        <w:t xml:space="preserve"> </w:t>
      </w:r>
      <w:r w:rsidR="00091C56">
        <w:t xml:space="preserve">This analysis was conducted using the interim Registers of Take data in the case of non-accredited </w:t>
      </w:r>
      <w:r w:rsidR="00112876">
        <w:rPr>
          <w:rFonts w:eastAsia="Verdana" w:cs="Verdana"/>
          <w:szCs w:val="20"/>
        </w:rPr>
        <w:t>water resource plan</w:t>
      </w:r>
      <w:r w:rsidR="00091C56">
        <w:t>s. Each year until the water resource plan is accredited, a new temporary water accounting method is agreed upon by the New South Wales Basin State agency and the Authority. The bilateral methods in 2023-2024 are retrospectively applied to previous years from 1 July 2019. The total effect is presented as a one-off adjustment to the cumulative balance (debit or credit) for each SDL resource unit, on the interim Registers of Take.</w:t>
      </w:r>
    </w:p>
    <w:p w14:paraId="47810D7C" w14:textId="77777777" w:rsidR="008C1FCE" w:rsidRDefault="008C1FCE" w:rsidP="008C1FCE">
      <w:pPr>
        <w:rPr>
          <w:noProof/>
        </w:rPr>
      </w:pPr>
    </w:p>
    <w:p w14:paraId="301DBCF2" w14:textId="77777777" w:rsidR="00697ACF" w:rsidRDefault="00697ACF" w:rsidP="008C1FCE">
      <w:pPr>
        <w:rPr>
          <w:noProof/>
        </w:rPr>
      </w:pPr>
    </w:p>
    <w:p w14:paraId="54256B98" w14:textId="77777777" w:rsidR="00697ACF" w:rsidRDefault="00697ACF" w:rsidP="008C1FCE">
      <w:pPr>
        <w:rPr>
          <w:noProof/>
        </w:rPr>
      </w:pPr>
    </w:p>
    <w:p w14:paraId="00BC5BF5" w14:textId="77777777" w:rsidR="00697ACF" w:rsidRDefault="00697ACF" w:rsidP="008C1FCE">
      <w:pPr>
        <w:rPr>
          <w:noProof/>
        </w:rPr>
      </w:pPr>
    </w:p>
    <w:p w14:paraId="7E400CE9" w14:textId="77777777" w:rsidR="00697ACF" w:rsidRDefault="00697ACF" w:rsidP="008C1FCE">
      <w:pPr>
        <w:rPr>
          <w:noProof/>
        </w:rPr>
      </w:pPr>
    </w:p>
    <w:p w14:paraId="3CEF244A" w14:textId="77777777" w:rsidR="008C1FCE" w:rsidRDefault="008C1FCE" w:rsidP="008C1FCE">
      <w:r>
        <w:rPr>
          <w:noProof/>
        </w:rPr>
        <w:drawing>
          <wp:inline distT="0" distB="0" distL="0" distR="0" wp14:anchorId="606D13B7" wp14:editId="68325F82">
            <wp:extent cx="6317673" cy="4610106"/>
            <wp:effectExtent l="0" t="0" r="6985" b="0"/>
            <wp:docPr id="124881376" name="Picture 1" descr="A graph depicting an example of the surface water compliance threshold and compliance monito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1376" name="Picture 1" descr="A graph depicting an example of the surface water compliance threshold and compliance monitoring. "/>
                    <pic:cNvPicPr/>
                  </pic:nvPicPr>
                  <pic:blipFill>
                    <a:blip r:embed="rId27">
                      <a:extLst>
                        <a:ext uri="{28A0092B-C50C-407E-A947-70E740481C1C}">
                          <a14:useLocalDpi xmlns:a14="http://schemas.microsoft.com/office/drawing/2010/main" val="0"/>
                        </a:ext>
                      </a:extLst>
                    </a:blip>
                    <a:stretch>
                      <a:fillRect/>
                    </a:stretch>
                  </pic:blipFill>
                  <pic:spPr>
                    <a:xfrm>
                      <a:off x="0" y="0"/>
                      <a:ext cx="6342642" cy="4628326"/>
                    </a:xfrm>
                    <a:prstGeom prst="rect">
                      <a:avLst/>
                    </a:prstGeom>
                  </pic:spPr>
                </pic:pic>
              </a:graphicData>
            </a:graphic>
          </wp:inline>
        </w:drawing>
      </w:r>
    </w:p>
    <w:p w14:paraId="3D500758" w14:textId="6B48B7BB" w:rsidR="008C1FCE" w:rsidRPr="00E326C8" w:rsidRDefault="008C1FCE" w:rsidP="008C1FCE">
      <w:pPr>
        <w:pStyle w:val="Caption"/>
        <w:rPr>
          <w:i w:val="0"/>
          <w:iCs w:val="0"/>
          <w:color w:val="auto"/>
          <w:sz w:val="20"/>
          <w:szCs w:val="22"/>
        </w:rPr>
      </w:pPr>
      <w:r w:rsidRPr="002054D2">
        <w:rPr>
          <w:b/>
          <w:bCs/>
          <w:i w:val="0"/>
          <w:iCs w:val="0"/>
          <w:color w:val="auto"/>
        </w:rPr>
        <w:t xml:space="preserve">Figure </w:t>
      </w:r>
      <w:r w:rsidR="002054D2" w:rsidRPr="002054D2">
        <w:rPr>
          <w:b/>
          <w:bCs/>
          <w:i w:val="0"/>
          <w:iCs w:val="0"/>
          <w:color w:val="auto"/>
        </w:rPr>
        <w:t>4</w:t>
      </w:r>
      <w:r w:rsidRPr="002054D2">
        <w:rPr>
          <w:b/>
          <w:bCs/>
          <w:i w:val="0"/>
          <w:iCs w:val="0"/>
          <w:color w:val="auto"/>
        </w:rPr>
        <w:t>:</w:t>
      </w:r>
      <w:r w:rsidRPr="002054D2">
        <w:rPr>
          <w:color w:val="auto"/>
        </w:rPr>
        <w:t xml:space="preserve"> </w:t>
      </w:r>
      <w:r w:rsidRPr="002054D2">
        <w:rPr>
          <w:i w:val="0"/>
          <w:iCs w:val="0"/>
          <w:color w:val="auto"/>
          <w:sz w:val="20"/>
          <w:szCs w:val="22"/>
        </w:rPr>
        <w:t xml:space="preserve">An example of the surface water compliance threshold and compliance monitoring. Data is presented </w:t>
      </w:r>
      <w:r w:rsidRPr="00E326C8">
        <w:rPr>
          <w:i w:val="0"/>
          <w:iCs w:val="0"/>
          <w:color w:val="auto"/>
          <w:sz w:val="20"/>
          <w:szCs w:val="22"/>
        </w:rPr>
        <w:t>as a percentage deviation from the SDL, with the y-axis inverted. The SDL Compliance Trigger plots above the zero line (-20% of the SDL) while the SDL plots as the x-axis. The Adjusted Cumulative Balance (ACB) is presented as a percentage of the SDL – if the ACB is a debit greater than 20%, it will plot above the Compliance Trigger. Normalising the data in this manner allows the scale of debits and credits to be comparable between different resource units with differing magnitudes of water take and minimises confusion due to SDL adjustments over time.</w:t>
      </w:r>
    </w:p>
    <w:p w14:paraId="42369A5A" w14:textId="77777777" w:rsidR="008C1FCE" w:rsidRDefault="008C1FCE" w:rsidP="008C1FCE">
      <w:pPr>
        <w:rPr>
          <w:noProof/>
        </w:rPr>
      </w:pPr>
    </w:p>
    <w:p w14:paraId="43CC514D" w14:textId="77777777" w:rsidR="008C1FCE" w:rsidRDefault="008C1FCE" w:rsidP="008C1FCE">
      <w:pPr>
        <w:rPr>
          <w:noProof/>
        </w:rPr>
      </w:pPr>
    </w:p>
    <w:p w14:paraId="46580C5C" w14:textId="77777777" w:rsidR="00D765EE" w:rsidRDefault="00D765EE" w:rsidP="008C1FCE">
      <w:pPr>
        <w:rPr>
          <w:noProof/>
        </w:rPr>
      </w:pPr>
    </w:p>
    <w:p w14:paraId="18DBCA17" w14:textId="77777777" w:rsidR="00D765EE" w:rsidRDefault="00D765EE" w:rsidP="008C1FCE">
      <w:pPr>
        <w:rPr>
          <w:noProof/>
        </w:rPr>
      </w:pPr>
    </w:p>
    <w:p w14:paraId="641A0CE0" w14:textId="77777777" w:rsidR="00D765EE" w:rsidRDefault="00D765EE" w:rsidP="008C1FCE">
      <w:pPr>
        <w:rPr>
          <w:noProof/>
        </w:rPr>
      </w:pPr>
    </w:p>
    <w:p w14:paraId="3DAF9D9B" w14:textId="77777777" w:rsidR="00D765EE" w:rsidRDefault="00D765EE" w:rsidP="008C1FCE">
      <w:pPr>
        <w:rPr>
          <w:noProof/>
        </w:rPr>
      </w:pPr>
    </w:p>
    <w:p w14:paraId="5892FEA9" w14:textId="77777777" w:rsidR="00D765EE" w:rsidRDefault="00D765EE" w:rsidP="008C1FCE">
      <w:pPr>
        <w:rPr>
          <w:noProof/>
        </w:rPr>
      </w:pPr>
    </w:p>
    <w:p w14:paraId="6843FE61" w14:textId="77777777" w:rsidR="00D765EE" w:rsidRDefault="00D765EE" w:rsidP="008C1FCE">
      <w:pPr>
        <w:rPr>
          <w:noProof/>
        </w:rPr>
      </w:pPr>
    </w:p>
    <w:p w14:paraId="6752ACD8" w14:textId="77777777" w:rsidR="00D765EE" w:rsidRDefault="00D765EE" w:rsidP="008C1FCE">
      <w:pPr>
        <w:rPr>
          <w:noProof/>
        </w:rPr>
      </w:pPr>
    </w:p>
    <w:p w14:paraId="5A5D4BA3" w14:textId="77777777" w:rsidR="00D765EE" w:rsidRDefault="00D765EE" w:rsidP="008C1FCE">
      <w:pPr>
        <w:rPr>
          <w:noProof/>
        </w:rPr>
      </w:pPr>
    </w:p>
    <w:p w14:paraId="1057D250" w14:textId="77777777" w:rsidR="008C1FCE" w:rsidRDefault="008C1FCE" w:rsidP="008C1FCE">
      <w:r>
        <w:rPr>
          <w:noProof/>
        </w:rPr>
        <w:drawing>
          <wp:inline distT="0" distB="0" distL="0" distR="0" wp14:anchorId="615E3FB2" wp14:editId="3ED2AA88">
            <wp:extent cx="6008914" cy="3916581"/>
            <wp:effectExtent l="0" t="0" r="0" b="8255"/>
            <wp:docPr id="1789739274" name="Picture 8" descr="A graph depicting an example of the groundwater compliance threshold and compliance monito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39274" name="Picture 8" descr="A graph depicting an example of the groundwater compliance threshold and compliance monitoring. "/>
                    <pic:cNvPicPr/>
                  </pic:nvPicPr>
                  <pic:blipFill>
                    <a:blip r:embed="rId28">
                      <a:extLst>
                        <a:ext uri="{28A0092B-C50C-407E-A947-70E740481C1C}">
                          <a14:useLocalDpi xmlns:a14="http://schemas.microsoft.com/office/drawing/2010/main" val="0"/>
                        </a:ext>
                      </a:extLst>
                    </a:blip>
                    <a:stretch>
                      <a:fillRect/>
                    </a:stretch>
                  </pic:blipFill>
                  <pic:spPr>
                    <a:xfrm>
                      <a:off x="0" y="0"/>
                      <a:ext cx="6033747" cy="3932767"/>
                    </a:xfrm>
                    <a:prstGeom prst="rect">
                      <a:avLst/>
                    </a:prstGeom>
                  </pic:spPr>
                </pic:pic>
              </a:graphicData>
            </a:graphic>
          </wp:inline>
        </w:drawing>
      </w:r>
    </w:p>
    <w:p w14:paraId="142C0AA7" w14:textId="280B8410" w:rsidR="008C1FCE" w:rsidRPr="00E326C8" w:rsidRDefault="008C1FCE" w:rsidP="008C1FCE">
      <w:r w:rsidRPr="004B171C">
        <w:rPr>
          <w:b/>
          <w:sz w:val="18"/>
          <w:szCs w:val="18"/>
        </w:rPr>
        <w:t xml:space="preserve">Figure </w:t>
      </w:r>
      <w:r w:rsidR="002054D2">
        <w:rPr>
          <w:b/>
          <w:sz w:val="18"/>
          <w:szCs w:val="18"/>
        </w:rPr>
        <w:t>5</w:t>
      </w:r>
      <w:r w:rsidRPr="004B171C">
        <w:rPr>
          <w:sz w:val="18"/>
          <w:szCs w:val="18"/>
        </w:rPr>
        <w:t>:</w:t>
      </w:r>
      <w:r>
        <w:t xml:space="preserve"> An example of the groundwater compliance threshold and compliance monitoring. Groundwater compliance assessment is based on the cumulative water take since the commencement of the 2019-2020 water accounting year. The SDL compliance </w:t>
      </w:r>
      <w:r w:rsidR="002673C7">
        <w:t>t</w:t>
      </w:r>
      <w:r>
        <w:t xml:space="preserve">hreshold for a groundwater resource unit is the Cumulative Permitted Take plus 20% of the SDL. If the Cumulative Actual Take exceeds the SDL compliance threshold, the resource unit is deemed to be non-compliant. If the Cumulative Annual Actual Take exceeds the Cumulative Annual Permitted Take, but does not exceed the SDL compliance </w:t>
      </w:r>
      <w:r w:rsidR="002673C7">
        <w:t>t</w:t>
      </w:r>
      <w:r>
        <w:t xml:space="preserve">hreshold, the resource unit is deemed to be in exceedance. Starting from </w:t>
      </w:r>
      <w:r w:rsidRPr="00CA5088">
        <w:rPr>
          <w:rFonts w:eastAsia="Aptos" w:cs="Aptos"/>
        </w:rPr>
        <w:t xml:space="preserve">2029 water accounting year, the compliance assessment will shift to a rolling </w:t>
      </w:r>
      <w:r w:rsidRPr="5E590578">
        <w:rPr>
          <w:rFonts w:eastAsia="Aptos" w:cs="Aptos"/>
        </w:rPr>
        <w:t xml:space="preserve">10-year </w:t>
      </w:r>
      <w:r w:rsidRPr="00CA5088">
        <w:rPr>
          <w:rFonts w:eastAsia="Aptos" w:cs="Aptos"/>
        </w:rPr>
        <w:t>average approach</w:t>
      </w:r>
      <w:r>
        <w:rPr>
          <w:rFonts w:eastAsia="Aptos" w:cs="Aptos"/>
        </w:rPr>
        <w:t>.</w:t>
      </w:r>
    </w:p>
    <w:p w14:paraId="78A155FF" w14:textId="77777777" w:rsidR="008C1FCE" w:rsidRDefault="008C1FCE" w:rsidP="008C1FCE">
      <w:pPr>
        <w:rPr>
          <w:rFonts w:eastAsia="Aptos" w:cs="Aptos"/>
        </w:rPr>
      </w:pPr>
    </w:p>
    <w:p w14:paraId="3175ACE5" w14:textId="5B4E110C" w:rsidR="00091C56" w:rsidRDefault="00091C56" w:rsidP="00091C56"/>
    <w:p w14:paraId="475E2940" w14:textId="07CB40F7" w:rsidR="00CD2FAA" w:rsidRPr="00534138" w:rsidRDefault="005D222D" w:rsidP="00CD2FAA">
      <w:r>
        <w:rPr>
          <w:noProof/>
        </w:rPr>
        <w:lastRenderedPageBreak/>
        <mc:AlternateContent>
          <mc:Choice Requires="wps">
            <w:drawing>
              <wp:inline distT="0" distB="0" distL="0" distR="0" wp14:anchorId="79EC1D0D" wp14:editId="49F9BA67">
                <wp:extent cx="6013450" cy="5153025"/>
                <wp:effectExtent l="0" t="0" r="25400" b="28575"/>
                <wp:docPr id="1349048842" name="Text Box 2"/>
                <wp:cNvGraphicFramePr/>
                <a:graphic xmlns:a="http://schemas.openxmlformats.org/drawingml/2006/main">
                  <a:graphicData uri="http://schemas.microsoft.com/office/word/2010/wordprocessingShape">
                    <wps:wsp>
                      <wps:cNvSpPr txBox="1"/>
                      <wps:spPr>
                        <a:xfrm>
                          <a:off x="0" y="0"/>
                          <a:ext cx="6013450" cy="515302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7AA73C09" w14:textId="33086B1D" w:rsidR="005D222D" w:rsidRPr="00D31FD1" w:rsidRDefault="005D222D" w:rsidP="005D222D">
                            <w:pPr>
                              <w:pStyle w:val="Heading4"/>
                              <w:rPr>
                                <w:b/>
                              </w:rPr>
                            </w:pPr>
                            <w:r w:rsidRPr="6EDDF2BD">
                              <w:rPr>
                                <w:b/>
                                <w:bCs/>
                              </w:rPr>
                              <w:t>Case Study</w:t>
                            </w:r>
                            <w:r w:rsidR="000F520F">
                              <w:rPr>
                                <w:b/>
                                <w:bCs/>
                              </w:rPr>
                              <w:t xml:space="preserve"> 1</w:t>
                            </w:r>
                            <w:r w:rsidRPr="6EDDF2BD">
                              <w:rPr>
                                <w:b/>
                                <w:bCs/>
                              </w:rPr>
                              <w:t>: Barwon</w:t>
                            </w:r>
                            <w:r w:rsidRPr="09FE37AD">
                              <w:rPr>
                                <w:b/>
                                <w:bCs/>
                              </w:rPr>
                              <w:t>–</w:t>
                            </w:r>
                            <w:r w:rsidRPr="00D31FD1">
                              <w:rPr>
                                <w:b/>
                              </w:rPr>
                              <w:t>Darling Watercourse</w:t>
                            </w:r>
                          </w:p>
                          <w:p w14:paraId="7CB717FB" w14:textId="1B493C24" w:rsidR="005D222D" w:rsidRDefault="005D222D" w:rsidP="005D222D">
                            <w:r>
                              <w:t xml:space="preserve">Although not subject to SDL Compliance within this water year, the IGWC has been </w:t>
                            </w:r>
                            <w:r w:rsidR="00E50AD9">
                              <w:t>monitoring</w:t>
                            </w:r>
                            <w:r>
                              <w:t xml:space="preserve"> water use in the Barwon-Darling Watercourse. </w:t>
                            </w:r>
                            <w:r w:rsidRPr="07664FA3">
                              <w:rPr>
                                <w:rFonts w:eastAsia="Verdana" w:cs="Verdana"/>
                              </w:rPr>
                              <w:t>Since</w:t>
                            </w:r>
                            <w:r w:rsidRPr="5608BEF4">
                              <w:rPr>
                                <w:rFonts w:eastAsia="Verdana" w:cs="Verdana"/>
                              </w:rPr>
                              <w:t xml:space="preserve"> the introduction of the</w:t>
                            </w:r>
                            <w:r w:rsidRPr="365A1850">
                              <w:rPr>
                                <w:rFonts w:eastAsia="Verdana" w:cs="Verdana"/>
                              </w:rPr>
                              <w:t xml:space="preserve"> Basin</w:t>
                            </w:r>
                            <w:r w:rsidRPr="5608BEF4">
                              <w:rPr>
                                <w:rFonts w:eastAsia="Verdana" w:cs="Verdana"/>
                              </w:rPr>
                              <w:t xml:space="preserve"> Plan in 2012, the Annual Actual Take in the Barwon-Darling has fluctuated from year to year, but it has not shown a significant overall reduction (Figure </w:t>
                            </w:r>
                            <w:r w:rsidR="002054D2">
                              <w:rPr>
                                <w:rFonts w:eastAsia="Verdana" w:cs="Verdana"/>
                              </w:rPr>
                              <w:t>7</w:t>
                            </w:r>
                            <w:r w:rsidRPr="5608BEF4">
                              <w:rPr>
                                <w:rFonts w:eastAsia="Verdana" w:cs="Verdana"/>
                              </w:rPr>
                              <w:t>).</w:t>
                            </w:r>
                          </w:p>
                          <w:p w14:paraId="1F04B88C" w14:textId="77777777" w:rsidR="00E50AD9" w:rsidRDefault="005D222D" w:rsidP="005D222D">
                            <w:r>
                              <w:t xml:space="preserve">The water operations within the Barwon-Darling watercourse yielded excessive SDL volumes within </w:t>
                            </w:r>
                            <w:r w:rsidR="003A2C64" w:rsidRPr="003A2C64">
                              <w:t>three consecutive water years—</w:t>
                            </w:r>
                            <w:r>
                              <w:t>2019</w:t>
                            </w:r>
                            <w:r w:rsidR="003A2C64" w:rsidRPr="003A2C64">
                              <w:t>–</w:t>
                            </w:r>
                            <w:r>
                              <w:t>2020</w:t>
                            </w:r>
                            <w:r w:rsidR="003A2C64" w:rsidRPr="003A2C64">
                              <w:t>, 2020–2021,</w:t>
                            </w:r>
                            <w:r>
                              <w:t xml:space="preserve"> and 2021</w:t>
                            </w:r>
                            <w:r w:rsidR="003A2C64" w:rsidRPr="003A2C64">
                              <w:t>–</w:t>
                            </w:r>
                            <w:r>
                              <w:t xml:space="preserve">2022. </w:t>
                            </w:r>
                            <w:r w:rsidR="00DF2A48">
                              <w:t>In response</w:t>
                            </w:r>
                            <w:r>
                              <w:t xml:space="preserve"> the State submit</w:t>
                            </w:r>
                            <w:r w:rsidR="00DF2A48">
                              <w:t>t</w:t>
                            </w:r>
                            <w:r>
                              <w:t xml:space="preserve">ed a reasonable excuse claim to the MDBA </w:t>
                            </w:r>
                            <w:r w:rsidR="005950CC">
                              <w:t xml:space="preserve">for the 2019-20 water year </w:t>
                            </w:r>
                            <w:r>
                              <w:t xml:space="preserve">that the Barwon-Darling was operated in accordance with the submitted (but not yet accredited) </w:t>
                            </w:r>
                            <w:r w:rsidR="00021BB7">
                              <w:t>water resource plan</w:t>
                            </w:r>
                            <w:r>
                              <w:t>, along with the impact of incomplete water recovery in the watercourse. The MDBA assessed that the State</w:t>
                            </w:r>
                            <w:r w:rsidRPr="00A16D98">
                              <w:t xml:space="preserve"> did not operate in a manner fully consistent with the submitted </w:t>
                            </w:r>
                            <w:r>
                              <w:t xml:space="preserve">(not yet accredited) </w:t>
                            </w:r>
                            <w:r w:rsidR="00C61297">
                              <w:t>water resource plan</w:t>
                            </w:r>
                            <w:r w:rsidRPr="00A16D98">
                              <w:t xml:space="preserve"> in the 2019–</w:t>
                            </w:r>
                            <w:r>
                              <w:t>20</w:t>
                            </w:r>
                            <w:r w:rsidRPr="00A16D98">
                              <w:t>20 water year, and therefore found this claim was invalid</w:t>
                            </w:r>
                            <w:r>
                              <w:t xml:space="preserve">. </w:t>
                            </w:r>
                          </w:p>
                          <w:p w14:paraId="171FFBFC" w14:textId="1747BB95" w:rsidR="005D222D" w:rsidRDefault="005D222D" w:rsidP="005D222D">
                            <w:r>
                              <w:t xml:space="preserve">It is important to note that these exceedances </w:t>
                            </w:r>
                            <w:r w:rsidR="00AF62E3">
                              <w:t xml:space="preserve">and responses </w:t>
                            </w:r>
                            <w:r>
                              <w:t xml:space="preserve">occurred outside of the legal framework of the Basin Plan, therefore it did not need to comply with the relevant </w:t>
                            </w:r>
                            <w:r w:rsidR="00190FD5">
                              <w:t>Commonwealth</w:t>
                            </w:r>
                            <w:r>
                              <w:t xml:space="preserve"> water legislation. </w:t>
                            </w:r>
                            <w:r w:rsidR="00C85095">
                              <w:t>Also,</w:t>
                            </w:r>
                            <w:r>
                              <w:t xml:space="preserve"> during this time, the </w:t>
                            </w:r>
                            <w:r w:rsidR="0064117F">
                              <w:t>water resource plan</w:t>
                            </w:r>
                            <w:r>
                              <w:t xml:space="preserve"> itself, </w:t>
                            </w:r>
                            <w:r w:rsidR="00E50AD9">
                              <w:t xml:space="preserve">the </w:t>
                            </w:r>
                            <w:r>
                              <w:t xml:space="preserve">accounting methods, as well as </w:t>
                            </w:r>
                            <w:r w:rsidR="00E50AD9">
                              <w:t xml:space="preserve">the </w:t>
                            </w:r>
                            <w:r>
                              <w:t xml:space="preserve">underlying models were </w:t>
                            </w:r>
                            <w:r w:rsidR="00E50AD9">
                              <w:t xml:space="preserve">all </w:t>
                            </w:r>
                            <w:r>
                              <w:t>constantly changing</w:t>
                            </w:r>
                            <w:r w:rsidR="00AF62E3">
                              <w:t xml:space="preserve"> outside of the Basin Plan</w:t>
                            </w:r>
                            <w:r>
                              <w:t>.</w:t>
                            </w:r>
                          </w:p>
                          <w:p w14:paraId="23C6CF1E" w14:textId="5B5C242F" w:rsidR="00C85095" w:rsidRDefault="005D222D" w:rsidP="005D222D">
                            <w:r>
                              <w:t>The operation of the Barwon-Darling yielded excessive SDL volumes</w:t>
                            </w:r>
                            <w:r w:rsidRPr="000E0416">
                              <w:t xml:space="preserve"> until the BDL</w:t>
                            </w:r>
                            <w:r>
                              <w:t xml:space="preserve">, </w:t>
                            </w:r>
                            <w:r w:rsidRPr="000E0416">
                              <w:t>and subsequently the SDL</w:t>
                            </w:r>
                            <w:r>
                              <w:t xml:space="preserve">, </w:t>
                            </w:r>
                            <w:r w:rsidRPr="000E0416">
                              <w:t>was revised in 2022–2023 (</w:t>
                            </w:r>
                            <w:r w:rsidRPr="00F01428">
                              <w:t xml:space="preserve">Figure </w:t>
                            </w:r>
                            <w:r w:rsidR="00606133">
                              <w:t>6</w:t>
                            </w:r>
                            <w:r>
                              <w:t xml:space="preserve"> and Figure </w:t>
                            </w:r>
                            <w:r w:rsidR="00606133">
                              <w:t>7</w:t>
                            </w:r>
                            <w:r w:rsidRPr="000E0416">
                              <w:t xml:space="preserve">). </w:t>
                            </w:r>
                          </w:p>
                          <w:p w14:paraId="4112B981" w14:textId="6E8FC437" w:rsidR="005D222D" w:rsidRDefault="00372F0F" w:rsidP="005D222D">
                            <w:r>
                              <w:t>T</w:t>
                            </w:r>
                            <w:r w:rsidR="005D222D" w:rsidRPr="000E0416">
                              <w:t>he IGWC acknowledges that improving models is part of the Plan</w:t>
                            </w:r>
                            <w:r>
                              <w:t xml:space="preserve">, however transparency and accountability are critical to maintaining </w:t>
                            </w:r>
                            <w:r w:rsidR="005D222D" w:rsidRPr="000E0416">
                              <w:t>public confidence in the integrity of the Plan.</w:t>
                            </w:r>
                          </w:p>
                          <w:p w14:paraId="5CA3BEC7" w14:textId="36BE453C" w:rsidR="00C85095" w:rsidRPr="00E50AD9" w:rsidRDefault="00AF62E3" w:rsidP="005D222D">
                            <w:r w:rsidRPr="00E50AD9">
                              <w:t>T</w:t>
                            </w:r>
                            <w:r w:rsidR="005D222D" w:rsidRPr="00E50AD9">
                              <w:t xml:space="preserve">he Barwon-Darling SDL resource unit will not be eligible for SDL compliance assessment until 2024-2025 SDL Compliance Statement. </w:t>
                            </w:r>
                            <w:r w:rsidR="00E50AD9">
                              <w:t>AAT in the Barwon-Darling may be subject to a one-off adjustment as a result of</w:t>
                            </w:r>
                            <w:r w:rsidR="009015B8">
                              <w:t xml:space="preserve"> the recent accreditation of the water resource plan and</w:t>
                            </w:r>
                            <w:r w:rsidR="00E50AD9">
                              <w:t xml:space="preserve"> </w:t>
                            </w:r>
                            <w:r w:rsidR="009015B8">
                              <w:t>its</w:t>
                            </w:r>
                            <w:r w:rsidR="00E50AD9">
                              <w:t xml:space="preserve"> first full year of operation under the Basin Plan.</w:t>
                            </w:r>
                          </w:p>
                          <w:p w14:paraId="5630A699" w14:textId="77777777" w:rsidR="005D222D" w:rsidRDefault="005D22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9EC1D0D" id="_x0000_t202" coordsize="21600,21600" o:spt="202" path="m,l,21600r21600,l21600,xe">
                <v:stroke joinstyle="miter"/>
                <v:path gradientshapeok="t" o:connecttype="rect"/>
              </v:shapetype>
              <v:shape id="Text Box 2" o:spid="_x0000_s1026" type="#_x0000_t202" style="width:473.5pt;height:40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" fillcolor="#bcd8e3 [3201]" strokecolor="#bcd7e2 [3206]" strokeweight="2pt">
                <v:textbox>
                  <w:txbxContent>
                    <w:p w14:paraId="7AA73C09" w14:textId="33086B1D" w:rsidR="005D222D" w:rsidRPr="00D31FD1" w:rsidRDefault="005D222D" w:rsidP="005D222D">
                      <w:pPr>
                        <w:pStyle w:val="Heading4"/>
                        <w:rPr>
                          <w:b/>
                        </w:rPr>
                      </w:pPr>
                      <w:r w:rsidRPr="6EDDF2BD">
                        <w:rPr>
                          <w:b/>
                          <w:bCs/>
                        </w:rPr>
                        <w:t>Case Study</w:t>
                      </w:r>
                      <w:r w:rsidR="000F520F">
                        <w:rPr>
                          <w:b/>
                          <w:bCs/>
                        </w:rPr>
                        <w:t xml:space="preserve"> 1</w:t>
                      </w:r>
                      <w:r w:rsidRPr="6EDDF2BD">
                        <w:rPr>
                          <w:b/>
                          <w:bCs/>
                        </w:rPr>
                        <w:t>: Barwon</w:t>
                      </w:r>
                      <w:r w:rsidRPr="09FE37AD">
                        <w:rPr>
                          <w:b/>
                          <w:bCs/>
                        </w:rPr>
                        <w:t>–</w:t>
                      </w:r>
                      <w:r w:rsidRPr="00D31FD1">
                        <w:rPr>
                          <w:b/>
                        </w:rPr>
                        <w:t>Darling Watercourse</w:t>
                      </w:r>
                    </w:p>
                    <w:p w14:paraId="7CB717FB" w14:textId="1B493C24" w:rsidR="005D222D" w:rsidRDefault="005D222D" w:rsidP="005D222D">
                      <w:r>
                        <w:t xml:space="preserve">Although not subject to SDL Compliance within this water year, the IGWC has been </w:t>
                      </w:r>
                      <w:r w:rsidR="00E50AD9">
                        <w:t>monitoring</w:t>
                      </w:r>
                      <w:r>
                        <w:t xml:space="preserve"> water use in the Barwon-Darling Watercourse. </w:t>
                      </w:r>
                      <w:r w:rsidRPr="07664FA3">
                        <w:rPr>
                          <w:rFonts w:eastAsia="Verdana" w:cs="Verdana"/>
                        </w:rPr>
                        <w:t>Since</w:t>
                      </w:r>
                      <w:r w:rsidRPr="5608BEF4">
                        <w:rPr>
                          <w:rFonts w:eastAsia="Verdana" w:cs="Verdana"/>
                        </w:rPr>
                        <w:t xml:space="preserve"> the introduction of the</w:t>
                      </w:r>
                      <w:r w:rsidRPr="365A1850">
                        <w:rPr>
                          <w:rFonts w:eastAsia="Verdana" w:cs="Verdana"/>
                        </w:rPr>
                        <w:t xml:space="preserve"> Basin</w:t>
                      </w:r>
                      <w:r w:rsidRPr="5608BEF4">
                        <w:rPr>
                          <w:rFonts w:eastAsia="Verdana" w:cs="Verdana"/>
                        </w:rPr>
                        <w:t xml:space="preserve"> Plan in 2012, the Annual Actual Take in the Barwon-Darling has fluctuated from year to year, but it has not shown a significant overall reduction (Figure </w:t>
                      </w:r>
                      <w:r w:rsidR="002054D2">
                        <w:rPr>
                          <w:rFonts w:eastAsia="Verdana" w:cs="Verdana"/>
                        </w:rPr>
                        <w:t>7</w:t>
                      </w:r>
                      <w:r w:rsidRPr="5608BEF4">
                        <w:rPr>
                          <w:rFonts w:eastAsia="Verdana" w:cs="Verdana"/>
                        </w:rPr>
                        <w:t>).</w:t>
                      </w:r>
                    </w:p>
                    <w:p w14:paraId="1F04B88C" w14:textId="77777777" w:rsidR="00E50AD9" w:rsidRDefault="005D222D" w:rsidP="005D222D">
                      <w:r>
                        <w:t xml:space="preserve">The water operations within the Barwon-Darling watercourse yielded excessive SDL volumes within </w:t>
                      </w:r>
                      <w:r w:rsidR="003A2C64" w:rsidRPr="003A2C64">
                        <w:t>three consecutive water years—</w:t>
                      </w:r>
                      <w:r>
                        <w:t>2019</w:t>
                      </w:r>
                      <w:r w:rsidR="003A2C64" w:rsidRPr="003A2C64">
                        <w:t>–</w:t>
                      </w:r>
                      <w:r>
                        <w:t>2020</w:t>
                      </w:r>
                      <w:r w:rsidR="003A2C64" w:rsidRPr="003A2C64">
                        <w:t>, 2020–2021,</w:t>
                      </w:r>
                      <w:r>
                        <w:t xml:space="preserve"> and 2021</w:t>
                      </w:r>
                      <w:r w:rsidR="003A2C64" w:rsidRPr="003A2C64">
                        <w:t>–</w:t>
                      </w:r>
                      <w:r>
                        <w:t xml:space="preserve">2022. </w:t>
                      </w:r>
                      <w:r w:rsidR="00DF2A48">
                        <w:t>In response</w:t>
                      </w:r>
                      <w:r>
                        <w:t xml:space="preserve"> the State submit</w:t>
                      </w:r>
                      <w:r w:rsidR="00DF2A48">
                        <w:t>t</w:t>
                      </w:r>
                      <w:r>
                        <w:t xml:space="preserve">ed a reasonable excuse claim to the MDBA </w:t>
                      </w:r>
                      <w:r w:rsidR="005950CC">
                        <w:t xml:space="preserve">for the 2019-20 water year </w:t>
                      </w:r>
                      <w:r>
                        <w:t xml:space="preserve">that the Barwon-Darling was operated in accordance with the submitted (but not yet accredited) </w:t>
                      </w:r>
                      <w:r w:rsidR="00021BB7">
                        <w:t>water resource plan</w:t>
                      </w:r>
                      <w:r>
                        <w:t>, along with the impact of incomplete water recovery in the watercourse. The MDBA assessed that the State</w:t>
                      </w:r>
                      <w:r w:rsidRPr="00A16D98">
                        <w:t xml:space="preserve"> did not operate in a manner fully consistent with the submitted </w:t>
                      </w:r>
                      <w:r>
                        <w:t xml:space="preserve">(not yet accredited) </w:t>
                      </w:r>
                      <w:r w:rsidR="00C61297">
                        <w:t>water resource plan</w:t>
                      </w:r>
                      <w:r w:rsidRPr="00A16D98">
                        <w:t xml:space="preserve"> in the 2019–</w:t>
                      </w:r>
                      <w:r>
                        <w:t>20</w:t>
                      </w:r>
                      <w:r w:rsidRPr="00A16D98">
                        <w:t>20 water year, and therefore found this claim was invalid</w:t>
                      </w:r>
                      <w:r>
                        <w:t xml:space="preserve">. </w:t>
                      </w:r>
                    </w:p>
                    <w:p w14:paraId="171FFBFC" w14:textId="1747BB95" w:rsidR="005D222D" w:rsidRDefault="005D222D" w:rsidP="005D222D">
                      <w:r>
                        <w:t xml:space="preserve">It is important to note that these exceedances </w:t>
                      </w:r>
                      <w:r w:rsidR="00AF62E3">
                        <w:t xml:space="preserve">and responses </w:t>
                      </w:r>
                      <w:r>
                        <w:t xml:space="preserve">occurred outside of the legal framework of the Basin Plan, therefore it did not need to comply with the relevant </w:t>
                      </w:r>
                      <w:r w:rsidR="00190FD5">
                        <w:t>Commonwealth</w:t>
                      </w:r>
                      <w:r>
                        <w:t xml:space="preserve"> water legislation. </w:t>
                      </w:r>
                      <w:r w:rsidR="00C85095">
                        <w:t>Also,</w:t>
                      </w:r>
                      <w:r>
                        <w:t xml:space="preserve"> during this time, the </w:t>
                      </w:r>
                      <w:r w:rsidR="0064117F">
                        <w:t>water resource plan</w:t>
                      </w:r>
                      <w:r>
                        <w:t xml:space="preserve"> itself, </w:t>
                      </w:r>
                      <w:r w:rsidR="00E50AD9">
                        <w:t xml:space="preserve">the </w:t>
                      </w:r>
                      <w:r>
                        <w:t xml:space="preserve">accounting methods, as well as </w:t>
                      </w:r>
                      <w:r w:rsidR="00E50AD9">
                        <w:t xml:space="preserve">the </w:t>
                      </w:r>
                      <w:r>
                        <w:t xml:space="preserve">underlying models were </w:t>
                      </w:r>
                      <w:r w:rsidR="00E50AD9">
                        <w:t xml:space="preserve">all </w:t>
                      </w:r>
                      <w:r>
                        <w:t>constantly changing</w:t>
                      </w:r>
                      <w:r w:rsidR="00AF62E3">
                        <w:t xml:space="preserve"> outside of the Basin Plan</w:t>
                      </w:r>
                      <w:r>
                        <w:t>.</w:t>
                      </w:r>
                    </w:p>
                    <w:p w14:paraId="23C6CF1E" w14:textId="5B5C242F" w:rsidR="00C85095" w:rsidRDefault="005D222D" w:rsidP="005D222D">
                      <w:r>
                        <w:t>The operation of the Barwon-Darling yielded excessive SDL volumes</w:t>
                      </w:r>
                      <w:r w:rsidRPr="000E0416">
                        <w:t xml:space="preserve"> until the BDL</w:t>
                      </w:r>
                      <w:r>
                        <w:t xml:space="preserve">, </w:t>
                      </w:r>
                      <w:r w:rsidRPr="000E0416">
                        <w:t>and subsequently the SDL</w:t>
                      </w:r>
                      <w:r>
                        <w:t xml:space="preserve">, </w:t>
                      </w:r>
                      <w:r w:rsidRPr="000E0416">
                        <w:t>was revised in 2022–2023 (</w:t>
                      </w:r>
                      <w:r w:rsidRPr="00F01428">
                        <w:t xml:space="preserve">Figure </w:t>
                      </w:r>
                      <w:r w:rsidR="00606133">
                        <w:t>6</w:t>
                      </w:r>
                      <w:r>
                        <w:t xml:space="preserve"> and Figure </w:t>
                      </w:r>
                      <w:r w:rsidR="00606133">
                        <w:t>7</w:t>
                      </w:r>
                      <w:r w:rsidRPr="000E0416">
                        <w:t xml:space="preserve">). </w:t>
                      </w:r>
                    </w:p>
                    <w:p w14:paraId="4112B981" w14:textId="6E8FC437" w:rsidR="005D222D" w:rsidRDefault="00372F0F" w:rsidP="005D222D">
                      <w:r>
                        <w:t>T</w:t>
                      </w:r>
                      <w:r w:rsidR="005D222D" w:rsidRPr="000E0416">
                        <w:t>he IGWC acknowledges that improving models is part of the Plan</w:t>
                      </w:r>
                      <w:r>
                        <w:t xml:space="preserve">, however transparency and accountability are critical to maintaining </w:t>
                      </w:r>
                      <w:r w:rsidR="005D222D" w:rsidRPr="000E0416">
                        <w:t>public confidence in the integrity of the Plan.</w:t>
                      </w:r>
                    </w:p>
                    <w:p w14:paraId="5CA3BEC7" w14:textId="36BE453C" w:rsidR="00C85095" w:rsidRPr="00E50AD9" w:rsidRDefault="00AF62E3" w:rsidP="005D222D">
                      <w:r w:rsidRPr="00E50AD9">
                        <w:t>T</w:t>
                      </w:r>
                      <w:r w:rsidR="005D222D" w:rsidRPr="00E50AD9">
                        <w:t xml:space="preserve">he Barwon-Darling SDL resource unit will not be eligible for SDL compliance assessment until 2024-2025 SDL Compliance Statement. </w:t>
                      </w:r>
                      <w:r w:rsidR="00E50AD9">
                        <w:t xml:space="preserve">AAT in the Barwon-Darling may be subject to a one-off adjustment </w:t>
                      </w:r>
                      <w:proofErr w:type="gramStart"/>
                      <w:r w:rsidR="00E50AD9">
                        <w:t>as a result of</w:t>
                      </w:r>
                      <w:proofErr w:type="gramEnd"/>
                      <w:r w:rsidR="009015B8">
                        <w:t xml:space="preserve"> the recent accreditation of the water resource plan and</w:t>
                      </w:r>
                      <w:r w:rsidR="00E50AD9">
                        <w:t xml:space="preserve"> </w:t>
                      </w:r>
                      <w:r w:rsidR="009015B8">
                        <w:t>its</w:t>
                      </w:r>
                      <w:r w:rsidR="00E50AD9">
                        <w:t xml:space="preserve"> first full year of operation under the Basin Plan.</w:t>
                      </w:r>
                    </w:p>
                    <w:p w14:paraId="5630A699" w14:textId="77777777" w:rsidR="005D222D" w:rsidRDefault="005D222D"/>
                  </w:txbxContent>
                </v:textbox>
                <w10:anchorlock/>
              </v:shape>
            </w:pict>
          </mc:Fallback>
        </mc:AlternateContent>
      </w:r>
      <w:r w:rsidR="00CD2FAA" w:rsidRPr="00D15EAF">
        <w:rPr>
          <w:noProof/>
        </w:rPr>
        <w:drawing>
          <wp:inline distT="0" distB="0" distL="0" distR="0" wp14:anchorId="568A9A15" wp14:editId="5E491F94">
            <wp:extent cx="6015355" cy="3832860"/>
            <wp:effectExtent l="0" t="0" r="4445" b="0"/>
            <wp:docPr id="1329233655" name="Picture 2" descr="A graph showing SDL Compliance analysis of the Barwon-Darling Watercou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33655" name="Picture 2" descr="A graph showing SDL Compliance analysis of the Barwon-Darling Watercourse.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15355" cy="3832860"/>
                    </a:xfrm>
                    <a:prstGeom prst="rect">
                      <a:avLst/>
                    </a:prstGeom>
                    <a:noFill/>
                    <a:ln>
                      <a:noFill/>
                    </a:ln>
                  </pic:spPr>
                </pic:pic>
              </a:graphicData>
            </a:graphic>
          </wp:inline>
        </w:drawing>
      </w:r>
    </w:p>
    <w:p w14:paraId="02615A5D" w14:textId="0634A348" w:rsidR="00CD2FAA" w:rsidRPr="00ED7A90" w:rsidRDefault="00CD2FAA" w:rsidP="00ED7A90">
      <w:pPr>
        <w:pStyle w:val="Caption"/>
        <w:rPr>
          <w:i w:val="0"/>
          <w:color w:val="auto"/>
          <w:sz w:val="20"/>
          <w:szCs w:val="22"/>
        </w:rPr>
      </w:pPr>
      <w:r w:rsidRPr="002054D2">
        <w:rPr>
          <w:b/>
          <w:i w:val="0"/>
          <w:color w:val="auto"/>
        </w:rPr>
        <w:lastRenderedPageBreak/>
        <w:t xml:space="preserve">Figure </w:t>
      </w:r>
      <w:r w:rsidR="002054D2">
        <w:rPr>
          <w:b/>
          <w:bCs/>
          <w:i w:val="0"/>
          <w:iCs w:val="0"/>
          <w:color w:val="auto"/>
        </w:rPr>
        <w:t>6</w:t>
      </w:r>
      <w:r w:rsidR="008C1FCE" w:rsidRPr="002054D2">
        <w:rPr>
          <w:b/>
          <w:bCs/>
          <w:i w:val="0"/>
          <w:iCs w:val="0"/>
          <w:color w:val="auto"/>
        </w:rPr>
        <w:t>:</w:t>
      </w:r>
      <w:r w:rsidRPr="002054D2">
        <w:rPr>
          <w:i w:val="0"/>
          <w:color w:val="auto"/>
        </w:rPr>
        <w:t xml:space="preserve"> </w:t>
      </w:r>
      <w:r w:rsidRPr="002054D2">
        <w:rPr>
          <w:i w:val="0"/>
          <w:color w:val="auto"/>
          <w:sz w:val="20"/>
          <w:szCs w:val="22"/>
        </w:rPr>
        <w:t xml:space="preserve">SDL Compliance analysis of the Barwon-Darling Watercourse. Please note, SDL Compliance </w:t>
      </w:r>
      <w:r w:rsidRPr="00ED7A90">
        <w:rPr>
          <w:i w:val="0"/>
          <w:color w:val="auto"/>
          <w:sz w:val="20"/>
          <w:szCs w:val="22"/>
        </w:rPr>
        <w:t>for this area was not enforceable for this period.</w:t>
      </w:r>
    </w:p>
    <w:p w14:paraId="6BD45AA7" w14:textId="77777777" w:rsidR="00CD2FAA" w:rsidRPr="00106EAF" w:rsidRDefault="00CD2FAA" w:rsidP="00CD2FAA">
      <w:pPr>
        <w:rPr>
          <w:highlight w:val="yellow"/>
        </w:rPr>
      </w:pPr>
      <w:r w:rsidRPr="00DD4CBE">
        <w:rPr>
          <w:noProof/>
        </w:rPr>
        <w:drawing>
          <wp:inline distT="0" distB="0" distL="0" distR="0" wp14:anchorId="7BC36078" wp14:editId="065CDC8E">
            <wp:extent cx="6015355" cy="3822700"/>
            <wp:effectExtent l="0" t="0" r="4445" b="6350"/>
            <wp:docPr id="146923107" name="Picture 4" descr="A line graph showing changes over time to the SDL, BDL and the Annual Actual Take of the Barwon-Darling showing how current SDL and Actual Take are higher than the original BD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3107" name="Picture 4" descr="A line graph showing changes over time to the SDL, BDL and the Annual Actual Take of the Barwon-Darling showing how current SDL and Actual Take are higher than the original BDL.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15355" cy="3822700"/>
                    </a:xfrm>
                    <a:prstGeom prst="rect">
                      <a:avLst/>
                    </a:prstGeom>
                    <a:noFill/>
                    <a:ln>
                      <a:noFill/>
                    </a:ln>
                  </pic:spPr>
                </pic:pic>
              </a:graphicData>
            </a:graphic>
          </wp:inline>
        </w:drawing>
      </w:r>
    </w:p>
    <w:p w14:paraId="4CA6B3B4" w14:textId="7BCDA696" w:rsidR="00CD2FAA" w:rsidRPr="00ED7A90" w:rsidRDefault="00CD2FAA" w:rsidP="00ED7A90">
      <w:pPr>
        <w:pStyle w:val="Caption"/>
        <w:rPr>
          <w:i w:val="0"/>
          <w:color w:val="auto"/>
          <w:sz w:val="20"/>
          <w:szCs w:val="22"/>
        </w:rPr>
      </w:pPr>
      <w:r w:rsidRPr="002054D2">
        <w:rPr>
          <w:b/>
          <w:i w:val="0"/>
          <w:color w:val="auto"/>
        </w:rPr>
        <w:t xml:space="preserve">Figure </w:t>
      </w:r>
      <w:r w:rsidR="002054D2" w:rsidRPr="002054D2">
        <w:rPr>
          <w:b/>
          <w:bCs/>
          <w:i w:val="0"/>
          <w:iCs w:val="0"/>
          <w:color w:val="auto"/>
        </w:rPr>
        <w:t>7</w:t>
      </w:r>
      <w:r w:rsidR="008C1FCE" w:rsidRPr="002054D2">
        <w:rPr>
          <w:b/>
          <w:bCs/>
          <w:i w:val="0"/>
          <w:iCs w:val="0"/>
          <w:color w:val="auto"/>
          <w:sz w:val="20"/>
          <w:szCs w:val="22"/>
        </w:rPr>
        <w:t>:</w:t>
      </w:r>
      <w:r w:rsidRPr="002054D2">
        <w:rPr>
          <w:i w:val="0"/>
          <w:color w:val="auto"/>
          <w:sz w:val="20"/>
          <w:szCs w:val="22"/>
        </w:rPr>
        <w:t xml:space="preserve"> Changes over time to the SDL, BDL and the Annual Actual Take of the Barwon-Darling showing how current SDL and Actual Take are higher than the original BDL. Please note, SDL Compliance </w:t>
      </w:r>
      <w:r w:rsidRPr="00ED7A90">
        <w:rPr>
          <w:i w:val="0"/>
          <w:color w:val="auto"/>
          <w:sz w:val="20"/>
          <w:szCs w:val="22"/>
        </w:rPr>
        <w:t>was not enforceable for this period.</w:t>
      </w:r>
    </w:p>
    <w:p w14:paraId="3248D4B0" w14:textId="77777777" w:rsidR="00CD2FAA" w:rsidRPr="006D0F0F" w:rsidRDefault="00CD2FAA" w:rsidP="00CD2FAA"/>
    <w:p w14:paraId="2F1424AD" w14:textId="34F3C453" w:rsidR="00CD2FAA" w:rsidRPr="006D0F0F" w:rsidRDefault="00CD2FAA" w:rsidP="00CD2FAA"/>
    <w:p w14:paraId="4C9BFA8C" w14:textId="1F8A75D3" w:rsidR="00CD2FAA" w:rsidRPr="006D0F0F" w:rsidRDefault="00004DA4" w:rsidP="00CD2FAA">
      <w:r>
        <w:rPr>
          <w:noProof/>
        </w:rPr>
        <mc:AlternateContent>
          <mc:Choice Requires="wps">
            <w:drawing>
              <wp:inline distT="0" distB="0" distL="0" distR="0" wp14:anchorId="7525B072" wp14:editId="622A5509">
                <wp:extent cx="6146800" cy="3079699"/>
                <wp:effectExtent l="0" t="0" r="25400" b="26035"/>
                <wp:docPr id="525836390" name="Text Box 3"/>
                <wp:cNvGraphicFramePr/>
                <a:graphic xmlns:a="http://schemas.openxmlformats.org/drawingml/2006/main">
                  <a:graphicData uri="http://schemas.microsoft.com/office/word/2010/wordprocessingShape">
                    <wps:wsp>
                      <wps:cNvSpPr txBox="1"/>
                      <wps:spPr>
                        <a:xfrm>
                          <a:off x="0" y="0"/>
                          <a:ext cx="6146800" cy="3079699"/>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62811D50" w14:textId="54F37A4D" w:rsidR="00004DA4" w:rsidRDefault="00004DA4" w:rsidP="00004DA4">
                            <w:pPr>
                              <w:pStyle w:val="Heading4"/>
                            </w:pPr>
                            <w:r>
                              <w:rPr>
                                <w:b/>
                              </w:rPr>
                              <w:t>Case Study</w:t>
                            </w:r>
                            <w:r w:rsidR="00065505">
                              <w:rPr>
                                <w:b/>
                              </w:rPr>
                              <w:t xml:space="preserve"> 2</w:t>
                            </w:r>
                            <w:r>
                              <w:rPr>
                                <w:b/>
                              </w:rPr>
                              <w:t xml:space="preserve">: </w:t>
                            </w:r>
                            <w:r w:rsidRPr="00D31FD1">
                              <w:rPr>
                                <w:b/>
                              </w:rPr>
                              <w:t>Murrumbidgee</w:t>
                            </w:r>
                            <w:r w:rsidRPr="00540423">
                              <w:t xml:space="preserve"> </w:t>
                            </w:r>
                          </w:p>
                          <w:p w14:paraId="0E4E61DA" w14:textId="07F0C3D9" w:rsidR="00004DA4" w:rsidRDefault="00004DA4" w:rsidP="00004DA4">
                            <w:r w:rsidRPr="00E41019">
                              <w:t xml:space="preserve">Although the Murrumbidgee surface water </w:t>
                            </w:r>
                            <w:r w:rsidR="001812CE">
                              <w:t>WRP</w:t>
                            </w:r>
                            <w:r w:rsidRPr="00E41019">
                              <w:t xml:space="preserve"> did not become operational until 29 February 2024</w:t>
                            </w:r>
                            <w:r>
                              <w:t xml:space="preserve"> and</w:t>
                            </w:r>
                            <w:r w:rsidRPr="00E41019">
                              <w:t xml:space="preserve"> will not be subject to SDL compliance assessment until the 202</w:t>
                            </w:r>
                            <w:r>
                              <w:t>4</w:t>
                            </w:r>
                            <w:r w:rsidRPr="00E41019">
                              <w:t>–</w:t>
                            </w:r>
                            <w:r>
                              <w:t>20</w:t>
                            </w:r>
                            <w:r w:rsidRPr="00E41019">
                              <w:t>2</w:t>
                            </w:r>
                            <w:r>
                              <w:t>5</w:t>
                            </w:r>
                            <w:r w:rsidRPr="00E41019">
                              <w:t xml:space="preserve"> water accounting year</w:t>
                            </w:r>
                            <w:r>
                              <w:t xml:space="preserve">, </w:t>
                            </w:r>
                            <w:r w:rsidRPr="00E41019">
                              <w:t>the IGWC has identified it as an area of concern</w:t>
                            </w:r>
                            <w:r>
                              <w:t xml:space="preserve"> (Figure </w:t>
                            </w:r>
                            <w:r w:rsidR="00606133">
                              <w:t>8</w:t>
                            </w:r>
                            <w:r>
                              <w:t>)</w:t>
                            </w:r>
                            <w:r w:rsidRPr="00E41019">
                              <w:t xml:space="preserve">. This is due to the extended period during which it operated without an accredited </w:t>
                            </w:r>
                            <w:r w:rsidR="00944FE2">
                              <w:t>water resource plan</w:t>
                            </w:r>
                            <w:r w:rsidRPr="00E41019">
                              <w:t>, as well as consistent SDL</w:t>
                            </w:r>
                            <w:r>
                              <w:t xml:space="preserve"> </w:t>
                            </w:r>
                            <w:r w:rsidRPr="00E41019">
                              <w:t>exceedances since 2020–</w:t>
                            </w:r>
                            <w:r>
                              <w:t>20</w:t>
                            </w:r>
                            <w:r w:rsidRPr="00E41019">
                              <w:t>21, even if these remain below the compliance threshold.</w:t>
                            </w:r>
                            <w:r>
                              <w:t xml:space="preserve"> </w:t>
                            </w:r>
                            <w:r w:rsidRPr="006C4302">
                              <w:t>The Murrumbidgee has also been identified as an area of concern due to the high volume of water take within the SDL Resource Unit.</w:t>
                            </w:r>
                          </w:p>
                          <w:p w14:paraId="700CAF3A" w14:textId="0ACDC72D" w:rsidR="00004DA4" w:rsidRPr="006D0F0F" w:rsidRDefault="00004DA4" w:rsidP="00004DA4">
                            <w:r w:rsidRPr="006C4302">
                              <w:t>The initial upward trend in the adjusted cumulative balance</w:t>
                            </w:r>
                            <w:r>
                              <w:t xml:space="preserve"> (relative to the SDL compliance threshold), </w:t>
                            </w:r>
                            <w:r w:rsidRPr="006C4302">
                              <w:t>particularly between 2019–</w:t>
                            </w:r>
                            <w:r>
                              <w:t>20</w:t>
                            </w:r>
                            <w:r w:rsidRPr="006C4302">
                              <w:t>20 and 2020–</w:t>
                            </w:r>
                            <w:r>
                              <w:t>20</w:t>
                            </w:r>
                            <w:r w:rsidRPr="006C4302">
                              <w:t>21</w:t>
                            </w:r>
                            <w:r>
                              <w:t xml:space="preserve">, </w:t>
                            </w:r>
                            <w:r w:rsidRPr="006C4302">
                              <w:t>may be partly attributed to the transition from a drought to wetter conditions during that period.</w:t>
                            </w:r>
                            <w:r>
                              <w:t xml:space="preserve"> Since 2021-2022 there has been a downward trend in the adjusted cumulative balance which may be a reflection of the La Niña conditions. The IGWC will continue closely monitoring the Murrumbidgee as it becomes eligible for SDL compliance in 2024-2025 and is subject to a one-off adjustment to account for</w:t>
                            </w:r>
                            <w:r w:rsidR="001812CE">
                              <w:t xml:space="preserve"> the accredited accounting method</w:t>
                            </w:r>
                            <w:r>
                              <w:t xml:space="preserve"> </w:t>
                            </w:r>
                            <w:r w:rsidR="00144A65">
                              <w:t xml:space="preserve">being applied to </w:t>
                            </w:r>
                            <w:r>
                              <w:t>water usage since 2019-2020.</w:t>
                            </w:r>
                          </w:p>
                          <w:p w14:paraId="436074E2" w14:textId="77777777" w:rsidR="00004DA4" w:rsidRDefault="00004D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25B072" id="Text Box 3" o:spid="_x0000_s1027" type="#_x0000_t202" style="width:484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" fillcolor="#bcd8e3 [3201]" strokecolor="#bcd7e2 [3206]" strokeweight="2pt">
                <v:textbox>
                  <w:txbxContent>
                    <w:p w14:paraId="62811D50" w14:textId="54F37A4D" w:rsidR="00004DA4" w:rsidRDefault="00004DA4" w:rsidP="00004DA4">
                      <w:pPr>
                        <w:pStyle w:val="Heading4"/>
                      </w:pPr>
                      <w:r>
                        <w:rPr>
                          <w:b/>
                        </w:rPr>
                        <w:t>Case Study</w:t>
                      </w:r>
                      <w:r w:rsidR="00065505">
                        <w:rPr>
                          <w:b/>
                        </w:rPr>
                        <w:t xml:space="preserve"> 2</w:t>
                      </w:r>
                      <w:r>
                        <w:rPr>
                          <w:b/>
                        </w:rPr>
                        <w:t xml:space="preserve">: </w:t>
                      </w:r>
                      <w:r w:rsidRPr="00D31FD1">
                        <w:rPr>
                          <w:b/>
                        </w:rPr>
                        <w:t>Murrumbidgee</w:t>
                      </w:r>
                      <w:r w:rsidRPr="00540423">
                        <w:t xml:space="preserve"> </w:t>
                      </w:r>
                    </w:p>
                    <w:p w14:paraId="0E4E61DA" w14:textId="07F0C3D9" w:rsidR="00004DA4" w:rsidRDefault="00004DA4" w:rsidP="00004DA4">
                      <w:r w:rsidRPr="00E41019">
                        <w:t xml:space="preserve">Although the Murrumbidgee surface water </w:t>
                      </w:r>
                      <w:r w:rsidR="001812CE">
                        <w:t>WRP</w:t>
                      </w:r>
                      <w:r w:rsidRPr="00E41019">
                        <w:t xml:space="preserve"> did not become operational until 29 February 2024</w:t>
                      </w:r>
                      <w:r>
                        <w:t xml:space="preserve"> and</w:t>
                      </w:r>
                      <w:r w:rsidRPr="00E41019">
                        <w:t xml:space="preserve"> will not be subject to SDL compliance assessment until the 202</w:t>
                      </w:r>
                      <w:r>
                        <w:t>4</w:t>
                      </w:r>
                      <w:r w:rsidRPr="00E41019">
                        <w:t>–</w:t>
                      </w:r>
                      <w:r>
                        <w:t>20</w:t>
                      </w:r>
                      <w:r w:rsidRPr="00E41019">
                        <w:t>2</w:t>
                      </w:r>
                      <w:r>
                        <w:t>5</w:t>
                      </w:r>
                      <w:r w:rsidRPr="00E41019">
                        <w:t xml:space="preserve"> water accounting year</w:t>
                      </w:r>
                      <w:r>
                        <w:t xml:space="preserve">, </w:t>
                      </w:r>
                      <w:r w:rsidRPr="00E41019">
                        <w:t>the IGWC has identified it as an area of concern</w:t>
                      </w:r>
                      <w:r>
                        <w:t xml:space="preserve"> (Figure </w:t>
                      </w:r>
                      <w:r w:rsidR="00606133">
                        <w:t>8</w:t>
                      </w:r>
                      <w:r>
                        <w:t>)</w:t>
                      </w:r>
                      <w:r w:rsidRPr="00E41019">
                        <w:t xml:space="preserve">. This is due to the extended period during which it operated without an accredited </w:t>
                      </w:r>
                      <w:r w:rsidR="00944FE2">
                        <w:t>water resource plan</w:t>
                      </w:r>
                      <w:r w:rsidRPr="00E41019">
                        <w:t>, as well as consistent SDL</w:t>
                      </w:r>
                      <w:r>
                        <w:t xml:space="preserve"> </w:t>
                      </w:r>
                      <w:r w:rsidRPr="00E41019">
                        <w:t>exceedances since 2020–</w:t>
                      </w:r>
                      <w:r>
                        <w:t>20</w:t>
                      </w:r>
                      <w:r w:rsidRPr="00E41019">
                        <w:t>21, even if these remain below the compliance threshold.</w:t>
                      </w:r>
                      <w:r>
                        <w:t xml:space="preserve"> </w:t>
                      </w:r>
                      <w:r w:rsidRPr="006C4302">
                        <w:t>The Murrumbidgee has also been identified as an area of concern due to the high volume of water take within the SDL Resource Unit.</w:t>
                      </w:r>
                    </w:p>
                    <w:p w14:paraId="700CAF3A" w14:textId="0ACDC72D" w:rsidR="00004DA4" w:rsidRPr="006D0F0F" w:rsidRDefault="00004DA4" w:rsidP="00004DA4">
                      <w:r w:rsidRPr="006C4302">
                        <w:t>The initial upward trend in the adjusted cumulative balance</w:t>
                      </w:r>
                      <w:r>
                        <w:t xml:space="preserve"> (relative to the SDL compliance threshold), </w:t>
                      </w:r>
                      <w:r w:rsidRPr="006C4302">
                        <w:t>particularly between 2019–</w:t>
                      </w:r>
                      <w:r>
                        <w:t>20</w:t>
                      </w:r>
                      <w:r w:rsidRPr="006C4302">
                        <w:t>20 and 2020–</w:t>
                      </w:r>
                      <w:r>
                        <w:t>20</w:t>
                      </w:r>
                      <w:r w:rsidRPr="006C4302">
                        <w:t>21</w:t>
                      </w:r>
                      <w:r>
                        <w:t xml:space="preserve">, </w:t>
                      </w:r>
                      <w:r w:rsidRPr="006C4302">
                        <w:t>may be partly attributed to the transition from a drought to wetter conditions during that period.</w:t>
                      </w:r>
                      <w:r>
                        <w:t xml:space="preserve"> Since 2021-2022 there has been a downward trend in the adjusted cumulative balance which may </w:t>
                      </w:r>
                      <w:proofErr w:type="gramStart"/>
                      <w:r>
                        <w:t>be a reflection of</w:t>
                      </w:r>
                      <w:proofErr w:type="gramEnd"/>
                      <w:r>
                        <w:t xml:space="preserve"> the La Niña conditions. The IGWC will continue closely monitoring the Murrumbidgee as it becomes eligible for SDL compliance in 2024-2025 and is subject to a one-off adjustment to account for</w:t>
                      </w:r>
                      <w:r w:rsidR="001812CE">
                        <w:t xml:space="preserve"> the accredited accounting method</w:t>
                      </w:r>
                      <w:r>
                        <w:t xml:space="preserve"> </w:t>
                      </w:r>
                      <w:r w:rsidR="00144A65">
                        <w:t xml:space="preserve">being applied to </w:t>
                      </w:r>
                      <w:r>
                        <w:t>water usage since 2019-2020.</w:t>
                      </w:r>
                    </w:p>
                    <w:p w14:paraId="436074E2" w14:textId="77777777" w:rsidR="00004DA4" w:rsidRDefault="00004DA4"/>
                  </w:txbxContent>
                </v:textbox>
                <w10:anchorlock/>
              </v:shape>
            </w:pict>
          </mc:Fallback>
        </mc:AlternateContent>
      </w:r>
    </w:p>
    <w:p w14:paraId="16E7BC95" w14:textId="77777777" w:rsidR="00CD2FAA" w:rsidRDefault="00CD2FAA" w:rsidP="00CD2FAA">
      <w:pPr>
        <w:rPr>
          <w:b/>
          <w:bCs/>
        </w:rPr>
      </w:pPr>
    </w:p>
    <w:p w14:paraId="533A4CEF" w14:textId="77777777" w:rsidR="00CD2FAA" w:rsidRDefault="00CD2FAA" w:rsidP="00CD2FAA">
      <w:pPr>
        <w:rPr>
          <w:b/>
          <w:bCs/>
        </w:rPr>
      </w:pPr>
      <w:r>
        <w:rPr>
          <w:b/>
          <w:bCs/>
          <w:noProof/>
        </w:rPr>
        <w:lastRenderedPageBreak/>
        <w:drawing>
          <wp:inline distT="0" distB="0" distL="0" distR="0" wp14:anchorId="19C9A94A" wp14:editId="56B844A0">
            <wp:extent cx="6084000" cy="3880800"/>
            <wp:effectExtent l="0" t="0" r="0" b="5715"/>
            <wp:docPr id="702166473" name="Picture 1" descr="A line graph showing an analysis of SDL trends in the Murrumbidgee since 2019-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66473" name="Picture 1" descr="A line graph showing an analysis of SDL trends in the Murrumbidgee since 2019-2020. "/>
                    <pic:cNvPicPr/>
                  </pic:nvPicPr>
                  <pic:blipFill>
                    <a:blip r:embed="rId31">
                      <a:extLst>
                        <a:ext uri="{28A0092B-C50C-407E-A947-70E740481C1C}">
                          <a14:useLocalDpi xmlns:a14="http://schemas.microsoft.com/office/drawing/2010/main" val="0"/>
                        </a:ext>
                      </a:extLst>
                    </a:blip>
                    <a:stretch>
                      <a:fillRect/>
                    </a:stretch>
                  </pic:blipFill>
                  <pic:spPr>
                    <a:xfrm>
                      <a:off x="0" y="0"/>
                      <a:ext cx="6084000" cy="3880800"/>
                    </a:xfrm>
                    <a:prstGeom prst="rect">
                      <a:avLst/>
                    </a:prstGeom>
                  </pic:spPr>
                </pic:pic>
              </a:graphicData>
            </a:graphic>
          </wp:inline>
        </w:drawing>
      </w:r>
    </w:p>
    <w:p w14:paraId="7EA65E7D" w14:textId="2C657DE3" w:rsidR="00CD2FAA" w:rsidRPr="00CC0CD5" w:rsidRDefault="00CD2FAA" w:rsidP="00CC0CD5">
      <w:pPr>
        <w:pStyle w:val="Caption"/>
        <w:rPr>
          <w:i w:val="0"/>
          <w:color w:val="auto"/>
          <w:sz w:val="20"/>
          <w:szCs w:val="22"/>
        </w:rPr>
      </w:pPr>
      <w:r w:rsidRPr="00606133">
        <w:rPr>
          <w:b/>
          <w:i w:val="0"/>
          <w:color w:val="auto"/>
        </w:rPr>
        <w:t xml:space="preserve">Figure </w:t>
      </w:r>
      <w:r w:rsidR="00606133" w:rsidRPr="00606133">
        <w:rPr>
          <w:b/>
          <w:bCs/>
          <w:i w:val="0"/>
          <w:iCs w:val="0"/>
          <w:color w:val="auto"/>
        </w:rPr>
        <w:t>8</w:t>
      </w:r>
      <w:r w:rsidRPr="00606133">
        <w:rPr>
          <w:i w:val="0"/>
          <w:iCs w:val="0"/>
          <w:color w:val="auto"/>
          <w:sz w:val="20"/>
          <w:szCs w:val="22"/>
        </w:rPr>
        <w:t>:</w:t>
      </w:r>
      <w:r w:rsidRPr="00606133">
        <w:rPr>
          <w:i w:val="0"/>
          <w:color w:val="auto"/>
          <w:sz w:val="20"/>
          <w:szCs w:val="22"/>
        </w:rPr>
        <w:t xml:space="preserve"> Analysis of SDL trends in the Murrumbidgee since 2019-2020. Please note the Murrumbidgee </w:t>
      </w:r>
      <w:r w:rsidRPr="00CC0CD5">
        <w:rPr>
          <w:i w:val="0"/>
          <w:color w:val="auto"/>
          <w:sz w:val="20"/>
          <w:szCs w:val="22"/>
        </w:rPr>
        <w:t>was not subject to SDL compliance during this period. SDL and compliance trigger shown to give context to adjusted cumulative balance.</w:t>
      </w:r>
    </w:p>
    <w:p w14:paraId="4F83D04E" w14:textId="77777777" w:rsidR="00CD2FAA" w:rsidRDefault="00CD2FAA" w:rsidP="00CD2FAA"/>
    <w:p w14:paraId="0EDB1396" w14:textId="1678E20C" w:rsidR="00CD2FAA" w:rsidRDefault="00C52E2D" w:rsidP="00CD2FAA">
      <w:r>
        <w:rPr>
          <w:noProof/>
        </w:rPr>
        <mc:AlternateContent>
          <mc:Choice Requires="wps">
            <w:drawing>
              <wp:inline distT="0" distB="0" distL="0" distR="0" wp14:anchorId="3684A2C1" wp14:editId="1C926566">
                <wp:extent cx="6120130" cy="2294626"/>
                <wp:effectExtent l="0" t="0" r="13970" b="10795"/>
                <wp:docPr id="767952858" name="Text Box 3"/>
                <wp:cNvGraphicFramePr/>
                <a:graphic xmlns:a="http://schemas.openxmlformats.org/drawingml/2006/main">
                  <a:graphicData uri="http://schemas.microsoft.com/office/word/2010/wordprocessingShape">
                    <wps:wsp>
                      <wps:cNvSpPr txBox="1"/>
                      <wps:spPr>
                        <a:xfrm>
                          <a:off x="0" y="0"/>
                          <a:ext cx="6120130" cy="2294626"/>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1FAF2D2C" w14:textId="2726AB15" w:rsidR="00C52E2D" w:rsidRDefault="00C52E2D" w:rsidP="00C52E2D">
                            <w:pPr>
                              <w:pStyle w:val="Heading4"/>
                            </w:pPr>
                            <w:r>
                              <w:rPr>
                                <w:b/>
                              </w:rPr>
                              <w:t>Case Study</w:t>
                            </w:r>
                            <w:r w:rsidR="00065505">
                              <w:rPr>
                                <w:b/>
                              </w:rPr>
                              <w:t xml:space="preserve"> 3</w:t>
                            </w:r>
                            <w:r>
                              <w:rPr>
                                <w:b/>
                              </w:rPr>
                              <w:t>: Condamine-Balonne</w:t>
                            </w:r>
                            <w:r w:rsidRPr="00540423">
                              <w:t xml:space="preserve"> </w:t>
                            </w:r>
                          </w:p>
                          <w:p w14:paraId="73C76C01" w14:textId="7925AE5F" w:rsidR="00C52E2D" w:rsidRDefault="00C52E2D" w:rsidP="00C52E2D">
                            <w:r>
                              <w:t xml:space="preserve">Another area closely examined by the IGWC was the Condamine-Balonne catchment in Queensland. The Condamine-Balonne surface water </w:t>
                            </w:r>
                            <w:r w:rsidR="00144A65">
                              <w:t>WRP</w:t>
                            </w:r>
                            <w:r>
                              <w:t xml:space="preserve"> has been operational since September 21, 2019, with SDL compliance enforceable since the 2020-2021 water year. Figure</w:t>
                            </w:r>
                            <w:r w:rsidR="00F66734">
                              <w:t xml:space="preserve"> </w:t>
                            </w:r>
                            <w:r w:rsidR="00606133">
                              <w:t>9</w:t>
                            </w:r>
                            <w:r>
                              <w:t xml:space="preserve"> shows the Condamine-Balone was trending towards exceedance of the SDL (although still well below the compliance threshold) at the tail end of the drought period before prevailing wet conditions contributed to move the adjusted cumulative balance away from the SDL. </w:t>
                            </w:r>
                            <w:r w:rsidRPr="00CF22F2">
                              <w:t>Although recent data indicates that the Condamine–Balonne is not currently approaching SDL non-compliance, the IGWC will continue to monitor the catchment closely due to the high volume of floodplain harvesting in the region and ongoing concerns about the accuracy of modelled floodplain harvesting</w:t>
                            </w:r>
                            <w:r w:rsidR="00144A65">
                              <w:t xml:space="preserve"> actual take</w:t>
                            </w:r>
                            <w:r w:rsidRPr="00CF22F2">
                              <w:t xml:space="preserve"> data (referred to as overland flow in Queensland).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684A2C1" id="_x0000_s1028" type="#_x0000_t202" style="width:481.9pt;height:18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" fillcolor="#bcd8e3 [3201]" strokecolor="#bcd7e2 [3206]" strokeweight="2pt">
                <v:textbox>
                  <w:txbxContent>
                    <w:p w14:paraId="1FAF2D2C" w14:textId="2726AB15" w:rsidR="00C52E2D" w:rsidRDefault="00C52E2D" w:rsidP="00C52E2D">
                      <w:pPr>
                        <w:pStyle w:val="Heading4"/>
                      </w:pPr>
                      <w:r>
                        <w:rPr>
                          <w:b/>
                        </w:rPr>
                        <w:t>Case Study</w:t>
                      </w:r>
                      <w:r w:rsidR="00065505">
                        <w:rPr>
                          <w:b/>
                        </w:rPr>
                        <w:t xml:space="preserve"> 3</w:t>
                      </w:r>
                      <w:r>
                        <w:rPr>
                          <w:b/>
                        </w:rPr>
                        <w:t>: Condamine-Balonne</w:t>
                      </w:r>
                      <w:r w:rsidRPr="00540423">
                        <w:t xml:space="preserve"> </w:t>
                      </w:r>
                    </w:p>
                    <w:p w14:paraId="73C76C01" w14:textId="7925AE5F" w:rsidR="00C52E2D" w:rsidRDefault="00C52E2D" w:rsidP="00C52E2D">
                      <w:r>
                        <w:t xml:space="preserve">Another area closely examined by the IGWC was the Condamine-Balonne catchment in Queensland. The Condamine-Balonne surface water </w:t>
                      </w:r>
                      <w:r w:rsidR="00144A65">
                        <w:t>WRP</w:t>
                      </w:r>
                      <w:r>
                        <w:t xml:space="preserve"> has been operational since September 21, 2019, with SDL compliance enforceable since the 2020-2021 water year. Figure</w:t>
                      </w:r>
                      <w:r w:rsidR="00F66734">
                        <w:t xml:space="preserve"> </w:t>
                      </w:r>
                      <w:r w:rsidR="00606133">
                        <w:t>9</w:t>
                      </w:r>
                      <w:r>
                        <w:t xml:space="preserve"> shows the Condamine-Balone was trending towards exceedance of the SDL (although still well below the compliance threshold) at the tail end of the drought period before prevailing wet conditions contributed to move the adjusted cumulative balance away from the SDL. </w:t>
                      </w:r>
                      <w:r w:rsidRPr="00CF22F2">
                        <w:t>Although recent data indicates that the Condamine–Balonne is not currently approaching SDL non-compliance, the IGWC will continue to monitor the catchment closely due to the high volume of floodplain harvesting in the region and ongoing concerns about the accuracy of modelled floodplain harvesting</w:t>
                      </w:r>
                      <w:r w:rsidR="00144A65">
                        <w:t xml:space="preserve"> actual take</w:t>
                      </w:r>
                      <w:r w:rsidRPr="00CF22F2">
                        <w:t xml:space="preserve"> data (referred to as overland flow in Queensland).</w:t>
                      </w:r>
                    </w:p>
                  </w:txbxContent>
                </v:textbox>
                <w10:anchorlock/>
              </v:shape>
            </w:pict>
          </mc:Fallback>
        </mc:AlternateContent>
      </w:r>
    </w:p>
    <w:p w14:paraId="3592BFF7" w14:textId="77777777" w:rsidR="00CD2FAA" w:rsidRDefault="00CD2FAA" w:rsidP="00CD2FAA"/>
    <w:p w14:paraId="59DB3CE6" w14:textId="77777777" w:rsidR="00CD2FAA" w:rsidRDefault="00CD2FAA" w:rsidP="00CD2FAA">
      <w:pPr>
        <w:rPr>
          <w:b/>
          <w:bCs/>
        </w:rPr>
      </w:pPr>
      <w:r>
        <w:rPr>
          <w:b/>
          <w:bCs/>
          <w:noProof/>
        </w:rPr>
        <w:lastRenderedPageBreak/>
        <w:drawing>
          <wp:inline distT="0" distB="0" distL="0" distR="0" wp14:anchorId="341A7F7B" wp14:editId="7490B448">
            <wp:extent cx="6084000" cy="4017600"/>
            <wp:effectExtent l="0" t="0" r="0" b="2540"/>
            <wp:docPr id="768383201" name="Picture 2" descr="A line graph depicting an analysis of SDL trends in the Condamine-Balonne since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83201" name="Picture 2" descr="A line graph depicting an analysis of SDL trends in the Condamine-Balonne since 2019-2020."/>
                    <pic:cNvPicPr/>
                  </pic:nvPicPr>
                  <pic:blipFill>
                    <a:blip r:embed="rId32">
                      <a:extLst>
                        <a:ext uri="{28A0092B-C50C-407E-A947-70E740481C1C}">
                          <a14:useLocalDpi xmlns:a14="http://schemas.microsoft.com/office/drawing/2010/main" val="0"/>
                        </a:ext>
                      </a:extLst>
                    </a:blip>
                    <a:stretch>
                      <a:fillRect/>
                    </a:stretch>
                  </pic:blipFill>
                  <pic:spPr>
                    <a:xfrm>
                      <a:off x="0" y="0"/>
                      <a:ext cx="6084000" cy="4017600"/>
                    </a:xfrm>
                    <a:prstGeom prst="rect">
                      <a:avLst/>
                    </a:prstGeom>
                  </pic:spPr>
                </pic:pic>
              </a:graphicData>
            </a:graphic>
          </wp:inline>
        </w:drawing>
      </w:r>
    </w:p>
    <w:p w14:paraId="4ABC190C" w14:textId="5773BA0C" w:rsidR="00CD2FAA" w:rsidRDefault="00CD2FAA" w:rsidP="00F66734">
      <w:pPr>
        <w:pStyle w:val="Caption"/>
      </w:pPr>
      <w:r w:rsidRPr="00606133">
        <w:rPr>
          <w:b/>
          <w:i w:val="0"/>
          <w:color w:val="auto"/>
        </w:rPr>
        <w:t xml:space="preserve">Figure </w:t>
      </w:r>
      <w:r w:rsidR="00606133" w:rsidRPr="00606133">
        <w:rPr>
          <w:b/>
          <w:bCs/>
          <w:i w:val="0"/>
          <w:iCs w:val="0"/>
          <w:color w:val="auto"/>
        </w:rPr>
        <w:t>9</w:t>
      </w:r>
      <w:r w:rsidRPr="00606133">
        <w:rPr>
          <w:i w:val="0"/>
          <w:color w:val="auto"/>
          <w:sz w:val="20"/>
          <w:szCs w:val="22"/>
        </w:rPr>
        <w:t xml:space="preserve">: Analysis </w:t>
      </w:r>
      <w:r w:rsidRPr="00F66734">
        <w:rPr>
          <w:i w:val="0"/>
          <w:color w:val="auto"/>
          <w:sz w:val="20"/>
          <w:szCs w:val="22"/>
        </w:rPr>
        <w:t>of SDL trends in the Condamine-Balonne since 2019-2020.</w:t>
      </w:r>
    </w:p>
    <w:p w14:paraId="2D19C4DE" w14:textId="77777777" w:rsidR="00CD2FAA" w:rsidRDefault="00CD2FAA" w:rsidP="00CD2FAA"/>
    <w:p w14:paraId="0D071394" w14:textId="58D4D72F" w:rsidR="003014E4" w:rsidRDefault="003014E4" w:rsidP="00CD2FAA">
      <w:r>
        <w:rPr>
          <w:noProof/>
        </w:rPr>
        <mc:AlternateContent>
          <mc:Choice Requires="wps">
            <w:drawing>
              <wp:inline distT="0" distB="0" distL="0" distR="0" wp14:anchorId="78501377" wp14:editId="09507480">
                <wp:extent cx="6120130" cy="4123426"/>
                <wp:effectExtent l="0" t="0" r="13970" b="10795"/>
                <wp:docPr id="325339873" name="Text Box 3"/>
                <wp:cNvGraphicFramePr/>
                <a:graphic xmlns:a="http://schemas.openxmlformats.org/drawingml/2006/main">
                  <a:graphicData uri="http://schemas.microsoft.com/office/word/2010/wordprocessingShape">
                    <wps:wsp>
                      <wps:cNvSpPr txBox="1"/>
                      <wps:spPr>
                        <a:xfrm>
                          <a:off x="0" y="0"/>
                          <a:ext cx="6120130" cy="4123426"/>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ED25766" w14:textId="252A502E" w:rsidR="003014E4" w:rsidRDefault="003014E4" w:rsidP="003014E4">
                            <w:pPr>
                              <w:pStyle w:val="Heading4"/>
                            </w:pPr>
                            <w:r>
                              <w:rPr>
                                <w:b/>
                              </w:rPr>
                              <w:t>Case Study</w:t>
                            </w:r>
                            <w:r w:rsidR="00FD5E4F">
                              <w:rPr>
                                <w:b/>
                              </w:rPr>
                              <w:t xml:space="preserve"> 4</w:t>
                            </w:r>
                            <w:r>
                              <w:rPr>
                                <w:b/>
                              </w:rPr>
                              <w:t xml:space="preserve">: </w:t>
                            </w:r>
                            <w:r w:rsidRPr="00D31FD1">
                              <w:rPr>
                                <w:b/>
                              </w:rPr>
                              <w:t>Upper Macquarie Alluvium</w:t>
                            </w:r>
                            <w:r w:rsidRPr="00540423">
                              <w:t xml:space="preserve"> </w:t>
                            </w:r>
                          </w:p>
                          <w:p w14:paraId="5BE3CEA9" w14:textId="2FB90920" w:rsidR="003014E4" w:rsidRDefault="003014E4" w:rsidP="003014E4">
                            <w:r>
                              <w:t xml:space="preserve">As with surface water, all groundwater SDL resource units were found to be compliant with SDLs. The Upper Macquarie Alluvium is part of the Macquarie-Castlereagh Alluvium </w:t>
                            </w:r>
                            <w:r w:rsidR="005033CB">
                              <w:t>water resource plan</w:t>
                            </w:r>
                            <w:r>
                              <w:t xml:space="preserve"> which has been operational since 24 December 2022, meaning that 2023-2024 is the first water year that this area has been assessed for SDL compliance.</w:t>
                            </w:r>
                          </w:p>
                          <w:p w14:paraId="295B690F" w14:textId="1382AA04" w:rsidR="003014E4" w:rsidRDefault="003014E4" w:rsidP="003014E4">
                            <w:r>
                              <w:t xml:space="preserve">Figure </w:t>
                            </w:r>
                            <w:r w:rsidR="00606133">
                              <w:t>10</w:t>
                            </w:r>
                            <w:r>
                              <w:t xml:space="preserve"> demonstrates initial periods in “excess” before moving below the compliance threshold. Although SDL compliance was not enforceable in the Upper Macquarie Alluvium at the time, a claim of reasonable excuse was provided by NSW to the MDBA. As this was prior to the establishment of the IGWC, the MDBA assessed this claim of reasonable excuse as valid, with NSW also providing ‘make good’ actions to ensure SDL non-compliance does not occur in the future. Make good actions included:</w:t>
                            </w:r>
                          </w:p>
                          <w:p w14:paraId="32DA1D2C" w14:textId="77777777" w:rsidR="003014E4" w:rsidRPr="00F83F1A" w:rsidRDefault="003014E4" w:rsidP="003014E4">
                            <w:pPr>
                              <w:pStyle w:val="ListParagraph"/>
                              <w:numPr>
                                <w:ilvl w:val="0"/>
                                <w:numId w:val="21"/>
                              </w:numPr>
                              <w:rPr>
                                <w:rFonts w:ascii="Verdana" w:hAnsi="Verdana"/>
                                <w:sz w:val="20"/>
                                <w:szCs w:val="20"/>
                              </w:rPr>
                            </w:pPr>
                            <w:r w:rsidRPr="00F83F1A">
                              <w:rPr>
                                <w:rFonts w:ascii="Verdana" w:hAnsi="Verdana"/>
                                <w:sz w:val="20"/>
                                <w:szCs w:val="20"/>
                              </w:rPr>
                              <w:t>Continuing to monitor groundwater take and assess whether there is any growth in use (in relation to ‘take from groundwater’)</w:t>
                            </w:r>
                          </w:p>
                          <w:p w14:paraId="749DE7B7" w14:textId="77777777" w:rsidR="003014E4" w:rsidRPr="00F83F1A" w:rsidRDefault="003014E4" w:rsidP="003014E4">
                            <w:pPr>
                              <w:pStyle w:val="ListParagraph"/>
                              <w:numPr>
                                <w:ilvl w:val="0"/>
                                <w:numId w:val="21"/>
                              </w:numPr>
                              <w:rPr>
                                <w:rFonts w:ascii="Verdana" w:hAnsi="Verdana"/>
                                <w:sz w:val="20"/>
                                <w:szCs w:val="20"/>
                              </w:rPr>
                            </w:pPr>
                            <w:r w:rsidRPr="00F83F1A">
                              <w:rPr>
                                <w:rFonts w:ascii="Verdana" w:hAnsi="Verdana"/>
                                <w:sz w:val="20"/>
                                <w:szCs w:val="20"/>
                              </w:rPr>
                              <w:t>Announcing an available water determination if necessary, to reduce extraction back to the compliance trigger</w:t>
                            </w:r>
                          </w:p>
                          <w:p w14:paraId="68CF434D" w14:textId="77777777" w:rsidR="003014E4" w:rsidRDefault="003014E4" w:rsidP="003014E4">
                            <w:pPr>
                              <w:pStyle w:val="ListParagraph"/>
                              <w:numPr>
                                <w:ilvl w:val="0"/>
                                <w:numId w:val="21"/>
                              </w:numPr>
                              <w:rPr>
                                <w:rFonts w:ascii="Verdana" w:hAnsi="Verdana"/>
                                <w:sz w:val="20"/>
                                <w:szCs w:val="20"/>
                              </w:rPr>
                            </w:pPr>
                            <w:r w:rsidRPr="00F83F1A">
                              <w:rPr>
                                <w:rFonts w:ascii="Verdana" w:hAnsi="Verdana"/>
                                <w:sz w:val="20"/>
                                <w:szCs w:val="20"/>
                              </w:rPr>
                              <w:t>Undertaking a review of the variable permitted take method after five years, or earlier, if warranted.</w:t>
                            </w:r>
                          </w:p>
                          <w:p w14:paraId="7255C97F" w14:textId="77777777" w:rsidR="003014E4" w:rsidRDefault="003014E4" w:rsidP="003014E4">
                            <w:pPr>
                              <w:rPr>
                                <w:b/>
                                <w:bCs/>
                              </w:rPr>
                            </w:pPr>
                            <w:r w:rsidRPr="00817067">
                              <w:t>Since exceeding the initial compliance trigger, cumulative actual take in the Upper Macquarie has fallen below the cumulative permitted take</w:t>
                            </w:r>
                            <w:r>
                              <w:rPr>
                                <w:szCs w:val="20"/>
                              </w:rPr>
                              <w:t xml:space="preserve"> and trended away from SDL non-compliance</w:t>
                            </w:r>
                            <w:r w:rsidRPr="00817067">
                              <w:rPr>
                                <w:szCs w:val="20"/>
                              </w:rPr>
                              <w:t>. Nevertheless, the IGWC will continue to closely monitor the area to identify any early signs of potential SDL non-compliance.</w:t>
                            </w:r>
                          </w:p>
                          <w:p w14:paraId="466FD379" w14:textId="780E691F" w:rsidR="003014E4" w:rsidRDefault="003014E4" w:rsidP="003014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8501377" id="_x0000_s1029" type="#_x0000_t202" style="width:481.9pt;height:32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" fillcolor="#bcd8e3 [3201]" strokecolor="#bcd7e2 [3206]" strokeweight="2pt">
                <v:textbox>
                  <w:txbxContent>
                    <w:p w14:paraId="5ED25766" w14:textId="252A502E" w:rsidR="003014E4" w:rsidRDefault="003014E4" w:rsidP="003014E4">
                      <w:pPr>
                        <w:pStyle w:val="Heading4"/>
                      </w:pPr>
                      <w:r>
                        <w:rPr>
                          <w:b/>
                        </w:rPr>
                        <w:t>Case Study</w:t>
                      </w:r>
                      <w:r w:rsidR="00FD5E4F">
                        <w:rPr>
                          <w:b/>
                        </w:rPr>
                        <w:t xml:space="preserve"> 4</w:t>
                      </w:r>
                      <w:r>
                        <w:rPr>
                          <w:b/>
                        </w:rPr>
                        <w:t xml:space="preserve">: </w:t>
                      </w:r>
                      <w:r w:rsidRPr="00D31FD1">
                        <w:rPr>
                          <w:b/>
                        </w:rPr>
                        <w:t>Upper Macquarie Alluvium</w:t>
                      </w:r>
                      <w:r w:rsidRPr="00540423">
                        <w:t xml:space="preserve"> </w:t>
                      </w:r>
                    </w:p>
                    <w:p w14:paraId="5BE3CEA9" w14:textId="2FB90920" w:rsidR="003014E4" w:rsidRDefault="003014E4" w:rsidP="003014E4">
                      <w:r>
                        <w:t xml:space="preserve">As with surface water, all groundwater SDL resource units were found to be compliant with SDLs. The Upper Macquarie Alluvium is part of the Macquarie-Castlereagh Alluvium </w:t>
                      </w:r>
                      <w:r w:rsidR="005033CB">
                        <w:t>water resource plan</w:t>
                      </w:r>
                      <w:r>
                        <w:t xml:space="preserve"> which has been operational since 24 December 2022, meaning that 2023-2024 is the first water year that this area has been assessed for SDL compliance.</w:t>
                      </w:r>
                    </w:p>
                    <w:p w14:paraId="295B690F" w14:textId="1382AA04" w:rsidR="003014E4" w:rsidRDefault="003014E4" w:rsidP="003014E4">
                      <w:r>
                        <w:t xml:space="preserve">Figure </w:t>
                      </w:r>
                      <w:r w:rsidR="00606133">
                        <w:t>10</w:t>
                      </w:r>
                      <w:r>
                        <w:t xml:space="preserve"> demonstrates initial periods in “excess” before moving below the compliance threshold. Although SDL compliance was not enforceable in the Upper Macquarie Alluvium at the time, a claim of reasonable excuse was provided by NSW to the MDBA. As this was prior to the establishment of the IGWC, the MDBA assessed this claim of reasonable excuse as valid, with NSW also providing ‘make good’ actions to ensure SDL non-compliance does not occur in the future. Make good actions included:</w:t>
                      </w:r>
                    </w:p>
                    <w:p w14:paraId="32DA1D2C" w14:textId="77777777" w:rsidR="003014E4" w:rsidRPr="00F83F1A" w:rsidRDefault="003014E4" w:rsidP="003014E4">
                      <w:pPr>
                        <w:pStyle w:val="ListParagraph"/>
                        <w:numPr>
                          <w:ilvl w:val="0"/>
                          <w:numId w:val="21"/>
                        </w:numPr>
                        <w:rPr>
                          <w:rFonts w:ascii="Verdana" w:hAnsi="Verdana"/>
                          <w:sz w:val="20"/>
                          <w:szCs w:val="20"/>
                        </w:rPr>
                      </w:pPr>
                      <w:r w:rsidRPr="00F83F1A">
                        <w:rPr>
                          <w:rFonts w:ascii="Verdana" w:hAnsi="Verdana"/>
                          <w:sz w:val="20"/>
                          <w:szCs w:val="20"/>
                        </w:rPr>
                        <w:t>Continuing to monitor groundwater take and assess whether there is any growth in use (in relation to ‘take from groundwater’)</w:t>
                      </w:r>
                    </w:p>
                    <w:p w14:paraId="749DE7B7" w14:textId="77777777" w:rsidR="003014E4" w:rsidRPr="00F83F1A" w:rsidRDefault="003014E4" w:rsidP="003014E4">
                      <w:pPr>
                        <w:pStyle w:val="ListParagraph"/>
                        <w:numPr>
                          <w:ilvl w:val="0"/>
                          <w:numId w:val="21"/>
                        </w:numPr>
                        <w:rPr>
                          <w:rFonts w:ascii="Verdana" w:hAnsi="Verdana"/>
                          <w:sz w:val="20"/>
                          <w:szCs w:val="20"/>
                        </w:rPr>
                      </w:pPr>
                      <w:r w:rsidRPr="00F83F1A">
                        <w:rPr>
                          <w:rFonts w:ascii="Verdana" w:hAnsi="Verdana"/>
                          <w:sz w:val="20"/>
                          <w:szCs w:val="20"/>
                        </w:rPr>
                        <w:t xml:space="preserve">Announcing an available water </w:t>
                      </w:r>
                      <w:proofErr w:type="gramStart"/>
                      <w:r w:rsidRPr="00F83F1A">
                        <w:rPr>
                          <w:rFonts w:ascii="Verdana" w:hAnsi="Verdana"/>
                          <w:sz w:val="20"/>
                          <w:szCs w:val="20"/>
                        </w:rPr>
                        <w:t>determination</w:t>
                      </w:r>
                      <w:proofErr w:type="gramEnd"/>
                      <w:r w:rsidRPr="00F83F1A">
                        <w:rPr>
                          <w:rFonts w:ascii="Verdana" w:hAnsi="Verdana"/>
                          <w:sz w:val="20"/>
                          <w:szCs w:val="20"/>
                        </w:rPr>
                        <w:t xml:space="preserve"> if necessary, to reduce extraction back to the compliance trigger</w:t>
                      </w:r>
                    </w:p>
                    <w:p w14:paraId="68CF434D" w14:textId="77777777" w:rsidR="003014E4" w:rsidRDefault="003014E4" w:rsidP="003014E4">
                      <w:pPr>
                        <w:pStyle w:val="ListParagraph"/>
                        <w:numPr>
                          <w:ilvl w:val="0"/>
                          <w:numId w:val="21"/>
                        </w:numPr>
                        <w:rPr>
                          <w:rFonts w:ascii="Verdana" w:hAnsi="Verdana"/>
                          <w:sz w:val="20"/>
                          <w:szCs w:val="20"/>
                        </w:rPr>
                      </w:pPr>
                      <w:r w:rsidRPr="00F83F1A">
                        <w:rPr>
                          <w:rFonts w:ascii="Verdana" w:hAnsi="Verdana"/>
                          <w:sz w:val="20"/>
                          <w:szCs w:val="20"/>
                        </w:rPr>
                        <w:t>Undertaking a review of the variable permitted take method after five years, or earlier, if warranted.</w:t>
                      </w:r>
                    </w:p>
                    <w:p w14:paraId="7255C97F" w14:textId="77777777" w:rsidR="003014E4" w:rsidRDefault="003014E4" w:rsidP="003014E4">
                      <w:pPr>
                        <w:rPr>
                          <w:b/>
                          <w:bCs/>
                        </w:rPr>
                      </w:pPr>
                      <w:r w:rsidRPr="00817067">
                        <w:t>Since exceeding the initial compliance trigger, cumulative actual take in the Upper Macquarie has fallen below the cumulative permitted take</w:t>
                      </w:r>
                      <w:r>
                        <w:rPr>
                          <w:szCs w:val="20"/>
                        </w:rPr>
                        <w:t xml:space="preserve"> and trended away from SDL non-compliance</w:t>
                      </w:r>
                      <w:r w:rsidRPr="00817067">
                        <w:rPr>
                          <w:szCs w:val="20"/>
                        </w:rPr>
                        <w:t>. Nevertheless, the IGWC will continue to closely monitor the area to identify any early signs of potential SDL non-compliance.</w:t>
                      </w:r>
                    </w:p>
                    <w:p w14:paraId="466FD379" w14:textId="780E691F" w:rsidR="003014E4" w:rsidRDefault="003014E4" w:rsidP="003014E4"/>
                  </w:txbxContent>
                </v:textbox>
                <w10:anchorlock/>
              </v:shape>
            </w:pict>
          </mc:Fallback>
        </mc:AlternateContent>
      </w:r>
    </w:p>
    <w:p w14:paraId="065FFB17" w14:textId="77777777" w:rsidR="00A120BC" w:rsidRDefault="00A120BC" w:rsidP="00CD2FAA"/>
    <w:p w14:paraId="0766B17E" w14:textId="77777777" w:rsidR="0002158B" w:rsidRDefault="00CD2FAA" w:rsidP="00CD2FAA">
      <w:pPr>
        <w:rPr>
          <w:b/>
          <w:bCs/>
        </w:rPr>
      </w:pPr>
      <w:r>
        <w:rPr>
          <w:b/>
          <w:bCs/>
          <w:noProof/>
        </w:rPr>
        <w:lastRenderedPageBreak/>
        <w:drawing>
          <wp:inline distT="0" distB="0" distL="0" distR="0" wp14:anchorId="52E16F4F" wp14:editId="5B831287">
            <wp:extent cx="6084000" cy="3672000"/>
            <wp:effectExtent l="0" t="0" r="0" b="5080"/>
            <wp:docPr id="923203994" name="Picture 3" descr="A graph showing SDL compliance assessment of and trend analysis of groundwater use in the Upper Macquarie Alluv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03994" name="Picture 3" descr="A graph showing SDL compliance assessment of and trend analysis of groundwater use in the Upper Macquarie Alluvium."/>
                    <pic:cNvPicPr/>
                  </pic:nvPicPr>
                  <pic:blipFill>
                    <a:blip r:embed="rId33">
                      <a:extLst>
                        <a:ext uri="{28A0092B-C50C-407E-A947-70E740481C1C}">
                          <a14:useLocalDpi xmlns:a14="http://schemas.microsoft.com/office/drawing/2010/main" val="0"/>
                        </a:ext>
                      </a:extLst>
                    </a:blip>
                    <a:stretch>
                      <a:fillRect/>
                    </a:stretch>
                  </pic:blipFill>
                  <pic:spPr>
                    <a:xfrm>
                      <a:off x="0" y="0"/>
                      <a:ext cx="6084000" cy="3672000"/>
                    </a:xfrm>
                    <a:prstGeom prst="rect">
                      <a:avLst/>
                    </a:prstGeom>
                  </pic:spPr>
                </pic:pic>
              </a:graphicData>
            </a:graphic>
          </wp:inline>
        </w:drawing>
      </w:r>
      <w:r w:rsidR="0002158B">
        <w:rPr>
          <w:b/>
          <w:bCs/>
        </w:rPr>
        <w:t xml:space="preserve">    </w:t>
      </w:r>
    </w:p>
    <w:p w14:paraId="201F15B4" w14:textId="7CE8F70E" w:rsidR="00CD2FAA" w:rsidRPr="0002158B" w:rsidRDefault="00CD2FAA" w:rsidP="0002158B">
      <w:pPr>
        <w:pStyle w:val="Caption"/>
        <w:rPr>
          <w:i w:val="0"/>
          <w:color w:val="auto"/>
          <w:sz w:val="20"/>
          <w:szCs w:val="22"/>
        </w:rPr>
      </w:pPr>
      <w:r w:rsidRPr="00606133" w:rsidDel="000B726B">
        <w:rPr>
          <w:b/>
          <w:i w:val="0"/>
          <w:color w:val="auto"/>
        </w:rPr>
        <w:t xml:space="preserve">Figure </w:t>
      </w:r>
      <w:r w:rsidR="00606133" w:rsidRPr="00606133">
        <w:rPr>
          <w:b/>
          <w:bCs/>
          <w:i w:val="0"/>
          <w:iCs w:val="0"/>
          <w:color w:val="auto"/>
        </w:rPr>
        <w:t>10</w:t>
      </w:r>
      <w:r w:rsidRPr="00606133">
        <w:rPr>
          <w:i w:val="0"/>
          <w:iCs w:val="0"/>
          <w:color w:val="auto"/>
          <w:sz w:val="20"/>
          <w:szCs w:val="22"/>
        </w:rPr>
        <w:t>:</w:t>
      </w:r>
      <w:r w:rsidRPr="00606133">
        <w:rPr>
          <w:i w:val="0"/>
          <w:color w:val="auto"/>
          <w:sz w:val="20"/>
          <w:szCs w:val="22"/>
        </w:rPr>
        <w:t xml:space="preserve"> SDL compliance assessment of and trend analysis of groundwater use in the Upper Macquarie </w:t>
      </w:r>
      <w:r w:rsidRPr="0002158B">
        <w:rPr>
          <w:i w:val="0"/>
          <w:color w:val="auto"/>
          <w:sz w:val="20"/>
          <w:szCs w:val="22"/>
        </w:rPr>
        <w:t>Alluvium.</w:t>
      </w:r>
    </w:p>
    <w:p w14:paraId="63906192" w14:textId="77777777" w:rsidR="00CD2FAA" w:rsidRDefault="00CD2FAA" w:rsidP="00CD2FAA"/>
    <w:p w14:paraId="34FC0D4F" w14:textId="77777777" w:rsidR="00CD2FAA" w:rsidRDefault="00CD2FAA" w:rsidP="00CD2FAA">
      <w:pPr>
        <w:pStyle w:val="Heading3"/>
      </w:pPr>
      <w:bookmarkStart w:id="16" w:name="_Toc203485725"/>
      <w:r>
        <w:t>Water Use across the Basin</w:t>
      </w:r>
      <w:bookmarkEnd w:id="16"/>
    </w:p>
    <w:p w14:paraId="44975F6C" w14:textId="77777777" w:rsidR="00CD2FAA" w:rsidRDefault="00CD2FAA" w:rsidP="00CD2FAA">
      <w:pPr>
        <w:pStyle w:val="Heading4"/>
        <w:rPr>
          <w:b/>
        </w:rPr>
      </w:pPr>
      <w:r w:rsidRPr="00D31FD1">
        <w:rPr>
          <w:b/>
        </w:rPr>
        <w:t>Surface Water</w:t>
      </w:r>
    </w:p>
    <w:p w14:paraId="7E349643" w14:textId="10752C66" w:rsidR="00CD2FAA" w:rsidRPr="006364F3" w:rsidRDefault="00CD2FAA" w:rsidP="00CD2FAA">
      <w:r w:rsidRPr="006364F3">
        <w:t>Surface water take across the Basin for the 2023–</w:t>
      </w:r>
      <w:r>
        <w:t>20</w:t>
      </w:r>
      <w:r w:rsidRPr="006364F3">
        <w:t>24 water accounting year totalled 11,063.87 GL. The majority of this</w:t>
      </w:r>
      <w:r>
        <w:t xml:space="preserve">, </w:t>
      </w:r>
      <w:r w:rsidRPr="006364F3">
        <w:t>approximately 59%</w:t>
      </w:r>
      <w:r>
        <w:t>, occurred</w:t>
      </w:r>
      <w:r w:rsidRPr="006364F3">
        <w:t xml:space="preserve"> in </w:t>
      </w:r>
      <w:r>
        <w:t>NSW</w:t>
      </w:r>
      <w:r w:rsidRPr="006364F3">
        <w:t xml:space="preserve">. </w:t>
      </w:r>
      <w:r>
        <w:t>As previously discussed</w:t>
      </w:r>
      <w:r w:rsidRPr="006364F3">
        <w:t xml:space="preserve">, none of </w:t>
      </w:r>
      <w:r>
        <w:t>NSWs</w:t>
      </w:r>
      <w:r w:rsidRPr="006364F3">
        <w:t xml:space="preserve"> surface water take can currently be assessed for SDL compliance, as no surface water </w:t>
      </w:r>
      <w:r w:rsidR="00144A65">
        <w:t>WRPs</w:t>
      </w:r>
      <w:r w:rsidRPr="006364F3">
        <w:t xml:space="preserve"> in the state were accredited prior to 1 July 2023.</w:t>
      </w:r>
    </w:p>
    <w:p w14:paraId="427574FC" w14:textId="5998C35A" w:rsidR="00CD2FAA" w:rsidRPr="006364F3" w:rsidRDefault="00CD2FAA" w:rsidP="00CD2FAA">
      <w:r>
        <w:t xml:space="preserve">The inability to enforce surface water SDL compliance in </w:t>
      </w:r>
      <w:r w:rsidRPr="006364F3">
        <w:t xml:space="preserve">NSW is particularly concerning given the scale of extraction </w:t>
      </w:r>
      <w:r>
        <w:t>across the Basin State</w:t>
      </w:r>
      <w:r w:rsidRPr="006364F3">
        <w:t xml:space="preserve">. Within NSW, nearly 33% of total surface water take occurred in the Murrumbidgee SDL resource unit, with an additional 21% taken in the NSW Murray and Lower Darling. These two SDL units alone represent more than half of NSW’s surface water use yet remain outside the scope of </w:t>
      </w:r>
      <w:r>
        <w:t>this</w:t>
      </w:r>
      <w:r w:rsidRPr="006364F3">
        <w:t xml:space="preserve"> SDL compliance assessment due to the </w:t>
      </w:r>
      <w:r w:rsidR="00144A65">
        <w:t>late</w:t>
      </w:r>
      <w:r w:rsidRPr="006364F3">
        <w:t xml:space="preserve"> accredit</w:t>
      </w:r>
      <w:r w:rsidR="00144A65">
        <w:t>ation of</w:t>
      </w:r>
      <w:r w:rsidRPr="006364F3">
        <w:t xml:space="preserve"> </w:t>
      </w:r>
      <w:r w:rsidR="00827D9B">
        <w:t>water resource plan</w:t>
      </w:r>
      <w:r w:rsidR="00827D9B" w:rsidRPr="006364F3">
        <w:t>s</w:t>
      </w:r>
      <w:r w:rsidR="00827D9B">
        <w:t xml:space="preserve"> </w:t>
      </w:r>
      <w:r>
        <w:t xml:space="preserve">(Figure </w:t>
      </w:r>
      <w:r w:rsidR="003206D2">
        <w:t>11</w:t>
      </w:r>
      <w:r>
        <w:t>)</w:t>
      </w:r>
      <w:r w:rsidRPr="006364F3">
        <w:t>.</w:t>
      </w:r>
    </w:p>
    <w:p w14:paraId="2F15D013" w14:textId="03BEF5BD" w:rsidR="00CD2FAA" w:rsidRPr="006364F3" w:rsidRDefault="00CD2FAA" w:rsidP="00CD2FAA">
      <w:r w:rsidRPr="006364F3">
        <w:t xml:space="preserve">The </w:t>
      </w:r>
      <w:r w:rsidR="00144A65">
        <w:t>delayed</w:t>
      </w:r>
      <w:r w:rsidRPr="006364F3">
        <w:t xml:space="preserve"> accredi</w:t>
      </w:r>
      <w:r w:rsidR="00144A65">
        <w:t>tation of</w:t>
      </w:r>
      <w:r w:rsidRPr="006364F3">
        <w:t xml:space="preserve"> </w:t>
      </w:r>
      <w:r w:rsidR="00047052">
        <w:t>water resource plan</w:t>
      </w:r>
      <w:r w:rsidR="00047052" w:rsidRPr="006364F3">
        <w:t>s</w:t>
      </w:r>
      <w:r w:rsidRPr="006364F3">
        <w:t xml:space="preserve"> in NSW, six years after the original deadline for </w:t>
      </w:r>
      <w:r w:rsidR="00047052">
        <w:t>water resource plan</w:t>
      </w:r>
      <w:r w:rsidRPr="006364F3">
        <w:t xml:space="preserve"> accreditation and full SDL compliance came into effect, significantly limits transparency and undermines confidence in the enforcement of </w:t>
      </w:r>
      <w:r>
        <w:t>SDLs</w:t>
      </w:r>
      <w:r w:rsidRPr="006364F3">
        <w:t xml:space="preserve">. While several NSW </w:t>
      </w:r>
      <w:r w:rsidR="001225EA">
        <w:t>water resource plan</w:t>
      </w:r>
      <w:r w:rsidR="001225EA" w:rsidRPr="006364F3">
        <w:t>s</w:t>
      </w:r>
      <w:r w:rsidRPr="006364F3">
        <w:t xml:space="preserve"> were accredited during 2023–</w:t>
      </w:r>
      <w:r>
        <w:t>20</w:t>
      </w:r>
      <w:r w:rsidRPr="006364F3">
        <w:t>24 and will be included in the 2024–</w:t>
      </w:r>
      <w:r>
        <w:t>20</w:t>
      </w:r>
      <w:r w:rsidRPr="006364F3">
        <w:t xml:space="preserve">25 compliance assessments, NSW remains the only Basin </w:t>
      </w:r>
      <w:r>
        <w:t>S</w:t>
      </w:r>
      <w:r w:rsidRPr="006364F3">
        <w:t>tate with no surface water SDL resource units currently subject to formal compliance assessment</w:t>
      </w:r>
      <w:r>
        <w:t xml:space="preserve"> for 2023-2024</w:t>
      </w:r>
      <w:r w:rsidRPr="006364F3">
        <w:t>.</w:t>
      </w:r>
    </w:p>
    <w:p w14:paraId="72DC2B49" w14:textId="77777777" w:rsidR="00CD2FAA" w:rsidRPr="006364F3" w:rsidRDefault="00CD2FAA" w:rsidP="00CD2FAA">
      <w:r>
        <w:t>Elsewhere in the Basin where surface water SDL compliance is enforceable</w:t>
      </w:r>
      <w:r w:rsidRPr="006364F3">
        <w:t>, Victoria</w:t>
      </w:r>
      <w:r>
        <w:t xml:space="preserve"> accounted</w:t>
      </w:r>
      <w:r w:rsidRPr="006364F3">
        <w:t xml:space="preserve"> for 22% of total surface water take in the Basin. Within Victoria, 52% of the state’s surface water take occurred in the Victorian Murray, and 45% in Northern Victoria.</w:t>
      </w:r>
    </w:p>
    <w:p w14:paraId="03758D2E" w14:textId="77777777" w:rsidR="00CD2FAA" w:rsidRDefault="00CD2FAA" w:rsidP="00CD2FAA">
      <w:r w:rsidRPr="006364F3">
        <w:t xml:space="preserve">Queensland </w:t>
      </w:r>
      <w:r>
        <w:t>makes up</w:t>
      </w:r>
      <w:r w:rsidRPr="006364F3">
        <w:t xml:space="preserve"> 12.3% of the total Basin surface water take, with the Condamine–Balonne alone representing almost 61% of Queensland’s share. South Australia accounted for 6.2%, with 94% of that taken in the SA River Murray. The Australian Capital Territory made up a small portion, taking 0.24% of the Basin’s surface water total.</w:t>
      </w:r>
    </w:p>
    <w:p w14:paraId="4FB5C25A" w14:textId="77777777" w:rsidR="00CD2FAA" w:rsidRDefault="00CD2FAA" w:rsidP="00CD2FAA">
      <w:r>
        <w:rPr>
          <w:noProof/>
        </w:rPr>
        <w:lastRenderedPageBreak/>
        <w:drawing>
          <wp:inline distT="0" distB="0" distL="0" distR="0" wp14:anchorId="71ADC579" wp14:editId="658D6E8B">
            <wp:extent cx="6257676" cy="5752543"/>
            <wp:effectExtent l="0" t="0" r="0" b="635"/>
            <wp:docPr id="1028420799" name="Picture 1" descr="A pie chart showing the proportion of Annual Actual Take (surface water) for the Basin by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20799" name="Picture 1" descr="A pie chart showing the proportion of Annual Actual Take (surface water) for the Basin by State."/>
                    <pic:cNvPicPr/>
                  </pic:nvPicPr>
                  <pic:blipFill>
                    <a:blip r:embed="rId34">
                      <a:extLst>
                        <a:ext uri="{28A0092B-C50C-407E-A947-70E740481C1C}">
                          <a14:useLocalDpi xmlns:a14="http://schemas.microsoft.com/office/drawing/2010/main" val="0"/>
                        </a:ext>
                      </a:extLst>
                    </a:blip>
                    <a:stretch>
                      <a:fillRect/>
                    </a:stretch>
                  </pic:blipFill>
                  <pic:spPr>
                    <a:xfrm>
                      <a:off x="0" y="0"/>
                      <a:ext cx="6293109" cy="5785116"/>
                    </a:xfrm>
                    <a:prstGeom prst="rect">
                      <a:avLst/>
                    </a:prstGeom>
                  </pic:spPr>
                </pic:pic>
              </a:graphicData>
            </a:graphic>
          </wp:inline>
        </w:drawing>
      </w:r>
    </w:p>
    <w:p w14:paraId="0AEDC9B8" w14:textId="77777777" w:rsidR="00CD2FAA" w:rsidRDefault="00CD2FAA" w:rsidP="00CD2FAA"/>
    <w:p w14:paraId="5F605535" w14:textId="608C8E52" w:rsidR="00CD2FAA" w:rsidRPr="00E87D99" w:rsidRDefault="00CD2FAA" w:rsidP="00E5227E">
      <w:pPr>
        <w:pStyle w:val="Caption"/>
        <w:rPr>
          <w:i w:val="0"/>
          <w:color w:val="auto"/>
          <w:sz w:val="20"/>
          <w:szCs w:val="22"/>
        </w:rPr>
      </w:pPr>
      <w:r w:rsidRPr="003206D2">
        <w:rPr>
          <w:b/>
          <w:i w:val="0"/>
          <w:color w:val="auto"/>
        </w:rPr>
        <w:t xml:space="preserve">Figure </w:t>
      </w:r>
      <w:r w:rsidR="003206D2" w:rsidRPr="003206D2">
        <w:rPr>
          <w:b/>
          <w:bCs/>
          <w:i w:val="0"/>
          <w:iCs w:val="0"/>
          <w:color w:val="auto"/>
        </w:rPr>
        <w:t>11</w:t>
      </w:r>
      <w:r w:rsidRPr="003206D2">
        <w:rPr>
          <w:b/>
          <w:bCs/>
          <w:i w:val="0"/>
          <w:iCs w:val="0"/>
          <w:color w:val="auto"/>
        </w:rPr>
        <w:t>:</w:t>
      </w:r>
      <w:r w:rsidRPr="003206D2">
        <w:rPr>
          <w:color w:val="auto"/>
        </w:rPr>
        <w:t xml:space="preserve"> </w:t>
      </w:r>
      <w:r w:rsidRPr="003206D2">
        <w:rPr>
          <w:i w:val="0"/>
          <w:color w:val="auto"/>
          <w:sz w:val="20"/>
          <w:szCs w:val="22"/>
        </w:rPr>
        <w:t xml:space="preserve">Proportion of Annual Actual Take (surface water) for the Basin by State. For the 2023-2024 </w:t>
      </w:r>
      <w:r w:rsidRPr="00E5227E">
        <w:rPr>
          <w:i w:val="0"/>
          <w:color w:val="auto"/>
          <w:sz w:val="20"/>
          <w:szCs w:val="22"/>
        </w:rPr>
        <w:t xml:space="preserve">water accounting year, none of NSW surface water SDL compliance can be assessed as none of the </w:t>
      </w:r>
      <w:r w:rsidR="000670B3">
        <w:rPr>
          <w:i w:val="0"/>
          <w:iCs w:val="0"/>
          <w:color w:val="auto"/>
          <w:sz w:val="20"/>
          <w:szCs w:val="22"/>
        </w:rPr>
        <w:t>water resource plan</w:t>
      </w:r>
      <w:r w:rsidR="000670B3" w:rsidRPr="00E5227E">
        <w:rPr>
          <w:i w:val="0"/>
          <w:iCs w:val="0"/>
          <w:color w:val="auto"/>
          <w:sz w:val="20"/>
          <w:szCs w:val="22"/>
        </w:rPr>
        <w:t>s</w:t>
      </w:r>
      <w:r w:rsidRPr="00E5227E">
        <w:rPr>
          <w:i w:val="0"/>
          <w:color w:val="auto"/>
          <w:sz w:val="20"/>
          <w:szCs w:val="22"/>
        </w:rPr>
        <w:t xml:space="preserve"> were accredited for the entire period.</w:t>
      </w:r>
    </w:p>
    <w:p w14:paraId="0DB1C965" w14:textId="77777777" w:rsidR="00CD2FAA" w:rsidRDefault="00CD2FAA" w:rsidP="00CD2FAA">
      <w:pPr>
        <w:pStyle w:val="Heading4"/>
        <w:rPr>
          <w:b/>
        </w:rPr>
      </w:pPr>
      <w:r w:rsidRPr="00D31FD1">
        <w:rPr>
          <w:b/>
        </w:rPr>
        <w:t>Groundwater</w:t>
      </w:r>
    </w:p>
    <w:p w14:paraId="7887D3D2" w14:textId="0B8A3984" w:rsidR="00CD2FAA" w:rsidRPr="00F71335" w:rsidRDefault="00CD2FAA" w:rsidP="00CD2FAA">
      <w:r w:rsidRPr="00F71335">
        <w:t>Groundwater take in the Basin for the 2023–</w:t>
      </w:r>
      <w:r>
        <w:t>20</w:t>
      </w:r>
      <w:r w:rsidRPr="00F71335">
        <w:t>24 water year totalled 1,</w:t>
      </w:r>
      <w:r w:rsidR="00005089">
        <w:t>232</w:t>
      </w:r>
      <w:r w:rsidRPr="00F71335">
        <w:t xml:space="preserve"> GL, with the majority</w:t>
      </w:r>
      <w:r>
        <w:t xml:space="preserve"> (</w:t>
      </w:r>
      <w:r w:rsidRPr="00F71335">
        <w:t>approximately 71%</w:t>
      </w:r>
      <w:r>
        <w:t xml:space="preserve">) </w:t>
      </w:r>
      <w:r w:rsidRPr="00F71335">
        <w:t xml:space="preserve">extracted in </w:t>
      </w:r>
      <w:r>
        <w:t>NSW</w:t>
      </w:r>
      <w:r w:rsidRPr="00F71335">
        <w:t>. However, 51.6% of the Basin’s total groundwater take cannot be assessed for SDL compliance</w:t>
      </w:r>
      <w:r>
        <w:t xml:space="preserve"> (Figure </w:t>
      </w:r>
      <w:r w:rsidR="003206D2">
        <w:t>12</w:t>
      </w:r>
      <w:r>
        <w:t>)</w:t>
      </w:r>
      <w:r w:rsidRPr="00F71335">
        <w:t xml:space="preserve">, as </w:t>
      </w:r>
      <w:r>
        <w:t>six</w:t>
      </w:r>
      <w:r w:rsidRPr="00F71335">
        <w:t xml:space="preserve"> of NSW’s groundwater </w:t>
      </w:r>
      <w:r w:rsidR="008E402A">
        <w:t>water resource plan</w:t>
      </w:r>
      <w:r w:rsidR="008E402A" w:rsidRPr="00F71335">
        <w:t>s</w:t>
      </w:r>
      <w:r w:rsidRPr="00F71335">
        <w:t xml:space="preserve"> were not accredited before 1 July 2023.</w:t>
      </w:r>
    </w:p>
    <w:p w14:paraId="0DD61EF8" w14:textId="35793094" w:rsidR="00CD2FAA" w:rsidRPr="00F71335" w:rsidRDefault="00CD2FAA" w:rsidP="00CD2FAA">
      <w:r w:rsidRPr="00F71335">
        <w:t xml:space="preserve">The </w:t>
      </w:r>
      <w:r w:rsidR="002D4299">
        <w:t xml:space="preserve">delayed </w:t>
      </w:r>
      <w:r w:rsidRPr="00F71335">
        <w:t>accredit</w:t>
      </w:r>
      <w:r w:rsidR="002D4299">
        <w:t>ation of</w:t>
      </w:r>
      <w:r w:rsidRPr="00F71335">
        <w:t xml:space="preserve"> </w:t>
      </w:r>
      <w:r w:rsidR="00CC5B08">
        <w:t>water resource plan</w:t>
      </w:r>
      <w:r w:rsidR="00CC5B08" w:rsidRPr="00F71335">
        <w:t>s</w:t>
      </w:r>
      <w:r w:rsidRPr="00F71335">
        <w:t xml:space="preserve"> include some of the largest groundwater-consuming SDL resource units in the Basin, such as the Murrumbidgee Alluvium (accounting for 25% of NSW’s groundwater take) and the Lachlan Alluvium (15%).</w:t>
      </w:r>
      <w:r w:rsidR="002D4299" w:rsidRPr="002D4299">
        <w:t xml:space="preserve"> </w:t>
      </w:r>
      <w:r w:rsidR="002D4299">
        <w:t>T</w:t>
      </w:r>
      <w:r w:rsidR="002D4299" w:rsidRPr="002D4299">
        <w:t xml:space="preserve">he Namoi Alluvium </w:t>
      </w:r>
      <w:r w:rsidR="002D4299">
        <w:t xml:space="preserve">represents </w:t>
      </w:r>
      <w:r w:rsidR="002D4299" w:rsidRPr="002D4299">
        <w:t>21%</w:t>
      </w:r>
      <w:r w:rsidR="002D4299">
        <w:t xml:space="preserve"> </w:t>
      </w:r>
      <w:r w:rsidR="002D4299" w:rsidRPr="002D4299">
        <w:t xml:space="preserve">of NSW’s groundwater take </w:t>
      </w:r>
      <w:r w:rsidR="002D4299">
        <w:t>and is yet to be resubmitted by NSW for accreditation.</w:t>
      </w:r>
      <w:r w:rsidR="002D4299" w:rsidRPr="002D4299">
        <w:t xml:space="preserve"> </w:t>
      </w:r>
      <w:r w:rsidRPr="00F71335">
        <w:t xml:space="preserve"> These areas represent substantial groundwater use, yet they remain outside the current SDL compliance framework due to delays in </w:t>
      </w:r>
      <w:r w:rsidR="002F7E57">
        <w:t>water resource plan</w:t>
      </w:r>
      <w:r w:rsidRPr="00F71335">
        <w:t xml:space="preserve"> accreditation. As a result, a significant proportion of Basin groundwater take</w:t>
      </w:r>
      <w:r>
        <w:t xml:space="preserve">, </w:t>
      </w:r>
      <w:r w:rsidRPr="00F71335">
        <w:t>particularly in NSW</w:t>
      </w:r>
      <w:r>
        <w:t xml:space="preserve">, </w:t>
      </w:r>
      <w:r w:rsidRPr="00F71335">
        <w:t>cannot yet be formally assessed for compliance, weakening overall accountability</w:t>
      </w:r>
      <w:r>
        <w:t xml:space="preserve"> in the Basin State</w:t>
      </w:r>
      <w:r w:rsidRPr="00F71335">
        <w:t>.</w:t>
      </w:r>
    </w:p>
    <w:p w14:paraId="6A6ED759" w14:textId="77777777" w:rsidR="00CD2FAA" w:rsidRPr="00F71335" w:rsidRDefault="00CD2FAA" w:rsidP="00CD2FAA">
      <w:r w:rsidRPr="00F71335">
        <w:lastRenderedPageBreak/>
        <w:t>Outside NSW, Queensland accounts for 14% of the Basin’s total groundwater take, with the Condamine–Balonne region making up 87% of that amount. Victoria’s share is 9.4%, with the Goulburn–Murray system responsible for 93% of the state’s groundwater extraction. South Australia accounts for 5.1% of total groundwater take, 81% of which comes from the SA Murray Region.</w:t>
      </w:r>
    </w:p>
    <w:p w14:paraId="39486792" w14:textId="04EAA104" w:rsidR="00CD2FAA" w:rsidRPr="00F71335" w:rsidRDefault="00CD2FAA" w:rsidP="00CD2FAA">
      <w:r w:rsidRPr="00F71335">
        <w:t>Although progress has been made</w:t>
      </w:r>
      <w:r>
        <w:t xml:space="preserve">, </w:t>
      </w:r>
      <w:r w:rsidRPr="00F71335">
        <w:t>with 23 new groundwater SDL resource units in NSW being assessed for the first time in the 2023–</w:t>
      </w:r>
      <w:r>
        <w:t>20</w:t>
      </w:r>
      <w:r w:rsidRPr="00F71335">
        <w:t xml:space="preserve">24 </w:t>
      </w:r>
      <w:r>
        <w:t xml:space="preserve">water year, </w:t>
      </w:r>
      <w:r w:rsidRPr="00F71335">
        <w:t xml:space="preserve">the absence of fully accredited </w:t>
      </w:r>
      <w:r w:rsidR="007C2405">
        <w:t>water resource plan</w:t>
      </w:r>
      <w:r w:rsidR="007C2405" w:rsidRPr="00F71335">
        <w:t>s</w:t>
      </w:r>
      <w:r w:rsidRPr="00F71335">
        <w:t xml:space="preserve"> for major groundwater systems continues to hinder the complete implementation of SDL compliance across the Basin. Until all </w:t>
      </w:r>
      <w:r w:rsidR="003D6D62">
        <w:t>water resource plans</w:t>
      </w:r>
      <w:r>
        <w:t xml:space="preserve"> are accredited, and SDL compliance is enforceable</w:t>
      </w:r>
      <w:r w:rsidRPr="00F71335">
        <w:t>, the Plan’s groundwater sustainability objectives remain only partially realised.</w:t>
      </w:r>
      <w:r>
        <w:t xml:space="preserve"> </w:t>
      </w:r>
      <w:r w:rsidRPr="00AA2FDA">
        <w:t xml:space="preserve">This challenge is likely to persist in NSW, where </w:t>
      </w:r>
      <w:r w:rsidR="007349C9">
        <w:t>water resource plan</w:t>
      </w:r>
      <w:r w:rsidRPr="00AA2FDA">
        <w:t>s in both the Namoi and Gwydir regions remain unaccredited for both surface and groundwater</w:t>
      </w:r>
      <w:r>
        <w:t xml:space="preserve"> and remains an area of concern for the IGWC</w:t>
      </w:r>
      <w:r w:rsidRPr="00AA2FDA">
        <w:t>.</w:t>
      </w:r>
    </w:p>
    <w:p w14:paraId="29BA17A5" w14:textId="77777777" w:rsidR="00CD2FAA" w:rsidRDefault="00CD2FAA" w:rsidP="00CD2FAA"/>
    <w:p w14:paraId="6329D2FB" w14:textId="77777777" w:rsidR="00CD2FAA" w:rsidRDefault="00CD2FAA" w:rsidP="00CD2FAA"/>
    <w:p w14:paraId="568FD04F" w14:textId="77777777" w:rsidR="00CD2FAA" w:rsidRDefault="00CD2FAA" w:rsidP="00CD2FAA"/>
    <w:p w14:paraId="66373A78" w14:textId="77777777" w:rsidR="00CD2FAA" w:rsidRDefault="00CD2FAA" w:rsidP="00CD2FAA">
      <w:r>
        <w:rPr>
          <w:noProof/>
        </w:rPr>
        <w:drawing>
          <wp:inline distT="0" distB="0" distL="0" distR="0" wp14:anchorId="18F9188B" wp14:editId="77CBD22F">
            <wp:extent cx="5676900" cy="5344108"/>
            <wp:effectExtent l="0" t="0" r="0" b="9525"/>
            <wp:docPr id="603046717" name="Picture 2" descr="A pie chart showing the proportion of Annual Actual Take (Groundwater) for the Basin by St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046717" name="Picture 2" descr="A pie chart showing the proportion of Annual Actual Take (Groundwater) for the Basin by State. "/>
                    <pic:cNvPicPr/>
                  </pic:nvPicPr>
                  <pic:blipFill>
                    <a:blip r:embed="rId35">
                      <a:extLst>
                        <a:ext uri="{28A0092B-C50C-407E-A947-70E740481C1C}">
                          <a14:useLocalDpi xmlns:a14="http://schemas.microsoft.com/office/drawing/2010/main" val="0"/>
                        </a:ext>
                      </a:extLst>
                    </a:blip>
                    <a:stretch>
                      <a:fillRect/>
                    </a:stretch>
                  </pic:blipFill>
                  <pic:spPr>
                    <a:xfrm>
                      <a:off x="0" y="0"/>
                      <a:ext cx="5679653" cy="5346699"/>
                    </a:xfrm>
                    <a:prstGeom prst="rect">
                      <a:avLst/>
                    </a:prstGeom>
                  </pic:spPr>
                </pic:pic>
              </a:graphicData>
            </a:graphic>
          </wp:inline>
        </w:drawing>
      </w:r>
    </w:p>
    <w:p w14:paraId="6FCAEA47" w14:textId="1641A916" w:rsidR="00CD2FAA" w:rsidRPr="00E87D99" w:rsidDel="004C34DA" w:rsidRDefault="00CD2FAA" w:rsidP="00E87D99">
      <w:pPr>
        <w:pStyle w:val="Caption"/>
        <w:rPr>
          <w:i w:val="0"/>
          <w:color w:val="auto"/>
          <w:sz w:val="20"/>
          <w:szCs w:val="22"/>
        </w:rPr>
      </w:pPr>
      <w:r w:rsidRPr="003206D2">
        <w:rPr>
          <w:b/>
          <w:i w:val="0"/>
          <w:color w:val="auto"/>
        </w:rPr>
        <w:t xml:space="preserve">Figure </w:t>
      </w:r>
      <w:r w:rsidR="003206D2" w:rsidRPr="003206D2">
        <w:rPr>
          <w:b/>
          <w:bCs/>
          <w:i w:val="0"/>
          <w:iCs w:val="0"/>
          <w:color w:val="auto"/>
        </w:rPr>
        <w:t>12</w:t>
      </w:r>
      <w:r w:rsidRPr="003206D2">
        <w:rPr>
          <w:b/>
          <w:bCs/>
          <w:i w:val="0"/>
          <w:iCs w:val="0"/>
          <w:color w:val="auto"/>
        </w:rPr>
        <w:t>:</w:t>
      </w:r>
      <w:r w:rsidRPr="003206D2">
        <w:rPr>
          <w:color w:val="auto"/>
        </w:rPr>
        <w:t xml:space="preserve"> </w:t>
      </w:r>
      <w:r w:rsidRPr="003206D2">
        <w:rPr>
          <w:i w:val="0"/>
          <w:color w:val="auto"/>
          <w:sz w:val="20"/>
          <w:szCs w:val="22"/>
        </w:rPr>
        <w:t xml:space="preserve">Proportion of Annual Actual Take (groundwater) by State. For the 2023-2024 water accounting </w:t>
      </w:r>
      <w:r w:rsidRPr="00E87D99">
        <w:rPr>
          <w:i w:val="0"/>
          <w:color w:val="auto"/>
          <w:sz w:val="20"/>
          <w:szCs w:val="22"/>
        </w:rPr>
        <w:t xml:space="preserve">year, the majority of NSW groundwater SDL compliance cannot be assessed as several </w:t>
      </w:r>
      <w:r w:rsidR="007349C9">
        <w:rPr>
          <w:i w:val="0"/>
          <w:iCs w:val="0"/>
          <w:color w:val="auto"/>
          <w:sz w:val="20"/>
          <w:szCs w:val="22"/>
        </w:rPr>
        <w:t>water resource plan</w:t>
      </w:r>
      <w:r w:rsidR="007349C9" w:rsidRPr="00E87D99">
        <w:rPr>
          <w:i w:val="0"/>
          <w:iCs w:val="0"/>
          <w:color w:val="auto"/>
          <w:sz w:val="20"/>
          <w:szCs w:val="22"/>
        </w:rPr>
        <w:t>s</w:t>
      </w:r>
      <w:r w:rsidRPr="00E87D99">
        <w:rPr>
          <w:i w:val="0"/>
          <w:color w:val="auto"/>
          <w:sz w:val="20"/>
          <w:szCs w:val="22"/>
        </w:rPr>
        <w:t xml:space="preserve"> were not accredited for the entire period.</w:t>
      </w:r>
    </w:p>
    <w:p w14:paraId="28AC91A6" w14:textId="4467E7E9" w:rsidR="005333C6" w:rsidRDefault="00484737" w:rsidP="138D3F1D">
      <w:pPr>
        <w:pStyle w:val="Heading1"/>
      </w:pPr>
      <w:bookmarkStart w:id="17" w:name="_Toc203485726"/>
      <w:r>
        <w:lastRenderedPageBreak/>
        <w:t>Understanding SDL Compliance</w:t>
      </w:r>
      <w:bookmarkEnd w:id="17"/>
    </w:p>
    <w:p w14:paraId="13C96CA0" w14:textId="47019962" w:rsidR="00547D05" w:rsidRDefault="00547D05" w:rsidP="00351F90">
      <w:pPr>
        <w:pStyle w:val="Heading3"/>
      </w:pPr>
      <w:bookmarkStart w:id="18" w:name="_Toc203485727"/>
      <w:r>
        <w:t>Sustainable Diversion Limit</w:t>
      </w:r>
      <w:r w:rsidR="00477075">
        <w:t>s</w:t>
      </w:r>
      <w:bookmarkEnd w:id="18"/>
    </w:p>
    <w:p w14:paraId="626A6A45" w14:textId="0D5F0BE7" w:rsidR="009F45EA" w:rsidRPr="0049381B" w:rsidRDefault="00BB4C4A" w:rsidP="009F45EA">
      <w:r w:rsidRPr="00732A3E">
        <w:t xml:space="preserve">The Plan </w:t>
      </w:r>
      <w:r>
        <w:t>establishes</w:t>
      </w:r>
      <w:r w:rsidR="260184E7">
        <w:t xml:space="preserve"> </w:t>
      </w:r>
      <w:r>
        <w:t>SDLs</w:t>
      </w:r>
      <w:r w:rsidRPr="00732A3E">
        <w:t xml:space="preserve"> as the </w:t>
      </w:r>
      <w:r w:rsidRPr="00FB3B10">
        <w:t>maximum long-term average volume of water</w:t>
      </w:r>
      <w:r w:rsidRPr="00732A3E">
        <w:t xml:space="preserve"> that can be taken from the Basin’s water resources for </w:t>
      </w:r>
      <w:r w:rsidRPr="00FB3B10">
        <w:t>consumptive use</w:t>
      </w:r>
      <w:r w:rsidRPr="00732A3E">
        <w:t xml:space="preserve">, while ensuring enough water remains to support </w:t>
      </w:r>
      <w:r w:rsidRPr="00FB3B10">
        <w:t>ecosystem</w:t>
      </w:r>
      <w:r w:rsidR="0058535E">
        <w:t>s</w:t>
      </w:r>
      <w:r w:rsidRPr="00732A3E">
        <w:t xml:space="preserve">, </w:t>
      </w:r>
      <w:r w:rsidRPr="00FB3B10">
        <w:t>environmental health</w:t>
      </w:r>
      <w:r w:rsidRPr="00732A3E">
        <w:t xml:space="preserve">, and </w:t>
      </w:r>
      <w:r w:rsidRPr="00FB3B10">
        <w:t>cultural values</w:t>
      </w:r>
      <w:r w:rsidRPr="00732A3E">
        <w:t xml:space="preserve">. </w:t>
      </w:r>
      <w:r w:rsidR="00C53606">
        <w:t>SDLs are a critical component of the Plan, introduced to ensure that water use across the Basin is environmentally sustainable.</w:t>
      </w:r>
      <w:r w:rsidR="308D8205">
        <w:t xml:space="preserve"> </w:t>
      </w:r>
      <w:r w:rsidR="009F45EA" w:rsidRPr="0049381B">
        <w:t xml:space="preserve">In effect, SDLs limit the amount of water that can be taken from rivers and aquifers </w:t>
      </w:r>
      <w:r w:rsidR="001A7C52">
        <w:t xml:space="preserve">by </w:t>
      </w:r>
      <w:r w:rsidR="68E8FE46">
        <w:t>water users</w:t>
      </w:r>
      <w:r w:rsidR="000E2E97">
        <w:t>, primarily irrigation for agricultural crops</w:t>
      </w:r>
      <w:r w:rsidR="009F45EA" w:rsidRPr="0049381B">
        <w:t>.</w:t>
      </w:r>
    </w:p>
    <w:p w14:paraId="0C718C09" w14:textId="34B908B2" w:rsidR="00051FFD" w:rsidRPr="00732A3E" w:rsidRDefault="474C76DE" w:rsidP="00BB4C4A">
      <w:r>
        <w:t xml:space="preserve">Basin States are broken down into discrete geographic areas called SDL Resource Units, with each having its own </w:t>
      </w:r>
      <w:r w:rsidR="3F28D2EE">
        <w:t>set</w:t>
      </w:r>
      <w:r>
        <w:t xml:space="preserve"> SDL. There are SDL Resource Units for both surface water and groundwater based </w:t>
      </w:r>
      <w:r w:rsidR="008065CC">
        <w:t xml:space="preserve">on </w:t>
      </w:r>
      <w:r>
        <w:t>natural catchment and hydrogeological boundaries – 29 surface water and 80 groundwater SDL resource units.</w:t>
      </w:r>
      <w:r w:rsidR="7490E320">
        <w:t xml:space="preserve"> </w:t>
      </w:r>
      <w:r w:rsidR="00F16978">
        <w:t xml:space="preserve">These resource units are shown in the </w:t>
      </w:r>
      <w:r w:rsidR="00F74A33" w:rsidRPr="00F74A33">
        <w:t>Figures 1 and 2</w:t>
      </w:r>
      <w:r w:rsidR="00CB5F8F">
        <w:t xml:space="preserve"> of this report.</w:t>
      </w:r>
      <w:r w:rsidR="7490E320">
        <w:t xml:space="preserve"> </w:t>
      </w:r>
      <w:r w:rsidR="7490E320" w:rsidRPr="00FB6988">
        <w:t xml:space="preserve">However, </w:t>
      </w:r>
      <w:r w:rsidR="4FDCB433" w:rsidRPr="00FB6988">
        <w:t xml:space="preserve">SDL </w:t>
      </w:r>
      <w:r w:rsidR="7490E320" w:rsidRPr="00FB6988">
        <w:t>compliance can only be assessed for a given resource unit once an accredited WRP has been in operation for the entire</w:t>
      </w:r>
      <w:r w:rsidR="7490E320">
        <w:t xml:space="preserve"> </w:t>
      </w:r>
      <w:r w:rsidR="63C5F76F">
        <w:t>water</w:t>
      </w:r>
      <w:r w:rsidR="7490E320">
        <w:t xml:space="preserve"> year.</w:t>
      </w:r>
    </w:p>
    <w:p w14:paraId="21FD88ED" w14:textId="380D6691" w:rsidR="00436A0C" w:rsidRPr="00732A3E" w:rsidRDefault="00901227" w:rsidP="00BB4C4A">
      <w:r>
        <w:t>Calculation of SDLs is based off t</w:t>
      </w:r>
      <w:r w:rsidR="00E76B9E">
        <w:t xml:space="preserve">he Baseline Diversion Limit </w:t>
      </w:r>
      <w:r w:rsidR="00087C51">
        <w:t>(BDL)</w:t>
      </w:r>
      <w:r w:rsidR="008612E7">
        <w:t xml:space="preserve"> and the recovery target</w:t>
      </w:r>
      <w:r>
        <w:t>. The BDL</w:t>
      </w:r>
      <w:r w:rsidR="00E76B9E">
        <w:t xml:space="preserve"> is the historic long-term annual volume of water that was being used in the Basin prior to the </w:t>
      </w:r>
      <w:r w:rsidR="00C43108">
        <w:t>implementation of the</w:t>
      </w:r>
      <w:r w:rsidR="00E76B9E">
        <w:t xml:space="preserve"> </w:t>
      </w:r>
      <w:r w:rsidR="00FF2AE3">
        <w:t>Plan</w:t>
      </w:r>
      <w:r w:rsidR="00E76B9E">
        <w:t xml:space="preserve">. </w:t>
      </w:r>
      <w:r w:rsidR="00B60AB6">
        <w:t xml:space="preserve">The reduction target </w:t>
      </w:r>
      <w:r w:rsidR="002E20CD">
        <w:t>is</w:t>
      </w:r>
      <w:r w:rsidR="00B60AB6">
        <w:t xml:space="preserve"> the amount of water that the Plan aims to recover for the environment </w:t>
      </w:r>
      <w:r w:rsidR="000E3A6D">
        <w:t xml:space="preserve">by reducing </w:t>
      </w:r>
      <w:r w:rsidR="00F56E4B">
        <w:t>the amount of</w:t>
      </w:r>
      <w:r w:rsidR="000E3A6D">
        <w:t xml:space="preserve"> water </w:t>
      </w:r>
      <w:r w:rsidR="00F56E4B">
        <w:t>used for irrigation and other purposes</w:t>
      </w:r>
      <w:r w:rsidR="002E20CD">
        <w:t>. The SDL is approximately equivalent to the BDL less the recovery target volume.</w:t>
      </w:r>
    </w:p>
    <w:p w14:paraId="546EAA41" w14:textId="7B05EF34" w:rsidR="009F45EA" w:rsidRDefault="009F45EA" w:rsidP="009F45EA">
      <w:pPr>
        <w:pStyle w:val="Heading3"/>
      </w:pPr>
      <w:bookmarkStart w:id="19" w:name="_Toc203485728"/>
      <w:r>
        <w:t>Water Resource Plans</w:t>
      </w:r>
      <w:bookmarkEnd w:id="19"/>
    </w:p>
    <w:p w14:paraId="08039DBE" w14:textId="3DC997EB" w:rsidR="009F45EA" w:rsidRDefault="007349C9" w:rsidP="5EC6565C">
      <w:pPr>
        <w:spacing w:line="259" w:lineRule="auto"/>
      </w:pPr>
      <w:r>
        <w:rPr>
          <w:rFonts w:eastAsia="Verdana" w:cs="Verdana"/>
          <w:szCs w:val="20"/>
        </w:rPr>
        <w:t>Water resource plan</w:t>
      </w:r>
      <w:r w:rsidR="009F45EA">
        <w:t xml:space="preserve">s outline how SDLs are to be achieved in specific </w:t>
      </w:r>
      <w:r w:rsidR="1BC942F0">
        <w:t>areas of the Murray</w:t>
      </w:r>
      <w:r w:rsidR="00E842CD">
        <w:t>–</w:t>
      </w:r>
      <w:r w:rsidR="1BC942F0">
        <w:t>Darling Basin</w:t>
      </w:r>
      <w:r w:rsidR="009F45EA">
        <w:t xml:space="preserve"> and provide the framework for managing and implementing SDLs.</w:t>
      </w:r>
      <w:r w:rsidR="00E842CD">
        <w:t xml:space="preserve"> </w:t>
      </w:r>
      <w:r w:rsidR="009F45EA">
        <w:t>Without a</w:t>
      </w:r>
      <w:r w:rsidR="7B3C3806">
        <w:t>n accredited</w:t>
      </w:r>
      <w:r w:rsidR="009F45EA">
        <w:t xml:space="preserve"> </w:t>
      </w:r>
      <w:r w:rsidR="009E1516">
        <w:rPr>
          <w:rFonts w:eastAsia="Verdana" w:cs="Verdana"/>
          <w:szCs w:val="20"/>
        </w:rPr>
        <w:t>water resource plan</w:t>
      </w:r>
      <w:r w:rsidR="009F45EA">
        <w:t xml:space="preserve">, SDL </w:t>
      </w:r>
      <w:r w:rsidR="23BDC650">
        <w:t xml:space="preserve">compliance </w:t>
      </w:r>
      <w:r w:rsidR="1DFA4F77">
        <w:t>cannot</w:t>
      </w:r>
      <w:r w:rsidR="23BDC650">
        <w:t xml:space="preserve"> be enforced</w:t>
      </w:r>
      <w:r w:rsidR="009F45EA">
        <w:t xml:space="preserve"> </w:t>
      </w:r>
      <w:r w:rsidR="0435AE5D">
        <w:t>which undermines the purpose of the</w:t>
      </w:r>
      <w:r w:rsidR="0435AE5D">
        <w:rPr>
          <w:i/>
        </w:rPr>
        <w:t xml:space="preserve"> </w:t>
      </w:r>
      <w:r w:rsidR="0435AE5D" w:rsidRPr="00D60234">
        <w:t>Plan</w:t>
      </w:r>
      <w:r w:rsidR="0435AE5D">
        <w:t>.</w:t>
      </w:r>
    </w:p>
    <w:p w14:paraId="2D58A56E" w14:textId="4C433F6A" w:rsidR="009F45EA" w:rsidRDefault="009F45EA" w:rsidP="009F45EA">
      <w:r w:rsidRPr="0049381B">
        <w:t xml:space="preserve">All Basin States have operational </w:t>
      </w:r>
      <w:r w:rsidR="009E1516">
        <w:rPr>
          <w:rFonts w:eastAsia="Verdana" w:cs="Verdana"/>
          <w:szCs w:val="20"/>
        </w:rPr>
        <w:t>water resource plan</w:t>
      </w:r>
      <w:r>
        <w:t>s</w:t>
      </w:r>
      <w:r w:rsidRPr="0049381B">
        <w:t xml:space="preserve"> for </w:t>
      </w:r>
      <w:r>
        <w:t xml:space="preserve">both surface water and groundwater resource units for </w:t>
      </w:r>
      <w:r w:rsidRPr="0049381B">
        <w:t>the 202</w:t>
      </w:r>
      <w:r>
        <w:t>3</w:t>
      </w:r>
      <w:r w:rsidRPr="0049381B">
        <w:t>-202</w:t>
      </w:r>
      <w:r>
        <w:t>4</w:t>
      </w:r>
      <w:r w:rsidRPr="0049381B">
        <w:t xml:space="preserve"> year, except for </w:t>
      </w:r>
      <w:r>
        <w:t xml:space="preserve">NSW which has no surface water </w:t>
      </w:r>
      <w:r w:rsidR="008C27D0">
        <w:rPr>
          <w:rFonts w:eastAsia="Verdana" w:cs="Verdana"/>
          <w:szCs w:val="20"/>
        </w:rPr>
        <w:t>WRPs</w:t>
      </w:r>
      <w:r>
        <w:t xml:space="preserve"> and only 5 of 11 groundwater </w:t>
      </w:r>
      <w:r w:rsidR="0091411D">
        <w:rPr>
          <w:rFonts w:eastAsia="Verdana" w:cs="Verdana"/>
          <w:szCs w:val="20"/>
        </w:rPr>
        <w:t>water resource plan</w:t>
      </w:r>
      <w:r>
        <w:t xml:space="preserve">s accredited for </w:t>
      </w:r>
      <w:r w:rsidR="3EC793FB">
        <w:t>the entirety of</w:t>
      </w:r>
      <w:r>
        <w:t xml:space="preserve"> </w:t>
      </w:r>
      <w:r w:rsidR="7A89555C">
        <w:t>2023-2024</w:t>
      </w:r>
      <w:r w:rsidRPr="0049381B">
        <w:t>.</w:t>
      </w:r>
    </w:p>
    <w:p w14:paraId="5F8C6FD0" w14:textId="1FC7FA4C" w:rsidR="00B446C6" w:rsidRDefault="00B446C6" w:rsidP="00B446C6">
      <w:pPr>
        <w:rPr>
          <w:rFonts w:eastAsia="Verdana" w:cs="Verdana"/>
        </w:rPr>
      </w:pPr>
      <w:r w:rsidRPr="00FB6988">
        <w:rPr>
          <w:rFonts w:eastAsia="Verdana" w:cs="Verdana"/>
        </w:rPr>
        <w:t xml:space="preserve">As of the release of this report, 29 of the 33 </w:t>
      </w:r>
      <w:r w:rsidR="0091411D">
        <w:rPr>
          <w:rFonts w:eastAsia="Verdana" w:cs="Verdana"/>
          <w:szCs w:val="20"/>
        </w:rPr>
        <w:t>water resource plan</w:t>
      </w:r>
      <w:r w:rsidRPr="00FB6988">
        <w:rPr>
          <w:rFonts w:eastAsia="Verdana" w:cs="Verdana"/>
        </w:rPr>
        <w:t>s are operational across the Murray</w:t>
      </w:r>
      <w:r w:rsidR="00E842CD">
        <w:rPr>
          <w:rFonts w:eastAsia="Verdana" w:cs="Verdana"/>
        </w:rPr>
        <w:t>–</w:t>
      </w:r>
      <w:r w:rsidRPr="00FB6988">
        <w:rPr>
          <w:rFonts w:eastAsia="Verdana" w:cs="Verdana"/>
        </w:rPr>
        <w:t xml:space="preserve">Darling Basin. The four </w:t>
      </w:r>
      <w:r w:rsidR="0091411D">
        <w:rPr>
          <w:rFonts w:eastAsia="Verdana" w:cs="Verdana"/>
          <w:szCs w:val="20"/>
        </w:rPr>
        <w:t>water resource plan</w:t>
      </w:r>
      <w:r w:rsidRPr="00FB6988">
        <w:rPr>
          <w:rFonts w:eastAsia="Verdana" w:cs="Verdana"/>
        </w:rPr>
        <w:t xml:space="preserve">s yet to be accredited are all in NSW, which currently has 16 out of 20 </w:t>
      </w:r>
      <w:r w:rsidR="0091411D">
        <w:rPr>
          <w:rFonts w:eastAsia="Verdana" w:cs="Verdana"/>
          <w:szCs w:val="20"/>
        </w:rPr>
        <w:t>water resource plan</w:t>
      </w:r>
      <w:r w:rsidRPr="00FB6988">
        <w:rPr>
          <w:rFonts w:eastAsia="Verdana" w:cs="Verdana"/>
        </w:rPr>
        <w:t>s accredited and operational.</w:t>
      </w:r>
    </w:p>
    <w:p w14:paraId="29AA77CC" w14:textId="0A96F399" w:rsidR="00B446C6" w:rsidRPr="00CB230E" w:rsidRDefault="00B446C6" w:rsidP="00B446C6">
      <w:r>
        <w:t xml:space="preserve">All other Basin States had accredited and operating </w:t>
      </w:r>
      <w:r w:rsidR="0091411D">
        <w:rPr>
          <w:rFonts w:eastAsia="Verdana" w:cs="Verdana"/>
          <w:szCs w:val="20"/>
        </w:rPr>
        <w:t>water resource plan</w:t>
      </w:r>
      <w:r w:rsidR="00E25EC8">
        <w:t>s</w:t>
      </w:r>
      <w:r>
        <w:t xml:space="preserve"> on 1 July 2020 for the 2020–</w:t>
      </w:r>
      <w:r w:rsidR="001E514C">
        <w:t>20</w:t>
      </w:r>
      <w:r>
        <w:t xml:space="preserve">21 water year and were able to provide information for the Registers of </w:t>
      </w:r>
      <w:r w:rsidR="00D10972">
        <w:t>T</w:t>
      </w:r>
      <w:r>
        <w:t>ake, as required by the Plan, and were subject to SDL compliance</w:t>
      </w:r>
      <w:r w:rsidR="00365F9A">
        <w:t xml:space="preserve"> since </w:t>
      </w:r>
      <w:r w:rsidR="003569EA">
        <w:t>that</w:t>
      </w:r>
      <w:r w:rsidR="000C0AF1">
        <w:t xml:space="preserve"> water year</w:t>
      </w:r>
      <w:r w:rsidR="001B712A">
        <w:t>.</w:t>
      </w:r>
    </w:p>
    <w:p w14:paraId="00F3B110" w14:textId="58157F51" w:rsidR="00BE5129" w:rsidRPr="000D2590" w:rsidRDefault="00BB6B13" w:rsidP="00B446C6">
      <w:r>
        <w:t>A</w:t>
      </w:r>
      <w:r w:rsidR="006F30E5">
        <w:t>s of July 2025</w:t>
      </w:r>
      <w:r w:rsidR="002D37BA">
        <w:t>,</w:t>
      </w:r>
      <w:r w:rsidR="006F30E5">
        <w:t xml:space="preserve"> there remains unaccredited </w:t>
      </w:r>
      <w:r w:rsidR="0091411D">
        <w:rPr>
          <w:rFonts w:eastAsia="Verdana" w:cs="Verdana"/>
          <w:szCs w:val="20"/>
        </w:rPr>
        <w:t>water resource plan</w:t>
      </w:r>
      <w:r w:rsidR="006F30E5">
        <w:t>s in the Namoi and Gwydir catchments</w:t>
      </w:r>
      <w:r w:rsidR="002E1BE3">
        <w:t>,</w:t>
      </w:r>
      <w:r w:rsidR="006367D9">
        <w:t xml:space="preserve"> meaning</w:t>
      </w:r>
      <w:r w:rsidR="002E1BE3">
        <w:t xml:space="preserve"> the IGWC cannot fully assess NSW SDL compliance until the 2026-2027 water year at the earliest.</w:t>
      </w:r>
      <w:r w:rsidR="00E74EFE">
        <w:t xml:space="preserve"> </w:t>
      </w:r>
      <w:r w:rsidR="00B60DBB" w:rsidRPr="00B60DBB">
        <w:t>In 2023–2024, the Namoi and Gwydir catchments extracted 1,093.2 GL of surface water and 217.3 GL of groundwater from Basin water resources</w:t>
      </w:r>
      <w:r w:rsidR="00B60DBB">
        <w:t xml:space="preserve">, </w:t>
      </w:r>
      <w:r w:rsidR="00B60DBB" w:rsidRPr="00B60DBB">
        <w:t>a significant volume that remains outside the scope of SDL compliance.</w:t>
      </w:r>
      <w:r w:rsidR="008C27D0">
        <w:t xml:space="preserve"> </w:t>
      </w:r>
      <w:r w:rsidR="1DED8C37" w:rsidRPr="00373BDF">
        <w:rPr>
          <w:szCs w:val="20"/>
        </w:rPr>
        <w:t>The ongoing absence of accredited water resource plans in these catchments is a matter of concern for the Inspector–General. The continued absence of accredited water resource plans in the Namoi and Gwydir represents an unfair playing field across the Basin.</w:t>
      </w:r>
    </w:p>
    <w:p w14:paraId="6DC22831" w14:textId="009F3603" w:rsidR="00C86389" w:rsidRDefault="09247ED7" w:rsidP="080A137C">
      <w:pPr>
        <w:tabs>
          <w:tab w:val="num" w:pos="360"/>
          <w:tab w:val="num" w:pos="720"/>
        </w:tabs>
        <w:rPr>
          <w:rFonts w:eastAsia="Verdana" w:cs="Verdana"/>
          <w:color w:val="000000"/>
        </w:rPr>
      </w:pPr>
      <w:r w:rsidRPr="080A137C">
        <w:rPr>
          <w:rFonts w:eastAsia="Verdana" w:cs="Verdana"/>
          <w:color w:val="000000"/>
        </w:rPr>
        <w:t xml:space="preserve">A list of </w:t>
      </w:r>
      <w:r w:rsidR="0091411D">
        <w:rPr>
          <w:rFonts w:eastAsia="Verdana" w:cs="Verdana"/>
          <w:szCs w:val="20"/>
        </w:rPr>
        <w:t>water resource plan</w:t>
      </w:r>
      <w:r w:rsidRPr="080A137C">
        <w:rPr>
          <w:rFonts w:eastAsia="Verdana" w:cs="Verdana"/>
          <w:color w:val="000000"/>
        </w:rPr>
        <w:t xml:space="preserve">s, when they were accredited, and which water accounting year SDL compliance can commence is presented in </w:t>
      </w:r>
      <w:r w:rsidR="001823D1">
        <w:rPr>
          <w:rFonts w:eastAsia="Verdana" w:cs="Verdana"/>
          <w:color w:val="000000"/>
        </w:rPr>
        <w:t>Table 1</w:t>
      </w:r>
      <w:r w:rsidRPr="080A137C">
        <w:rPr>
          <w:rFonts w:eastAsia="Verdana" w:cs="Verdana"/>
          <w:color w:val="000000"/>
        </w:rPr>
        <w:t>.</w:t>
      </w:r>
    </w:p>
    <w:p w14:paraId="2CF9A5F2" w14:textId="77777777" w:rsidR="00BC4E5C" w:rsidRDefault="00BC4E5C" w:rsidP="080A137C">
      <w:pPr>
        <w:tabs>
          <w:tab w:val="num" w:pos="360"/>
          <w:tab w:val="num" w:pos="720"/>
        </w:tabs>
        <w:rPr>
          <w:rFonts w:eastAsia="Verdana" w:cs="Verdana"/>
        </w:rPr>
      </w:pPr>
    </w:p>
    <w:p w14:paraId="18EA5235" w14:textId="425D5F77" w:rsidR="00C86389" w:rsidRPr="0084687F" w:rsidRDefault="00016C06" w:rsidP="005A3196">
      <w:pPr>
        <w:pStyle w:val="Heading3"/>
        <w:spacing w:line="259" w:lineRule="auto"/>
      </w:pPr>
      <w:bookmarkStart w:id="20" w:name="_Toc203485729"/>
      <w:r>
        <w:lastRenderedPageBreak/>
        <w:t>IGWC’s role in</w:t>
      </w:r>
      <w:r w:rsidR="79C6757E">
        <w:t xml:space="preserve"> SDL Compliance</w:t>
      </w:r>
      <w:bookmarkEnd w:id="20"/>
    </w:p>
    <w:p w14:paraId="5B98BF5E" w14:textId="15E55DBA" w:rsidR="007A790A" w:rsidRDefault="3121089D" w:rsidP="007A790A">
      <w:pPr>
        <w:rPr>
          <w:rFonts w:eastAsia="Verdana" w:cs="Verdana"/>
        </w:rPr>
      </w:pPr>
      <w:r w:rsidRPr="080A137C">
        <w:rPr>
          <w:rFonts w:eastAsia="Verdana" w:cs="Verdana"/>
        </w:rPr>
        <w:t xml:space="preserve">One of the main functions of </w:t>
      </w:r>
      <w:r w:rsidR="00470A03">
        <w:rPr>
          <w:rFonts w:eastAsia="Verdana" w:cs="Verdana"/>
        </w:rPr>
        <w:t>the</w:t>
      </w:r>
      <w:r w:rsidRPr="080A137C">
        <w:rPr>
          <w:rFonts w:eastAsia="Verdana" w:cs="Verdana"/>
        </w:rPr>
        <w:t xml:space="preserve"> IGWC is en</w:t>
      </w:r>
      <w:r w:rsidR="51A129F4" w:rsidRPr="080A137C">
        <w:rPr>
          <w:rFonts w:eastAsia="Verdana" w:cs="Verdana"/>
        </w:rPr>
        <w:t xml:space="preserve">forcing </w:t>
      </w:r>
      <w:r w:rsidRPr="080A137C">
        <w:rPr>
          <w:rFonts w:eastAsia="Verdana" w:cs="Verdana"/>
        </w:rPr>
        <w:t>compliance with the</w:t>
      </w:r>
      <w:r w:rsidRPr="080A137C">
        <w:rPr>
          <w:rFonts w:eastAsia="Verdana" w:cs="Verdana"/>
          <w:i/>
          <w:iCs/>
        </w:rPr>
        <w:t xml:space="preserve"> </w:t>
      </w:r>
      <w:r w:rsidRPr="080A137C">
        <w:rPr>
          <w:rFonts w:eastAsia="Verdana" w:cs="Verdana"/>
        </w:rPr>
        <w:t>Act</w:t>
      </w:r>
      <w:r w:rsidR="273302A3" w:rsidRPr="080A137C">
        <w:rPr>
          <w:rFonts w:eastAsia="Verdana" w:cs="Verdana"/>
        </w:rPr>
        <w:t xml:space="preserve"> and </w:t>
      </w:r>
      <w:r w:rsidR="00911EC4">
        <w:rPr>
          <w:rFonts w:eastAsia="Verdana" w:cs="Verdana"/>
        </w:rPr>
        <w:t>t</w:t>
      </w:r>
      <w:r w:rsidR="00FF2AE3">
        <w:rPr>
          <w:rFonts w:eastAsia="Verdana" w:cs="Verdana"/>
        </w:rPr>
        <w:t>he</w:t>
      </w:r>
      <w:r w:rsidR="273302A3" w:rsidRPr="080A137C">
        <w:rPr>
          <w:rFonts w:eastAsia="Verdana" w:cs="Verdana"/>
        </w:rPr>
        <w:t xml:space="preserve"> Plan</w:t>
      </w:r>
      <w:r w:rsidRPr="080A137C">
        <w:rPr>
          <w:rFonts w:eastAsia="Verdana" w:cs="Verdana"/>
        </w:rPr>
        <w:t>.</w:t>
      </w:r>
    </w:p>
    <w:p w14:paraId="70607E16" w14:textId="1B4954C8" w:rsidR="00C86389" w:rsidRDefault="00C86389" w:rsidP="00C86389">
      <w:r>
        <w:t>Under</w:t>
      </w:r>
      <w:r w:rsidR="51B8AE53">
        <w:t xml:space="preserve"> section 71 of</w:t>
      </w:r>
      <w:r>
        <w:t xml:space="preserve"> </w:t>
      </w:r>
      <w:r w:rsidR="6D47ABA9" w:rsidRPr="00FF7BE5">
        <w:t>the</w:t>
      </w:r>
      <w:r w:rsidRPr="00FF7BE5">
        <w:t xml:space="preserve"> Act</w:t>
      </w:r>
      <w:r>
        <w:t xml:space="preserve">, Basin </w:t>
      </w:r>
      <w:r w:rsidR="0011647D">
        <w:t>S</w:t>
      </w:r>
      <w:r>
        <w:t>tates are required to submit annual water take data to the MDBA, including a self-assessment of compliance with their SDLs. The water take data includes volumes taken under various entitlements, contextual information, and any permitted adjustments.</w:t>
      </w:r>
    </w:p>
    <w:p w14:paraId="40D21318" w14:textId="17C44930" w:rsidR="00C86389" w:rsidRDefault="00C86389" w:rsidP="00C86389">
      <w:r>
        <w:t xml:space="preserve">The MDBA performs quality assurance and reconciliation of this data under its </w:t>
      </w:r>
      <w:r w:rsidR="00AB0B96">
        <w:t>SDL</w:t>
      </w:r>
      <w:r>
        <w:t xml:space="preserve"> Accounting and Reporting Framework, and publishes the results in the Register</w:t>
      </w:r>
      <w:r w:rsidR="006C03F9">
        <w:t>s</w:t>
      </w:r>
      <w:r>
        <w:t xml:space="preserve"> of Take, ensuring data is complete, consistent, and suitable for use in regulatory assessments. The MDBA provides the IGWC with the </w:t>
      </w:r>
      <w:r w:rsidR="00E64DFE">
        <w:t>Basin</w:t>
      </w:r>
      <w:r>
        <w:t xml:space="preserve"> States</w:t>
      </w:r>
      <w:r w:rsidR="009A0325">
        <w:t>’</w:t>
      </w:r>
      <w:r>
        <w:t xml:space="preserve"> data as the primary input into formal </w:t>
      </w:r>
      <w:r w:rsidR="00F00ABB">
        <w:t>SDL</w:t>
      </w:r>
      <w:r>
        <w:t xml:space="preserve"> compliance assessments. </w:t>
      </w:r>
      <w:r w:rsidR="008C4FA1">
        <w:t>The Registers of Take report is published by the MDBA concurrently with the SDL compliance decision issued by the IGWC.</w:t>
      </w:r>
    </w:p>
    <w:p w14:paraId="07B1C891" w14:textId="67463693" w:rsidR="00196663" w:rsidRDefault="7DD96E64" w:rsidP="00196663">
      <w:r>
        <w:t xml:space="preserve">The IGWC is responsible for determining and enforcing SDL compliance and </w:t>
      </w:r>
      <w:r w:rsidR="3D526164">
        <w:t>through</w:t>
      </w:r>
      <w:r>
        <w:t xml:space="preserve"> </w:t>
      </w:r>
      <w:r w:rsidR="7C7D62FA">
        <w:t>assessing SDL</w:t>
      </w:r>
      <w:r>
        <w:t xml:space="preserve"> </w:t>
      </w:r>
      <w:r w:rsidR="2DE75995">
        <w:t>data</w:t>
      </w:r>
      <w:r>
        <w:t xml:space="preserve"> under its SDL Compliance Framework. The IGWC receives the validated data from the MDBA and undertakes an independent assessment against SDL limits set in the Plan. The IGWC's annual SDL Compliance Statement is a formal regulatory document which confirms whether Basin </w:t>
      </w:r>
      <w:r w:rsidR="0011647D">
        <w:t>S</w:t>
      </w:r>
      <w:r>
        <w:t>tates have met their SDL obligations.</w:t>
      </w:r>
    </w:p>
    <w:p w14:paraId="4A6807EA" w14:textId="3DD55DCA" w:rsidR="00196663" w:rsidRPr="009A2F71" w:rsidRDefault="0ADFDED8" w:rsidP="080A137C">
      <w:pPr>
        <w:pStyle w:val="AppendicesHeading3"/>
        <w:rPr>
          <w:bCs/>
          <w:u w:val="single"/>
        </w:rPr>
      </w:pPr>
      <w:bookmarkStart w:id="21" w:name="_Toc203485730"/>
      <w:r>
        <w:t xml:space="preserve">The </w:t>
      </w:r>
      <w:r w:rsidR="7414E20F">
        <w:t xml:space="preserve">SDL </w:t>
      </w:r>
      <w:r>
        <w:t>Compliance Advisory Panel</w:t>
      </w:r>
      <w:bookmarkEnd w:id="21"/>
    </w:p>
    <w:p w14:paraId="1404806A" w14:textId="52FA44BF" w:rsidR="00196663" w:rsidRDefault="0ADFDED8" w:rsidP="00196663">
      <w:r>
        <w:t xml:space="preserve">The </w:t>
      </w:r>
      <w:r w:rsidR="006A7D5D">
        <w:t>IGWC</w:t>
      </w:r>
      <w:r w:rsidR="00952C9D">
        <w:t xml:space="preserve"> </w:t>
      </w:r>
      <w:r w:rsidR="43E68994">
        <w:t>has</w:t>
      </w:r>
      <w:r w:rsidR="00952C9D">
        <w:t xml:space="preserve"> establish</w:t>
      </w:r>
      <w:r w:rsidR="32D7F22F">
        <w:t>ed</w:t>
      </w:r>
      <w:r w:rsidR="00952C9D">
        <w:t xml:space="preserve"> </w:t>
      </w:r>
      <w:r w:rsidR="00E93046">
        <w:t>t</w:t>
      </w:r>
      <w:r w:rsidR="00A76827" w:rsidRPr="003C111F">
        <w:t xml:space="preserve">he SDL </w:t>
      </w:r>
      <w:r w:rsidR="00A76827">
        <w:t>Compliance Advisory Panel</w:t>
      </w:r>
      <w:r w:rsidR="00A76827" w:rsidRPr="003C111F">
        <w:t xml:space="preserve"> (the Panel)</w:t>
      </w:r>
      <w:r w:rsidR="00952C9D">
        <w:t xml:space="preserve"> to provide advice and assurance on SDL compliance. </w:t>
      </w:r>
      <w:r w:rsidR="003C111F" w:rsidRPr="003C111F">
        <w:t xml:space="preserve">The </w:t>
      </w:r>
      <w:r>
        <w:t>Panel</w:t>
      </w:r>
      <w:r w:rsidR="003C111F" w:rsidRPr="003C111F">
        <w:t xml:space="preserve"> </w:t>
      </w:r>
      <w:r w:rsidR="00783AFA">
        <w:t xml:space="preserve">is </w:t>
      </w:r>
      <w:r>
        <w:t xml:space="preserve">established under </w:t>
      </w:r>
      <w:r w:rsidR="003C111F" w:rsidRPr="003C111F">
        <w:t>Section 215T of the Act</w:t>
      </w:r>
      <w:r w:rsidR="003250F8">
        <w:t>.</w:t>
      </w:r>
    </w:p>
    <w:p w14:paraId="382E495F" w14:textId="597362CE" w:rsidR="00993950" w:rsidRDefault="469BB1FC" w:rsidP="00CB230E">
      <w:r>
        <w:t xml:space="preserve">The role of </w:t>
      </w:r>
      <w:r w:rsidR="00076980">
        <w:t>the</w:t>
      </w:r>
      <w:r>
        <w:t xml:space="preserve"> </w:t>
      </w:r>
      <w:r w:rsidR="007C12F9">
        <w:t>P</w:t>
      </w:r>
      <w:r>
        <w:t xml:space="preserve">anel will not be to make assessment decisions on SDL compliance, but to provide current knowledge, critical thinking and analysis to provide the </w:t>
      </w:r>
      <w:r w:rsidR="006A7D5D">
        <w:t>IGWC</w:t>
      </w:r>
      <w:r>
        <w:t xml:space="preserve"> with increased confidence in the information available to support and inform their statutory role related to SDL compliance assessment.</w:t>
      </w:r>
    </w:p>
    <w:p w14:paraId="12E08601" w14:textId="3B05849A" w:rsidR="001424F4" w:rsidRPr="00D20DCF" w:rsidRDefault="001424F4" w:rsidP="001424F4">
      <w:pPr>
        <w:rPr>
          <w:szCs w:val="20"/>
        </w:rPr>
      </w:pPr>
      <w:r w:rsidRPr="00D20DCF">
        <w:rPr>
          <w:szCs w:val="20"/>
        </w:rPr>
        <w:t xml:space="preserve">The Panel’s main responsibility is to </w:t>
      </w:r>
      <w:r w:rsidR="00586920">
        <w:rPr>
          <w:szCs w:val="20"/>
        </w:rPr>
        <w:t>advise</w:t>
      </w:r>
      <w:r w:rsidR="00586920" w:rsidRPr="00D20DCF">
        <w:rPr>
          <w:szCs w:val="20"/>
        </w:rPr>
        <w:t xml:space="preserve"> </w:t>
      </w:r>
      <w:r w:rsidRPr="00D20DCF">
        <w:rPr>
          <w:szCs w:val="20"/>
        </w:rPr>
        <w:t xml:space="preserve">the </w:t>
      </w:r>
      <w:r w:rsidR="006A7D5D" w:rsidRPr="00D20DCF">
        <w:rPr>
          <w:szCs w:val="20"/>
        </w:rPr>
        <w:t>IGWC</w:t>
      </w:r>
      <w:r w:rsidRPr="00D20DCF">
        <w:rPr>
          <w:szCs w:val="20"/>
        </w:rPr>
        <w:t xml:space="preserve"> in carrying out their functions under the Act, by providing guidance, assistance and expertise in </w:t>
      </w:r>
      <w:r w:rsidR="003C5BA5" w:rsidRPr="00D20DCF">
        <w:rPr>
          <w:szCs w:val="20"/>
        </w:rPr>
        <w:t>fields including water management</w:t>
      </w:r>
      <w:r w:rsidR="00D03CC0">
        <w:rPr>
          <w:szCs w:val="20"/>
        </w:rPr>
        <w:t xml:space="preserve"> </w:t>
      </w:r>
      <w:r w:rsidR="003C5BA5" w:rsidRPr="00D20DCF">
        <w:rPr>
          <w:szCs w:val="20"/>
        </w:rPr>
        <w:t>and water accountancy</w:t>
      </w:r>
      <w:r w:rsidR="00516C8A" w:rsidRPr="00D20DCF">
        <w:rPr>
          <w:szCs w:val="20"/>
        </w:rPr>
        <w:t>. T</w:t>
      </w:r>
      <w:r w:rsidRPr="00D20DCF">
        <w:rPr>
          <w:szCs w:val="20"/>
        </w:rPr>
        <w:t>he following advice and outcomes will be expected from the Panel:</w:t>
      </w:r>
    </w:p>
    <w:p w14:paraId="4A817D46" w14:textId="5C7F042A" w:rsidR="001424F4" w:rsidRPr="00D20DCF" w:rsidRDefault="001424F4" w:rsidP="00D20DCF">
      <w:pPr>
        <w:pStyle w:val="ListParagraph"/>
        <w:numPr>
          <w:ilvl w:val="0"/>
          <w:numId w:val="16"/>
        </w:numPr>
        <w:rPr>
          <w:rFonts w:ascii="Verdana" w:hAnsi="Verdana"/>
          <w:sz w:val="20"/>
          <w:szCs w:val="20"/>
        </w:rPr>
      </w:pPr>
      <w:r w:rsidRPr="00D20DCF">
        <w:rPr>
          <w:rFonts w:ascii="Verdana" w:hAnsi="Verdana"/>
          <w:sz w:val="20"/>
          <w:szCs w:val="20"/>
        </w:rPr>
        <w:t>Provide assurance of transparency and consistency in the assessment of SDL compliance and claims of reasonable excuse</w:t>
      </w:r>
    </w:p>
    <w:p w14:paraId="64AFC703" w14:textId="0FCFADB5" w:rsidR="001424F4" w:rsidRPr="00D20DCF" w:rsidRDefault="001424F4" w:rsidP="00D20DCF">
      <w:pPr>
        <w:pStyle w:val="ListParagraph"/>
        <w:numPr>
          <w:ilvl w:val="0"/>
          <w:numId w:val="16"/>
        </w:numPr>
        <w:rPr>
          <w:rFonts w:ascii="Verdana" w:hAnsi="Verdana"/>
          <w:sz w:val="20"/>
          <w:szCs w:val="20"/>
        </w:rPr>
      </w:pPr>
      <w:r w:rsidRPr="00D20DCF">
        <w:rPr>
          <w:rFonts w:ascii="Verdana" w:hAnsi="Verdana"/>
          <w:sz w:val="20"/>
          <w:szCs w:val="20"/>
        </w:rPr>
        <w:t xml:space="preserve">Offer recommendations to the </w:t>
      </w:r>
      <w:r w:rsidR="00AA0593" w:rsidRPr="00D20DCF">
        <w:rPr>
          <w:rFonts w:ascii="Verdana" w:hAnsi="Verdana"/>
          <w:sz w:val="20"/>
          <w:szCs w:val="20"/>
        </w:rPr>
        <w:t>IGWC</w:t>
      </w:r>
      <w:r w:rsidRPr="00D20DCF">
        <w:rPr>
          <w:rFonts w:ascii="Verdana" w:hAnsi="Verdana"/>
          <w:sz w:val="20"/>
          <w:szCs w:val="20"/>
        </w:rPr>
        <w:t xml:space="preserve"> regarding the form and content of the annual SDL compliance statement</w:t>
      </w:r>
    </w:p>
    <w:p w14:paraId="46729D19" w14:textId="5DBCECDF" w:rsidR="001424F4" w:rsidRPr="00D20DCF" w:rsidRDefault="00291099" w:rsidP="00D20DCF">
      <w:pPr>
        <w:pStyle w:val="ListParagraph"/>
        <w:numPr>
          <w:ilvl w:val="0"/>
          <w:numId w:val="16"/>
        </w:numPr>
        <w:rPr>
          <w:rFonts w:ascii="Verdana" w:hAnsi="Verdana"/>
          <w:sz w:val="20"/>
          <w:szCs w:val="20"/>
        </w:rPr>
      </w:pPr>
      <w:r w:rsidRPr="00D20DCF">
        <w:rPr>
          <w:rFonts w:ascii="Verdana" w:hAnsi="Verdana"/>
          <w:sz w:val="20"/>
          <w:szCs w:val="20"/>
        </w:rPr>
        <w:t>Offer independent advice regarding potential</w:t>
      </w:r>
      <w:r w:rsidR="003A4AAA" w:rsidRPr="00D20DCF">
        <w:rPr>
          <w:rFonts w:ascii="Verdana" w:hAnsi="Verdana"/>
          <w:sz w:val="20"/>
          <w:szCs w:val="20"/>
        </w:rPr>
        <w:t xml:space="preserve"> SDL compliance</w:t>
      </w:r>
      <w:r w:rsidRPr="00D20DCF">
        <w:rPr>
          <w:rFonts w:ascii="Verdana" w:hAnsi="Verdana"/>
          <w:sz w:val="20"/>
          <w:szCs w:val="20"/>
        </w:rPr>
        <w:t xml:space="preserve"> breaches, including assisting in a</w:t>
      </w:r>
      <w:r w:rsidR="001424F4" w:rsidRPr="00D20DCF">
        <w:rPr>
          <w:rFonts w:ascii="Verdana" w:hAnsi="Verdana"/>
          <w:sz w:val="20"/>
          <w:szCs w:val="20"/>
        </w:rPr>
        <w:t>ssess</w:t>
      </w:r>
      <w:r w:rsidRPr="00D20DCF">
        <w:rPr>
          <w:rFonts w:ascii="Verdana" w:hAnsi="Verdana"/>
          <w:sz w:val="20"/>
          <w:szCs w:val="20"/>
        </w:rPr>
        <w:t>ing</w:t>
      </w:r>
      <w:r w:rsidR="001424F4" w:rsidRPr="00D20DCF">
        <w:rPr>
          <w:rFonts w:ascii="Verdana" w:hAnsi="Verdana"/>
          <w:sz w:val="20"/>
          <w:szCs w:val="20"/>
        </w:rPr>
        <w:t xml:space="preserve"> claims of reasonable excuse and provid</w:t>
      </w:r>
      <w:r w:rsidR="003A4AAA" w:rsidRPr="00D20DCF">
        <w:rPr>
          <w:rFonts w:ascii="Verdana" w:hAnsi="Verdana"/>
          <w:sz w:val="20"/>
          <w:szCs w:val="20"/>
        </w:rPr>
        <w:t>ing</w:t>
      </w:r>
      <w:r w:rsidR="001424F4" w:rsidRPr="00D20DCF">
        <w:rPr>
          <w:rFonts w:ascii="Verdana" w:hAnsi="Verdana"/>
          <w:sz w:val="20"/>
          <w:szCs w:val="20"/>
        </w:rPr>
        <w:t xml:space="preserve"> recommendations</w:t>
      </w:r>
    </w:p>
    <w:p w14:paraId="3601AE36" w14:textId="047F7083" w:rsidR="001424F4" w:rsidRPr="00D20DCF" w:rsidRDefault="001424F4" w:rsidP="00D20DCF">
      <w:pPr>
        <w:pStyle w:val="ListParagraph"/>
        <w:numPr>
          <w:ilvl w:val="0"/>
          <w:numId w:val="16"/>
        </w:numPr>
        <w:rPr>
          <w:rFonts w:ascii="Verdana" w:hAnsi="Verdana"/>
          <w:sz w:val="20"/>
          <w:szCs w:val="20"/>
        </w:rPr>
      </w:pPr>
      <w:r w:rsidRPr="00D20DCF">
        <w:rPr>
          <w:rFonts w:ascii="Verdana" w:hAnsi="Verdana"/>
          <w:sz w:val="20"/>
          <w:szCs w:val="20"/>
        </w:rPr>
        <w:t>Evaluate action plans and associated reporting, offering recommendations as appropriate</w:t>
      </w:r>
    </w:p>
    <w:p w14:paraId="79851732" w14:textId="33D81A8D" w:rsidR="001424F4" w:rsidRPr="00D20DCF" w:rsidRDefault="001424F4" w:rsidP="00D20DCF">
      <w:pPr>
        <w:pStyle w:val="ListParagraph"/>
        <w:numPr>
          <w:ilvl w:val="0"/>
          <w:numId w:val="16"/>
        </w:numPr>
        <w:rPr>
          <w:rFonts w:ascii="Verdana" w:hAnsi="Verdana"/>
          <w:sz w:val="20"/>
          <w:szCs w:val="20"/>
        </w:rPr>
      </w:pPr>
      <w:r w:rsidRPr="00D20DCF">
        <w:rPr>
          <w:rFonts w:ascii="Verdana" w:hAnsi="Verdana"/>
          <w:sz w:val="20"/>
          <w:szCs w:val="20"/>
        </w:rPr>
        <w:t>Provide advice in the development or review of action plan guidelines</w:t>
      </w:r>
    </w:p>
    <w:p w14:paraId="0FFEAFB3" w14:textId="1E60B2D5" w:rsidR="00CC75A2" w:rsidRPr="00D20DCF" w:rsidRDefault="001424F4" w:rsidP="00D20DCF">
      <w:pPr>
        <w:pStyle w:val="ListParagraph"/>
        <w:numPr>
          <w:ilvl w:val="0"/>
          <w:numId w:val="16"/>
        </w:numPr>
        <w:rPr>
          <w:rFonts w:ascii="Verdana" w:hAnsi="Verdana"/>
          <w:sz w:val="20"/>
          <w:szCs w:val="20"/>
        </w:rPr>
      </w:pPr>
      <w:r w:rsidRPr="00D20DCF">
        <w:rPr>
          <w:rFonts w:ascii="Verdana" w:hAnsi="Verdana"/>
          <w:sz w:val="20"/>
          <w:szCs w:val="20"/>
        </w:rPr>
        <w:t xml:space="preserve">Identify mechanisms for SDL accounting and compliance where accredited </w:t>
      </w:r>
      <w:r w:rsidR="00E25EC8" w:rsidRPr="00D20DCF">
        <w:rPr>
          <w:rFonts w:ascii="Verdana" w:hAnsi="Verdana"/>
          <w:sz w:val="20"/>
          <w:szCs w:val="20"/>
        </w:rPr>
        <w:t>WRPs</w:t>
      </w:r>
      <w:r w:rsidRPr="00D20DCF">
        <w:rPr>
          <w:rFonts w:ascii="Verdana" w:hAnsi="Verdana"/>
          <w:sz w:val="20"/>
          <w:szCs w:val="20"/>
        </w:rPr>
        <w:t xml:space="preserve"> are absent, offering guidance where needed</w:t>
      </w:r>
      <w:r w:rsidR="00482978">
        <w:rPr>
          <w:rFonts w:ascii="Verdana" w:hAnsi="Verdana"/>
          <w:sz w:val="20"/>
          <w:szCs w:val="20"/>
        </w:rPr>
        <w:t>.</w:t>
      </w:r>
    </w:p>
    <w:p w14:paraId="2ED66017" w14:textId="6194E271" w:rsidR="00F33788" w:rsidRDefault="003160B8" w:rsidP="00662610">
      <w:r w:rsidRPr="00D20DCF">
        <w:rPr>
          <w:szCs w:val="20"/>
        </w:rPr>
        <w:t>The Inspector</w:t>
      </w:r>
      <w:r w:rsidR="004438BB">
        <w:t>–</w:t>
      </w:r>
      <w:r w:rsidRPr="003160B8">
        <w:t xml:space="preserve">General has appointed Tony Slatyer as Chair of the Panel. </w:t>
      </w:r>
      <w:r w:rsidR="00482978">
        <w:t>Mr Slatyer</w:t>
      </w:r>
      <w:r w:rsidRPr="003160B8">
        <w:t xml:space="preserve"> brings extensive experience in water policy and governance, </w:t>
      </w:r>
      <w:r w:rsidR="00C532D9">
        <w:t>currently serving</w:t>
      </w:r>
      <w:r w:rsidRPr="003160B8">
        <w:t xml:space="preserve"> as Policy Adviser to the United Nations Water Expert Group on Water and Climate Change. From 2017 to 2024, he was Special Adviser on Water to the Australian Department of Foreign Affairs and Trade (DFAT), and </w:t>
      </w:r>
      <w:r w:rsidR="00366E8F">
        <w:t xml:space="preserve">adviser to </w:t>
      </w:r>
      <w:r w:rsidRPr="003160B8">
        <w:t>the World Meteorological Organi</w:t>
      </w:r>
      <w:r w:rsidR="0078508F">
        <w:t>s</w:t>
      </w:r>
      <w:r w:rsidRPr="003160B8">
        <w:t>ation (WMO) on water policy and strategy (2022–2024).</w:t>
      </w:r>
      <w:r w:rsidR="00366E8F">
        <w:t xml:space="preserve"> Prior to these </w:t>
      </w:r>
      <w:r w:rsidR="00623458">
        <w:t>r</w:t>
      </w:r>
      <w:r w:rsidR="00366E8F">
        <w:t>oles, Mr Slatyer was a senior executive in the Australian Public Service</w:t>
      </w:r>
      <w:r w:rsidR="00592C55">
        <w:t>, including with national water responsibilities.</w:t>
      </w:r>
      <w:r w:rsidRPr="003160B8">
        <w:t xml:space="preserve"> His experience and </w:t>
      </w:r>
      <w:r w:rsidR="00F65692">
        <w:t>knowledge</w:t>
      </w:r>
      <w:r w:rsidRPr="003160B8">
        <w:t xml:space="preserve"> </w:t>
      </w:r>
      <w:r w:rsidR="001D619F" w:rsidRPr="00290D1E">
        <w:t>bring</w:t>
      </w:r>
      <w:r w:rsidR="00F65692">
        <w:t>s</w:t>
      </w:r>
      <w:r w:rsidR="00290D1E" w:rsidRPr="00290D1E">
        <w:t xml:space="preserve"> proven strategic insight that will directly benefit the Panel.</w:t>
      </w:r>
    </w:p>
    <w:p w14:paraId="52A835F3" w14:textId="280C0A8A" w:rsidR="00CC75A2" w:rsidRDefault="00516C8A" w:rsidP="00662610">
      <w:r>
        <w:t>The Panel will be available to</w:t>
      </w:r>
      <w:r w:rsidR="00CC75A2">
        <w:t xml:space="preserve"> </w:t>
      </w:r>
      <w:r>
        <w:t>provide</w:t>
      </w:r>
      <w:r w:rsidR="00CC75A2">
        <w:t xml:space="preserve"> </w:t>
      </w:r>
      <w:r>
        <w:t>expertise</w:t>
      </w:r>
      <w:r w:rsidR="00CC75A2">
        <w:t xml:space="preserve"> </w:t>
      </w:r>
      <w:r>
        <w:t xml:space="preserve">and advice for the </w:t>
      </w:r>
      <w:r w:rsidR="00E802A8">
        <w:t>2024-2025</w:t>
      </w:r>
      <w:r>
        <w:t xml:space="preserve"> SDL Compliance Statement</w:t>
      </w:r>
      <w:r w:rsidR="00CC75A2">
        <w:t>.</w:t>
      </w:r>
    </w:p>
    <w:p w14:paraId="0CEEEF10" w14:textId="2BA33E24" w:rsidR="00514037" w:rsidRPr="00A20D6B" w:rsidRDefault="006C2ECD" w:rsidP="00514037">
      <w:pPr>
        <w:pStyle w:val="Heading3"/>
      </w:pPr>
      <w:bookmarkStart w:id="22" w:name="_Toc203485731"/>
      <w:r>
        <w:lastRenderedPageBreak/>
        <w:t>Calculation of the</w:t>
      </w:r>
      <w:r w:rsidR="00514037" w:rsidRPr="00A20D6B">
        <w:t xml:space="preserve"> Cumulative </w:t>
      </w:r>
      <w:r w:rsidR="00514037">
        <w:t>Balance</w:t>
      </w:r>
      <w:r w:rsidR="00514037" w:rsidRPr="00A20D6B">
        <w:t xml:space="preserve"> </w:t>
      </w:r>
      <w:r w:rsidR="00916762">
        <w:t xml:space="preserve">for SDL </w:t>
      </w:r>
      <w:r w:rsidR="00C65E96">
        <w:t>Compliance</w:t>
      </w:r>
      <w:bookmarkEnd w:id="22"/>
    </w:p>
    <w:p w14:paraId="55D3948E" w14:textId="70FD0567" w:rsidR="00A83A73" w:rsidRDefault="00514037" w:rsidP="080A137C">
      <w:r>
        <w:br/>
      </w:r>
      <w:r w:rsidR="502B6C6C">
        <w:t xml:space="preserve">The cumulative balance is </w:t>
      </w:r>
      <w:r w:rsidR="007A5912">
        <w:t xml:space="preserve">key to ensuring that long-term actual water take is equal to or less than the SDL and allows for variability in the actual take and permitted take. </w:t>
      </w:r>
      <w:r w:rsidR="502B6C6C">
        <w:t xml:space="preserve">The cumulative balance is the running total of annual differences between the permitted water take and actual water take for each SDL resource unit. It is calculated using </w:t>
      </w:r>
      <w:r w:rsidR="00035FBE">
        <w:t>water take</w:t>
      </w:r>
      <w:r w:rsidR="502B6C6C">
        <w:t xml:space="preserve"> data submitted by Basin States, with each year’s water balance credit or </w:t>
      </w:r>
      <w:r w:rsidR="00537E41">
        <w:t>debit</w:t>
      </w:r>
      <w:r w:rsidR="502B6C6C">
        <w:t xml:space="preserve"> added to the previous total.</w:t>
      </w:r>
    </w:p>
    <w:p w14:paraId="4555E1B9" w14:textId="028EF96A" w:rsidR="00514037" w:rsidRDefault="502B6C6C" w:rsidP="080A137C">
      <w:r>
        <w:t xml:space="preserve">A negative </w:t>
      </w:r>
      <w:r w:rsidR="00A83A73">
        <w:t xml:space="preserve">cumulative </w:t>
      </w:r>
      <w:r>
        <w:t xml:space="preserve">balance (debit) indicates potential overuse, while a positive </w:t>
      </w:r>
      <w:r w:rsidR="00A83A73">
        <w:t xml:space="preserve">cumulative </w:t>
      </w:r>
      <w:r>
        <w:t xml:space="preserve">balance (credit) indicates </w:t>
      </w:r>
      <w:r w:rsidR="00073034">
        <w:t xml:space="preserve">actual take </w:t>
      </w:r>
      <w:r w:rsidR="00F64064">
        <w:t>is under the permitted take</w:t>
      </w:r>
      <w:r>
        <w:t>. The adjusted cumulative balance modifies this total to account for factors such as the one-off adjustment or the acquisition or disposal of Held Environmental Water (HEW)</w:t>
      </w:r>
      <w:r w:rsidR="006C2623">
        <w:t xml:space="preserve"> </w:t>
      </w:r>
      <w:r w:rsidR="0049279B">
        <w:t xml:space="preserve">and </w:t>
      </w:r>
      <w:r w:rsidR="00F21EFD">
        <w:t xml:space="preserve">separate </w:t>
      </w:r>
      <w:r w:rsidR="00A00E47">
        <w:t>adjus</w:t>
      </w:r>
      <w:r w:rsidR="00F21EFD">
        <w:t>tments</w:t>
      </w:r>
      <w:r w:rsidR="00A00E47">
        <w:t xml:space="preserve"> for </w:t>
      </w:r>
      <w:r w:rsidR="00B33A8C">
        <w:t xml:space="preserve">incomplete recovery </w:t>
      </w:r>
      <w:r w:rsidR="002E1D34">
        <w:t xml:space="preserve">(AEIR) </w:t>
      </w:r>
      <w:r w:rsidR="00FC5A53">
        <w:t xml:space="preserve">based on amount of </w:t>
      </w:r>
      <w:r w:rsidR="00BF0565">
        <w:t xml:space="preserve">water </w:t>
      </w:r>
      <w:r w:rsidR="00BF0565" w:rsidRPr="00BF0565">
        <w:t>recovered towards the ‘Bridging the Gap’ target</w:t>
      </w:r>
      <w:r w:rsidR="00BF0565">
        <w:t>s</w:t>
      </w:r>
      <w:r>
        <w:t>.</w:t>
      </w:r>
    </w:p>
    <w:p w14:paraId="0F776D5B" w14:textId="35C5463E" w:rsidR="00E43F4F" w:rsidRDefault="00E43F4F" w:rsidP="00E43F4F">
      <w:r>
        <w:t>For surface water</w:t>
      </w:r>
      <w:r w:rsidR="00E64F85">
        <w:t xml:space="preserve"> SDL resource units</w:t>
      </w:r>
      <w:r>
        <w:t xml:space="preserve">, the registers open with a cumulative balance of zero in the year of their commencement (the start of the first water year after accreditation of the </w:t>
      </w:r>
      <w:r w:rsidR="00743D1B">
        <w:rPr>
          <w:rFonts w:eastAsia="Verdana" w:cs="Verdana"/>
          <w:szCs w:val="20"/>
        </w:rPr>
        <w:t>water resource plan</w:t>
      </w:r>
      <w:r>
        <w:t xml:space="preserve">) </w:t>
      </w:r>
      <w:r w:rsidR="00E935FA">
        <w:t>followed by</w:t>
      </w:r>
      <w:r>
        <w:t xml:space="preserve"> the one-off adjustments</w:t>
      </w:r>
      <w:r w:rsidR="00E64F85">
        <w:t xml:space="preserve"> </w:t>
      </w:r>
      <w:r w:rsidR="00573F27">
        <w:t>(</w:t>
      </w:r>
      <w:r w:rsidR="00E64F85">
        <w:t>as discussed below</w:t>
      </w:r>
      <w:r w:rsidR="00573F27">
        <w:t xml:space="preserve">) </w:t>
      </w:r>
      <w:r w:rsidR="00573F27" w:rsidRPr="00573F27">
        <w:t xml:space="preserve">where </w:t>
      </w:r>
      <w:r w:rsidR="00F12F4A">
        <w:t>water resource plan</w:t>
      </w:r>
      <w:r w:rsidR="00F12F4A" w:rsidRPr="00573F27">
        <w:t>s</w:t>
      </w:r>
      <w:r w:rsidR="00573F27" w:rsidRPr="00573F27">
        <w:t xml:space="preserve"> did not commence by 1 July 2019</w:t>
      </w:r>
      <w:r w:rsidR="00E64F85">
        <w:t>.</w:t>
      </w:r>
    </w:p>
    <w:p w14:paraId="4F96DED6" w14:textId="6C247BE2" w:rsidR="00076237" w:rsidRDefault="00076237" w:rsidP="00076237">
      <w:pPr>
        <w:rPr>
          <w:highlight w:val="yellow"/>
        </w:rPr>
      </w:pPr>
      <w:r>
        <w:t xml:space="preserve">In contrast to surface water SDL resource units, </w:t>
      </w:r>
      <w:r w:rsidR="000308E8">
        <w:t>for groundwater SDL resource units</w:t>
      </w:r>
      <w:r w:rsidR="00A80D55">
        <w:t xml:space="preserve">, </w:t>
      </w:r>
      <w:r>
        <w:t xml:space="preserve">the </w:t>
      </w:r>
      <w:r w:rsidR="00A80D55">
        <w:t>cumulative</w:t>
      </w:r>
      <w:r>
        <w:t xml:space="preserve"> actual permitted take</w:t>
      </w:r>
      <w:r w:rsidR="00A80D55">
        <w:t>s</w:t>
      </w:r>
      <w:r>
        <w:t xml:space="preserve"> begin from 1 July 2019</w:t>
      </w:r>
      <w:r w:rsidR="00FF4429">
        <w:t>, regardless of</w:t>
      </w:r>
      <w:r>
        <w:t xml:space="preserve"> whether a </w:t>
      </w:r>
      <w:r w:rsidR="00743D1B">
        <w:rPr>
          <w:rFonts w:eastAsia="Verdana" w:cs="Verdana"/>
          <w:szCs w:val="20"/>
        </w:rPr>
        <w:t>water resource plan</w:t>
      </w:r>
      <w:r>
        <w:t xml:space="preserve"> for the resource unit was accredited prior to </w:t>
      </w:r>
      <w:r w:rsidR="00986AF0">
        <w:t xml:space="preserve">1 </w:t>
      </w:r>
      <w:r>
        <w:t>July 2019</w:t>
      </w:r>
      <w:r w:rsidR="0014205D">
        <w:t xml:space="preserve"> or not</w:t>
      </w:r>
      <w:r w:rsidR="00863230">
        <w:t>.</w:t>
      </w:r>
    </w:p>
    <w:p w14:paraId="313765B2" w14:textId="58624D9D" w:rsidR="00514037" w:rsidRPr="00E55928" w:rsidRDefault="003E3F1E" w:rsidP="00C722A3">
      <w:r>
        <w:t>As required by the Plan, t</w:t>
      </w:r>
      <w:r w:rsidR="502B6C6C">
        <w:t>he IGWC uses the adjusted cumulative balance to assess SDL compliance</w:t>
      </w:r>
      <w:r w:rsidR="58281F9E">
        <w:t xml:space="preserve"> for surface water</w:t>
      </w:r>
      <w:r w:rsidR="502B6C6C">
        <w:t>.</w:t>
      </w:r>
    </w:p>
    <w:p w14:paraId="0634FBED" w14:textId="472140D9" w:rsidR="00A44DB0" w:rsidRDefault="00514037" w:rsidP="00923601">
      <w:r w:rsidRPr="009F74FF">
        <w:t xml:space="preserve">The Registers of Take are prepared </w:t>
      </w:r>
      <w:r w:rsidR="00CF0F5A">
        <w:t xml:space="preserve">by the MDBA </w:t>
      </w:r>
      <w:r w:rsidRPr="009F74FF">
        <w:t xml:space="preserve">annually for each SDL resource unit in line with </w:t>
      </w:r>
      <w:r w:rsidR="00911EC4">
        <w:t>t</w:t>
      </w:r>
      <w:r w:rsidR="00FF2AE3">
        <w:t>he</w:t>
      </w:r>
      <w:r w:rsidRPr="009F74FF">
        <w:t xml:space="preserve"> Plan requirements, using the best available data to calculate cumulative water take balances. </w:t>
      </w:r>
      <w:r w:rsidR="00F32D5D" w:rsidRPr="009F74FF">
        <w:t>The final cumulative balance in a given water accounting year becomes the opening balance for the following year.</w:t>
      </w:r>
    </w:p>
    <w:p w14:paraId="65C355AF" w14:textId="4EB17241" w:rsidR="00B7143D" w:rsidRPr="008654B5" w:rsidRDefault="00B7143D" w:rsidP="00B7143D">
      <w:pPr>
        <w:rPr>
          <w:szCs w:val="20"/>
        </w:rPr>
      </w:pPr>
      <w:r>
        <w:t xml:space="preserve">Under the MDBA’s </w:t>
      </w:r>
      <w:hyperlink r:id="rId36" w:history="1">
        <w:r w:rsidR="306BACCC" w:rsidRPr="00CE2A4E">
          <w:rPr>
            <w:rStyle w:val="Hyperlink"/>
          </w:rPr>
          <w:t>SDL Accounting and Reporting Framework</w:t>
        </w:r>
        <w:r w:rsidR="00677320" w:rsidRPr="00CE2A4E">
          <w:rPr>
            <w:rStyle w:val="Hyperlink"/>
          </w:rPr>
          <w:t xml:space="preserve"> (2025)</w:t>
        </w:r>
      </w:hyperlink>
      <w:r>
        <w:t xml:space="preserve">, if better data becomes available </w:t>
      </w:r>
      <w:r w:rsidRPr="008654B5">
        <w:rPr>
          <w:szCs w:val="20"/>
        </w:rPr>
        <w:t xml:space="preserve">after </w:t>
      </w:r>
      <w:r w:rsidR="00D941B7" w:rsidRPr="008654B5">
        <w:rPr>
          <w:szCs w:val="20"/>
        </w:rPr>
        <w:t>the</w:t>
      </w:r>
      <w:r w:rsidRPr="008654B5">
        <w:rPr>
          <w:szCs w:val="20"/>
        </w:rPr>
        <w:t xml:space="preserve"> Register</w:t>
      </w:r>
      <w:r w:rsidR="00D941B7" w:rsidRPr="008654B5">
        <w:rPr>
          <w:szCs w:val="20"/>
        </w:rPr>
        <w:t>s</w:t>
      </w:r>
      <w:r w:rsidRPr="008654B5">
        <w:rPr>
          <w:szCs w:val="20"/>
        </w:rPr>
        <w:t xml:space="preserve"> of Take </w:t>
      </w:r>
      <w:r w:rsidR="00D941B7" w:rsidRPr="008654B5">
        <w:rPr>
          <w:szCs w:val="20"/>
        </w:rPr>
        <w:t>are</w:t>
      </w:r>
      <w:r w:rsidRPr="008654B5">
        <w:rPr>
          <w:szCs w:val="20"/>
        </w:rPr>
        <w:t xml:space="preserve"> finalised, the MDBA may recalculate the opening balance in the following year to ensure accuracy. Changes to the opening cumulative balance of a new water year may occur for two reasons:</w:t>
      </w:r>
    </w:p>
    <w:p w14:paraId="11BB1084" w14:textId="502B4E98" w:rsidR="00B7143D" w:rsidRPr="008654B5" w:rsidRDefault="00B7143D" w:rsidP="008654B5">
      <w:pPr>
        <w:pStyle w:val="ListParagraph"/>
        <w:numPr>
          <w:ilvl w:val="0"/>
          <w:numId w:val="17"/>
        </w:numPr>
        <w:rPr>
          <w:rFonts w:ascii="Verdana" w:hAnsi="Verdana"/>
          <w:sz w:val="20"/>
          <w:szCs w:val="20"/>
        </w:rPr>
      </w:pPr>
      <w:r w:rsidRPr="008654B5">
        <w:rPr>
          <w:rFonts w:ascii="Verdana" w:hAnsi="Verdana"/>
          <w:sz w:val="20"/>
          <w:szCs w:val="20"/>
        </w:rPr>
        <w:t>the legislated one-off adjustment (described below); and</w:t>
      </w:r>
    </w:p>
    <w:p w14:paraId="507547AF" w14:textId="73B5987F" w:rsidR="00B7143D" w:rsidRPr="008654B5" w:rsidRDefault="00B7143D" w:rsidP="008654B5">
      <w:pPr>
        <w:pStyle w:val="ListParagraph"/>
        <w:numPr>
          <w:ilvl w:val="0"/>
          <w:numId w:val="17"/>
        </w:numPr>
        <w:rPr>
          <w:rFonts w:ascii="Verdana" w:hAnsi="Verdana"/>
          <w:sz w:val="20"/>
          <w:szCs w:val="20"/>
        </w:rPr>
      </w:pPr>
      <w:r w:rsidRPr="008654B5">
        <w:rPr>
          <w:rFonts w:ascii="Verdana" w:hAnsi="Verdana"/>
          <w:sz w:val="20"/>
          <w:szCs w:val="20"/>
        </w:rPr>
        <w:t xml:space="preserve">recalculations due to revised metering data, updated climate or streamflow inputs, or re-accreditation of improved water take methods. </w:t>
      </w:r>
    </w:p>
    <w:p w14:paraId="3E4BD319" w14:textId="594A482E" w:rsidR="00B7143D" w:rsidRDefault="00B7143D" w:rsidP="00B7143D">
      <w:r w:rsidRPr="008654B5">
        <w:rPr>
          <w:szCs w:val="20"/>
        </w:rPr>
        <w:t xml:space="preserve">Such updates </w:t>
      </w:r>
      <w:r w:rsidR="007306FB">
        <w:rPr>
          <w:szCs w:val="20"/>
        </w:rPr>
        <w:t>to the</w:t>
      </w:r>
      <w:r w:rsidR="007306FB" w:rsidRPr="008654B5">
        <w:rPr>
          <w:szCs w:val="20"/>
        </w:rPr>
        <w:t xml:space="preserve"> Registers of Take </w:t>
      </w:r>
      <w:r w:rsidRPr="008654B5">
        <w:rPr>
          <w:szCs w:val="20"/>
        </w:rPr>
        <w:t xml:space="preserve">aim to ensure the ongoing accuracy of long-term SDL compliance without altering historical registers. The MDBA manages this process in collaboration with Basin </w:t>
      </w:r>
      <w:r w:rsidR="00C01A18" w:rsidRPr="008654B5">
        <w:rPr>
          <w:szCs w:val="20"/>
        </w:rPr>
        <w:t>S</w:t>
      </w:r>
      <w:r w:rsidRPr="008654B5">
        <w:rPr>
          <w:szCs w:val="20"/>
        </w:rPr>
        <w:t>tates and documents any changes in the Registers</w:t>
      </w:r>
      <w:r>
        <w:t xml:space="preserve"> of Take.</w:t>
      </w:r>
    </w:p>
    <w:p w14:paraId="52A1D999" w14:textId="57B95E3D" w:rsidR="00514037" w:rsidRPr="00FC757F" w:rsidRDefault="00514037" w:rsidP="00985815">
      <w:pPr>
        <w:pStyle w:val="Heading3"/>
        <w:rPr>
          <w:rFonts w:cs="Times New Roman"/>
        </w:rPr>
      </w:pPr>
      <w:bookmarkStart w:id="23" w:name="_Toc203485732"/>
      <w:r>
        <w:t>One</w:t>
      </w:r>
      <w:r w:rsidR="00EF7EE7">
        <w:t>-</w:t>
      </w:r>
      <w:r>
        <w:t>off adjustment</w:t>
      </w:r>
      <w:bookmarkEnd w:id="23"/>
    </w:p>
    <w:p w14:paraId="2820DF0B" w14:textId="2A534941" w:rsidR="00514037" w:rsidRDefault="502B6C6C" w:rsidP="00514037">
      <w:r>
        <w:t xml:space="preserve">Under the </w:t>
      </w:r>
      <w:r w:rsidRPr="00676B44">
        <w:t>Plan</w:t>
      </w:r>
      <w:r w:rsidRPr="080A137C">
        <w:rPr>
          <w:i/>
          <w:iCs/>
        </w:rPr>
        <w:t xml:space="preserve"> </w:t>
      </w:r>
      <w:r w:rsidR="000C2C50">
        <w:rPr>
          <w:rFonts w:eastAsia="Verdana" w:cs="Verdana"/>
          <w:szCs w:val="20"/>
        </w:rPr>
        <w:t>water resource plan</w:t>
      </w:r>
      <w:r>
        <w:t>s were to be accredited</w:t>
      </w:r>
      <w:r w:rsidR="00D357D8">
        <w:t>,</w:t>
      </w:r>
      <w:r>
        <w:t xml:space="preserve"> and associated</w:t>
      </w:r>
      <w:r w:rsidRPr="080A137C">
        <w:rPr>
          <w:i/>
          <w:iCs/>
        </w:rPr>
        <w:t xml:space="preserve"> </w:t>
      </w:r>
      <w:r>
        <w:t>SDLs due to come in to effect</w:t>
      </w:r>
      <w:r w:rsidR="00D357D8">
        <w:t>,</w:t>
      </w:r>
      <w:r>
        <w:t xml:space="preserve"> for the 2019-2020 water year</w:t>
      </w:r>
      <w:r w:rsidR="7B0B0E7A">
        <w:t>, commencing 1 July 2019</w:t>
      </w:r>
      <w:r>
        <w:t xml:space="preserve">. Due to </w:t>
      </w:r>
      <w:r w:rsidR="00A83F60">
        <w:t>the</w:t>
      </w:r>
      <w:r w:rsidR="001B6BC3">
        <w:t xml:space="preserve"> majority of the</w:t>
      </w:r>
      <w:r>
        <w:t xml:space="preserve"> Basin States</w:t>
      </w:r>
      <w:r w:rsidR="00FE2651">
        <w:t xml:space="preserve">, </w:t>
      </w:r>
      <w:r w:rsidR="00B52B5D">
        <w:t xml:space="preserve">except Queensland with </w:t>
      </w:r>
      <w:r w:rsidR="00B52B5D" w:rsidRPr="00B52B5D">
        <w:t xml:space="preserve">Warrego-Paroo-Nebine </w:t>
      </w:r>
      <w:r w:rsidR="00A5609E">
        <w:rPr>
          <w:rFonts w:eastAsia="Verdana" w:cs="Verdana"/>
          <w:szCs w:val="20"/>
        </w:rPr>
        <w:t>water resource plan</w:t>
      </w:r>
      <w:r w:rsidR="00B6650D">
        <w:t>,</w:t>
      </w:r>
      <w:r>
        <w:t xml:space="preserve"> failing to meet this deadline for </w:t>
      </w:r>
      <w:r w:rsidR="00A5609E">
        <w:rPr>
          <w:rFonts w:eastAsia="Verdana" w:cs="Verdana"/>
          <w:szCs w:val="20"/>
        </w:rPr>
        <w:t>water resource plan</w:t>
      </w:r>
      <w:r>
        <w:t xml:space="preserve"> accreditation</w:t>
      </w:r>
      <w:r w:rsidR="7B0B0E7A">
        <w:t>,</w:t>
      </w:r>
      <w:r>
        <w:t xml:space="preserve"> full Basin Plan arrangements regarding SDLs did not come into effect on this date.</w:t>
      </w:r>
    </w:p>
    <w:p w14:paraId="371DC399" w14:textId="59E0CE8E" w:rsidR="006C3C06" w:rsidRDefault="00F5238F" w:rsidP="00514037">
      <w:r w:rsidRPr="00F5238F">
        <w:t>To address the delay in water resource plan accreditation and the resulting postponement of full SDL implementation</w:t>
      </w:r>
      <w:r w:rsidR="00B03A0F">
        <w:t>, a</w:t>
      </w:r>
      <w:r w:rsidR="006C3C06" w:rsidRPr="006C3C06">
        <w:t xml:space="preserve">n amendment to the Act in 2023, known as the </w:t>
      </w:r>
      <w:r w:rsidR="006C3C06" w:rsidRPr="00975492">
        <w:rPr>
          <w:i/>
        </w:rPr>
        <w:t>Restoring our Rivers Act</w:t>
      </w:r>
      <w:r w:rsidR="006C3C06" w:rsidRPr="006C3C06">
        <w:t>,</w:t>
      </w:r>
      <w:r w:rsidR="006C3C06" w:rsidRPr="00F44830">
        <w:rPr>
          <w:i/>
        </w:rPr>
        <w:t xml:space="preserve"> </w:t>
      </w:r>
      <w:r w:rsidR="006C3C06" w:rsidRPr="006C3C06">
        <w:t xml:space="preserve">introduced a ‘one-off adjustment’ to cumulative balances for surface water SDL resource units. This adjustment retrospectively applies the cumulative balance credits and/or debits from 2019-2020 until the year the </w:t>
      </w:r>
      <w:r w:rsidR="00A5609E">
        <w:rPr>
          <w:rFonts w:eastAsia="Verdana" w:cs="Verdana"/>
          <w:szCs w:val="20"/>
        </w:rPr>
        <w:t>water resource plan</w:t>
      </w:r>
      <w:r w:rsidR="006C3C06" w:rsidRPr="006C3C06">
        <w:t>s came into operation</w:t>
      </w:r>
      <w:r w:rsidR="00482978">
        <w:t>.</w:t>
      </w:r>
      <w:r w:rsidR="00FC5958">
        <w:t xml:space="preserve"> </w:t>
      </w:r>
      <w:r w:rsidR="00CA3CAC">
        <w:t xml:space="preserve">The </w:t>
      </w:r>
      <w:r w:rsidR="000C293E">
        <w:t xml:space="preserve">IGWC </w:t>
      </w:r>
      <w:r w:rsidR="008F3746">
        <w:t>supported this change to ensure all states had the same starting date</w:t>
      </w:r>
      <w:r w:rsidR="009E2D25">
        <w:t xml:space="preserve"> and </w:t>
      </w:r>
      <w:r w:rsidR="00C339B7">
        <w:t xml:space="preserve">IGWC </w:t>
      </w:r>
      <w:r w:rsidR="009E2D25">
        <w:t>h</w:t>
      </w:r>
      <w:r w:rsidR="00A3440B">
        <w:t>olds</w:t>
      </w:r>
      <w:r w:rsidR="009E2D25">
        <w:t xml:space="preserve"> the </w:t>
      </w:r>
      <w:r w:rsidR="00A3440B">
        <w:t>ongoing</w:t>
      </w:r>
      <w:r w:rsidR="009E2D25">
        <w:t xml:space="preserve"> </w:t>
      </w:r>
      <w:r w:rsidR="00482978">
        <w:t>role</w:t>
      </w:r>
      <w:r w:rsidR="009E2D25">
        <w:t xml:space="preserve"> to potentially audit calculations taken by the Authority</w:t>
      </w:r>
      <w:r w:rsidR="00632773">
        <w:t>.</w:t>
      </w:r>
      <w:r w:rsidR="008F3746">
        <w:t xml:space="preserve"> </w:t>
      </w:r>
      <w:r w:rsidR="00CA3CAC">
        <w:t>Th</w:t>
      </w:r>
      <w:r w:rsidR="00DE1A56">
        <w:t xml:space="preserve">is is the first water year </w:t>
      </w:r>
      <w:r w:rsidR="00DE1A56">
        <w:lastRenderedPageBreak/>
        <w:t>that</w:t>
      </w:r>
      <w:r w:rsidR="00CA3CAC">
        <w:t xml:space="preserve"> SDL compliance outcomes of the ‘one-off adjustment’</w:t>
      </w:r>
      <w:r w:rsidR="0048231B">
        <w:t xml:space="preserve"> have been </w:t>
      </w:r>
      <w:r w:rsidR="00DE1A56">
        <w:t>made available for assessment</w:t>
      </w:r>
      <w:r w:rsidR="0048231B">
        <w:t xml:space="preserve"> by the IGWC</w:t>
      </w:r>
      <w:r w:rsidR="006C3C06" w:rsidRPr="006C3C06">
        <w:t>.</w:t>
      </w:r>
    </w:p>
    <w:p w14:paraId="1944ED84" w14:textId="1926990D" w:rsidR="00514037" w:rsidRPr="00CB230E" w:rsidRDefault="007609A7" w:rsidP="00514037">
      <w:r>
        <w:t xml:space="preserve">Figures for the one-off adjustment in each SDL Resource Unit can be found in </w:t>
      </w:r>
      <w:r w:rsidR="00A236DF">
        <w:t xml:space="preserve">the surface water </w:t>
      </w:r>
      <w:r w:rsidR="0063312B">
        <w:t>SDL Accounts</w:t>
      </w:r>
      <w:r w:rsidR="00A236DF">
        <w:t xml:space="preserve"> in </w:t>
      </w:r>
      <w:r>
        <w:t>Table</w:t>
      </w:r>
      <w:r w:rsidR="009418E0">
        <w:t xml:space="preserve"> 2</w:t>
      </w:r>
      <w:r w:rsidR="502B6C6C">
        <w:t>.</w:t>
      </w:r>
    </w:p>
    <w:p w14:paraId="6080BB9E" w14:textId="0F1D9B84" w:rsidR="00BD304D" w:rsidRPr="003633DA" w:rsidRDefault="00C12847" w:rsidP="00BD304D">
      <w:pPr>
        <w:pStyle w:val="Heading3"/>
        <w:rPr>
          <w:lang w:val="en-US"/>
        </w:rPr>
      </w:pPr>
      <w:bookmarkStart w:id="24" w:name="_Toc203485733"/>
      <w:r>
        <w:rPr>
          <w:lang w:val="en-US"/>
        </w:rPr>
        <w:t>Baseline Diversion Limits and changes</w:t>
      </w:r>
      <w:r w:rsidRPr="003633DA">
        <w:rPr>
          <w:lang w:val="en-US"/>
        </w:rPr>
        <w:t xml:space="preserve"> </w:t>
      </w:r>
      <w:r w:rsidR="00BD304D" w:rsidRPr="003633DA">
        <w:rPr>
          <w:lang w:val="en-US"/>
        </w:rPr>
        <w:t>to SDL over tim</w:t>
      </w:r>
      <w:r w:rsidR="00BD304D">
        <w:rPr>
          <w:lang w:val="en-US"/>
        </w:rPr>
        <w:t>e</w:t>
      </w:r>
      <w:bookmarkEnd w:id="24"/>
    </w:p>
    <w:p w14:paraId="2D58B8C4" w14:textId="533B4A84" w:rsidR="00572D29" w:rsidRPr="00572D29" w:rsidRDefault="00572D29" w:rsidP="00572D29">
      <w:r w:rsidRPr="00572D29">
        <w:t>BDL</w:t>
      </w:r>
      <w:r w:rsidR="008C03F7">
        <w:t>s</w:t>
      </w:r>
      <w:r w:rsidRPr="00572D29">
        <w:t xml:space="preserve"> </w:t>
      </w:r>
      <w:r w:rsidR="00FB21BD">
        <w:t>are</w:t>
      </w:r>
      <w:r w:rsidRPr="00572D29">
        <w:t xml:space="preserve"> a foundational element in calculating</w:t>
      </w:r>
      <w:r w:rsidR="00EC0029">
        <w:t xml:space="preserve"> </w:t>
      </w:r>
      <w:r w:rsidRPr="00572D29">
        <w:t xml:space="preserve">SDLs under the Plan. It represents the estimated level of water use in the Basin prior to the Plan’s implementation. Over time, BDL estimates have been </w:t>
      </w:r>
      <w:r w:rsidR="00D757DF">
        <w:t>altered</w:t>
      </w:r>
      <w:r w:rsidRPr="00572D29">
        <w:t xml:space="preserve"> through </w:t>
      </w:r>
      <w:r w:rsidR="00D757DF">
        <w:t>changes to</w:t>
      </w:r>
      <w:r w:rsidRPr="00572D29">
        <w:t xml:space="preserve"> hydrological modelling </w:t>
      </w:r>
      <w:r w:rsidR="00D757DF">
        <w:t>in multiple resource units</w:t>
      </w:r>
      <w:r w:rsidRPr="00572D29">
        <w:t xml:space="preserve">. </w:t>
      </w:r>
      <w:r w:rsidR="00625792" w:rsidRPr="00625792">
        <w:t>Though</w:t>
      </w:r>
      <w:r w:rsidRPr="00572D29">
        <w:t xml:space="preserve"> the </w:t>
      </w:r>
      <w:r w:rsidR="00625792" w:rsidRPr="00625792">
        <w:t>description</w:t>
      </w:r>
      <w:r w:rsidRPr="00572D29">
        <w:t xml:space="preserve"> of</w:t>
      </w:r>
      <w:r w:rsidR="00EC0029">
        <w:t xml:space="preserve"> </w:t>
      </w:r>
      <w:r w:rsidR="00625792" w:rsidRPr="00625792">
        <w:t xml:space="preserve">BDLs </w:t>
      </w:r>
      <w:r w:rsidR="002C6E76" w:rsidRPr="00625792">
        <w:t xml:space="preserve">for surface water </w:t>
      </w:r>
      <w:r w:rsidR="002C6E76">
        <w:t>are</w:t>
      </w:r>
      <w:r w:rsidR="002C6E76" w:rsidRPr="00625792">
        <w:t xml:space="preserve"> </w:t>
      </w:r>
      <w:r w:rsidR="00625792" w:rsidRPr="00625792">
        <w:t>fixed in the Plan, estimates may be updated. A change in the BDL necessarily results in a change in the SDL for a surface water SDL resource unit.</w:t>
      </w:r>
      <w:r w:rsidR="00553B13">
        <w:t xml:space="preserve"> Groundwater</w:t>
      </w:r>
      <w:r w:rsidR="00553B13" w:rsidDel="004D446C">
        <w:t xml:space="preserve"> </w:t>
      </w:r>
      <w:r w:rsidR="004D446C">
        <w:t xml:space="preserve">BDLs </w:t>
      </w:r>
      <w:r w:rsidR="00553B13">
        <w:t>and SDLs are largely fixed in the Plan and can only be changed through a</w:t>
      </w:r>
      <w:r w:rsidR="00CC18A0">
        <w:t>n</w:t>
      </w:r>
      <w:r w:rsidR="00553B13">
        <w:t xml:space="preserve"> amendment.</w:t>
      </w:r>
    </w:p>
    <w:p w14:paraId="3FB4F8C4" w14:textId="4441EB3F" w:rsidR="00572D29" w:rsidRPr="00572D29" w:rsidRDefault="00572D29" w:rsidP="00572D29">
      <w:r w:rsidRPr="00572D29">
        <w:t>Between 2012 and 2019, the</w:t>
      </w:r>
      <w:r w:rsidR="00B17496">
        <w:t xml:space="preserve"> </w:t>
      </w:r>
      <w:r w:rsidRPr="00572D29">
        <w:t xml:space="preserve">MDBA and Basin States conducted trial SDL accounting alongside existing compliance measures. These trials were undertaken to develop and test new water accounting arrangements, identify areas for improvement, and support a smooth transition to full SDL implementation. As a result of these trials, surface water </w:t>
      </w:r>
      <w:r w:rsidR="00912A02">
        <w:t xml:space="preserve">BDLs and </w:t>
      </w:r>
      <w:r w:rsidRPr="00572D29">
        <w:t>SDLs were revised in some resource units.</w:t>
      </w:r>
    </w:p>
    <w:p w14:paraId="737FFD96" w14:textId="73749185" w:rsidR="00CD64F8" w:rsidRDefault="00CD64F8" w:rsidP="00CD64F8">
      <w:r w:rsidRPr="00572D29">
        <w:t>In addition to changes stemming from BDL refinements, SDLs may also be amended through updates or the reallocation of shared reduction amounts</w:t>
      </w:r>
      <w:r w:rsidR="00021273">
        <w:t xml:space="preserve"> in the Plan</w:t>
      </w:r>
      <w:r>
        <w:t xml:space="preserve">, as exemplified by the </w:t>
      </w:r>
      <w:r w:rsidR="0073026E">
        <w:t xml:space="preserve">MDBA’s </w:t>
      </w:r>
      <w:hyperlink r:id="rId37" w:history="1">
        <w:r w:rsidRPr="00A26999">
          <w:rPr>
            <w:rStyle w:val="Hyperlink"/>
          </w:rPr>
          <w:t>Northern Basin Review (2016)</w:t>
        </w:r>
      </w:hyperlink>
      <w:r w:rsidRPr="00572D29">
        <w:t>.</w:t>
      </w:r>
    </w:p>
    <w:p w14:paraId="48F051ED" w14:textId="00D6ECED" w:rsidR="0023381A" w:rsidRDefault="008F19B2" w:rsidP="0023381A">
      <w:r>
        <w:t>For example, m</w:t>
      </w:r>
      <w:r w:rsidR="00CD64F8">
        <w:t>odifications to the BDL, and by extension the SDL, are evident in the Barwon-Darling</w:t>
      </w:r>
      <w:r w:rsidR="00A147A3">
        <w:t xml:space="preserve"> Watercourse</w:t>
      </w:r>
      <w:r w:rsidR="007B54EC">
        <w:t xml:space="preserve"> </w:t>
      </w:r>
      <w:r w:rsidR="00CD64F8">
        <w:t xml:space="preserve">resource unit. </w:t>
      </w:r>
      <w:r w:rsidR="00CD64F8" w:rsidRPr="00D8489B">
        <w:t>When the Plan was published in 2012, the BDL for the Barwon</w:t>
      </w:r>
      <w:r w:rsidR="00267050">
        <w:t>-</w:t>
      </w:r>
      <w:r w:rsidR="00CD64F8" w:rsidRPr="00D8489B">
        <w:t xml:space="preserve">Darling was set at </w:t>
      </w:r>
      <w:r w:rsidR="00B86512" w:rsidRPr="00D8489B">
        <w:t>19</w:t>
      </w:r>
      <w:r w:rsidR="00B86512">
        <w:t>7.6</w:t>
      </w:r>
      <w:r w:rsidR="00B86512" w:rsidRPr="00D8489B">
        <w:t xml:space="preserve"> </w:t>
      </w:r>
      <w:r w:rsidR="00CD64F8" w:rsidRPr="00D8489B">
        <w:t>GL, and the SDL at 180.9 GL. Since then, the BDL has increased to 233.</w:t>
      </w:r>
      <w:r w:rsidR="00B86512">
        <w:t>2</w:t>
      </w:r>
      <w:r w:rsidR="00B86512" w:rsidRPr="00D8489B">
        <w:t xml:space="preserve"> </w:t>
      </w:r>
      <w:r w:rsidR="00CD64F8" w:rsidRPr="00D8489B">
        <w:t>GL and the SDL has risen to 201.</w:t>
      </w:r>
      <w:r w:rsidR="00B15122">
        <w:t>2</w:t>
      </w:r>
      <w:r w:rsidR="00B15122" w:rsidRPr="00D8489B">
        <w:t xml:space="preserve"> </w:t>
      </w:r>
      <w:r w:rsidR="00CD64F8" w:rsidRPr="00D8489B">
        <w:t>GL</w:t>
      </w:r>
      <w:r w:rsidR="00CD64F8">
        <w:t xml:space="preserve">, </w:t>
      </w:r>
      <w:r w:rsidR="00CD64F8" w:rsidRPr="00D8489B">
        <w:t>now exceeding the original BDL</w:t>
      </w:r>
      <w:r w:rsidR="00CD64F8">
        <w:t xml:space="preserve"> (</w:t>
      </w:r>
      <w:r w:rsidR="00CD64F8" w:rsidRPr="008B7227">
        <w:t xml:space="preserve">Figure </w:t>
      </w:r>
      <w:r w:rsidR="00FE581A">
        <w:t>7</w:t>
      </w:r>
      <w:r w:rsidR="00CD64F8">
        <w:t>)</w:t>
      </w:r>
      <w:r w:rsidR="00CD64F8" w:rsidRPr="00D8489B">
        <w:t>.</w:t>
      </w:r>
      <w:r w:rsidR="00CD64F8">
        <w:t xml:space="preserve"> This means that the Plan now legislates for more water take in the Barwon-Darling th</w:t>
      </w:r>
      <w:r w:rsidR="00EB192A">
        <w:t>a</w:t>
      </w:r>
      <w:r w:rsidR="00CD64F8">
        <w:t xml:space="preserve">n the original estimated pre-Basin Plan level of take. </w:t>
      </w:r>
      <w:r w:rsidR="0023381A">
        <w:t xml:space="preserve">The re-estimation of the BDL includes watercourse take as well as all forms of floodplain harvesting. </w:t>
      </w:r>
      <w:r w:rsidR="00B16072">
        <w:t>S</w:t>
      </w:r>
      <w:r w:rsidR="00C0166F">
        <w:t>takeholder sensitivity to these revised estimates is high due to the contentious</w:t>
      </w:r>
      <w:r w:rsidR="000D305E">
        <w:t xml:space="preserve"> nature</w:t>
      </w:r>
      <w:r w:rsidR="00C0166F">
        <w:t xml:space="preserve"> of floodplain harvesting</w:t>
      </w:r>
      <w:r w:rsidR="00652957">
        <w:t xml:space="preserve"> </w:t>
      </w:r>
      <w:r w:rsidR="00D7589E">
        <w:t xml:space="preserve">and </w:t>
      </w:r>
      <w:r w:rsidR="00652957">
        <w:t xml:space="preserve">the </w:t>
      </w:r>
      <w:r w:rsidR="00D7589E">
        <w:t>implications this may have on</w:t>
      </w:r>
      <w:r w:rsidR="00E07294">
        <w:t xml:space="preserve"> </w:t>
      </w:r>
      <w:r w:rsidR="00EE0B6B">
        <w:t xml:space="preserve">connectivity of the </w:t>
      </w:r>
      <w:r w:rsidR="0095689C">
        <w:t xml:space="preserve">northern </w:t>
      </w:r>
      <w:r w:rsidR="002D5797">
        <w:t>B</w:t>
      </w:r>
      <w:r w:rsidR="00FC12CB">
        <w:t>asin</w:t>
      </w:r>
      <w:r w:rsidR="009E51F6">
        <w:t>.</w:t>
      </w:r>
    </w:p>
    <w:p w14:paraId="10304833" w14:textId="1806FCA7" w:rsidR="00CD64F8" w:rsidRDefault="00CD64F8" w:rsidP="0023381A"/>
    <w:p w14:paraId="30442E8E" w14:textId="6624ACC7" w:rsidR="006C20E1" w:rsidRPr="009A2F71" w:rsidRDefault="006C20E1" w:rsidP="006C20E1">
      <w:pPr>
        <w:pStyle w:val="Heading3"/>
      </w:pPr>
      <w:bookmarkStart w:id="25" w:name="_Toc203485734"/>
      <w:r w:rsidRPr="009A2F71">
        <w:t>Sustainable Diversion Limits and the 2026 Basin Plan Review</w:t>
      </w:r>
      <w:bookmarkEnd w:id="25"/>
    </w:p>
    <w:p w14:paraId="42BABED9" w14:textId="1DABF994" w:rsidR="006C20E1" w:rsidRDefault="58F127E0" w:rsidP="006C20E1">
      <w:pPr>
        <w:rPr>
          <w:rFonts w:eastAsia="Verdana" w:cs="Verdana"/>
        </w:rPr>
      </w:pPr>
      <w:r w:rsidRPr="080A137C">
        <w:rPr>
          <w:rFonts w:eastAsia="Verdana" w:cs="Verdana"/>
        </w:rPr>
        <w:t>As part of the upcoming 2026 Basin Plan review, one key area of focus will be SDLs, and assessing their effectiveness on environmental, cultural, social and economic outcomes across the Basin.</w:t>
      </w:r>
    </w:p>
    <w:p w14:paraId="11386CB1" w14:textId="699263BA" w:rsidR="006C20E1" w:rsidRDefault="006C20E1" w:rsidP="006C20E1">
      <w:pPr>
        <w:rPr>
          <w:rFonts w:eastAsia="Verdana" w:cs="Verdana"/>
        </w:rPr>
      </w:pPr>
      <w:r w:rsidRPr="2EE5F912">
        <w:rPr>
          <w:rFonts w:eastAsia="Verdana" w:cs="Verdana"/>
        </w:rPr>
        <w:t xml:space="preserve">As </w:t>
      </w:r>
      <w:r w:rsidR="00D660C5">
        <w:rPr>
          <w:rFonts w:eastAsia="Verdana" w:cs="Verdana"/>
        </w:rPr>
        <w:t>outlined</w:t>
      </w:r>
      <w:r w:rsidRPr="2EE5F912">
        <w:rPr>
          <w:rFonts w:eastAsia="Verdana" w:cs="Verdana"/>
        </w:rPr>
        <w:t xml:space="preserve"> in the </w:t>
      </w:r>
      <w:hyperlink r:id="rId38" w:history="1">
        <w:r w:rsidRPr="00080264">
          <w:rPr>
            <w:rStyle w:val="Hyperlink"/>
            <w:rFonts w:eastAsia="Verdana" w:cs="Verdana"/>
          </w:rPr>
          <w:t>Early Insights paper</w:t>
        </w:r>
      </w:hyperlink>
      <w:r w:rsidRPr="2EE5F912">
        <w:rPr>
          <w:rFonts w:eastAsia="Verdana" w:cs="Verdana"/>
        </w:rPr>
        <w:t xml:space="preserve"> the </w:t>
      </w:r>
      <w:r w:rsidR="00D660C5">
        <w:rPr>
          <w:rFonts w:eastAsia="Verdana" w:cs="Verdana"/>
        </w:rPr>
        <w:t>MDBA</w:t>
      </w:r>
      <w:r w:rsidRPr="2EE5F912">
        <w:rPr>
          <w:rFonts w:eastAsia="Verdana" w:cs="Verdana"/>
        </w:rPr>
        <w:t xml:space="preserve"> will evaluate the effectiveness of SDLs in supporting desired environmental outcomes </w:t>
      </w:r>
      <w:r w:rsidR="00105953">
        <w:rPr>
          <w:rFonts w:eastAsia="Verdana" w:cs="Verdana"/>
        </w:rPr>
        <w:t>of the Plan</w:t>
      </w:r>
      <w:r w:rsidRPr="2EE5F912">
        <w:rPr>
          <w:rFonts w:eastAsia="Verdana" w:cs="Verdana"/>
        </w:rPr>
        <w:t xml:space="preserve"> over two timeframes</w:t>
      </w:r>
      <w:r>
        <w:rPr>
          <w:rFonts w:eastAsia="Verdana" w:cs="Verdana"/>
        </w:rPr>
        <w:t>:</w:t>
      </w:r>
      <w:r w:rsidRPr="2EE5F912">
        <w:rPr>
          <w:rFonts w:eastAsia="Verdana" w:cs="Verdana"/>
        </w:rPr>
        <w:t xml:space="preserve"> a) the next ten years until the next scheduled review</w:t>
      </w:r>
      <w:r>
        <w:rPr>
          <w:rFonts w:eastAsia="Verdana" w:cs="Verdana"/>
        </w:rPr>
        <w:t>;</w:t>
      </w:r>
      <w:r w:rsidRPr="2EE5F912">
        <w:rPr>
          <w:rFonts w:eastAsia="Verdana" w:cs="Verdana"/>
        </w:rPr>
        <w:t xml:space="preserve"> and b) out to 2050.</w:t>
      </w:r>
    </w:p>
    <w:p w14:paraId="7075B174" w14:textId="6AECEC79" w:rsidR="00A032CB" w:rsidRDefault="006C20E1" w:rsidP="006C20E1">
      <w:pPr>
        <w:rPr>
          <w:rFonts w:eastAsia="Verdana" w:cs="Verdana"/>
        </w:rPr>
      </w:pPr>
      <w:r>
        <w:rPr>
          <w:rFonts w:eastAsia="Verdana" w:cs="Verdana"/>
        </w:rPr>
        <w:t xml:space="preserve">The evaluation will </w:t>
      </w:r>
      <w:r w:rsidRPr="00D87881">
        <w:rPr>
          <w:rFonts w:eastAsia="Verdana" w:cs="Verdana"/>
        </w:rPr>
        <w:t>consider measures</w:t>
      </w:r>
      <w:r>
        <w:rPr>
          <w:rFonts w:eastAsia="Verdana" w:cs="Verdana"/>
        </w:rPr>
        <w:t xml:space="preserve"> for promotion of environmental outcomes, and </w:t>
      </w:r>
      <w:r w:rsidRPr="006042F5">
        <w:rPr>
          <w:rFonts w:eastAsia="Verdana" w:cs="Verdana"/>
        </w:rPr>
        <w:t>conduct environmental, social and economic analyses before proposing or recommending any responses</w:t>
      </w:r>
      <w:r>
        <w:rPr>
          <w:rFonts w:eastAsia="Verdana" w:cs="Verdana"/>
        </w:rPr>
        <w:t xml:space="preserve">. It will </w:t>
      </w:r>
      <w:r w:rsidRPr="006042F5">
        <w:rPr>
          <w:rFonts w:eastAsia="Verdana" w:cs="Verdana"/>
        </w:rPr>
        <w:t>consider what action is needed now and what types of additional monitoring is required for vulnerable and high-risk areas</w:t>
      </w:r>
      <w:r>
        <w:rPr>
          <w:rFonts w:eastAsia="Verdana" w:cs="Verdana"/>
        </w:rPr>
        <w:t>.</w:t>
      </w:r>
    </w:p>
    <w:p w14:paraId="01F72BF2" w14:textId="1E1E873F" w:rsidR="00A032CB" w:rsidRDefault="00A032CB" w:rsidP="006C20E1">
      <w:pPr>
        <w:rPr>
          <w:rFonts w:eastAsia="Verdana" w:cs="Verdana"/>
        </w:rPr>
        <w:sectPr w:rsidR="00A032CB" w:rsidSect="00C95F5D">
          <w:pgSz w:w="11906" w:h="16838"/>
          <w:pgMar w:top="709" w:right="1134" w:bottom="816" w:left="1134" w:header="425" w:footer="999" w:gutter="0"/>
          <w:cols w:space="708"/>
          <w:docGrid w:linePitch="360"/>
        </w:sectPr>
      </w:pPr>
    </w:p>
    <w:p w14:paraId="2CB6899A" w14:textId="3518EAB8" w:rsidR="00014CFD" w:rsidRDefault="4465859B" w:rsidP="00553DD7">
      <w:pPr>
        <w:pStyle w:val="Heading1"/>
      </w:pPr>
      <w:bookmarkStart w:id="26" w:name="_Toc203485735"/>
      <w:r>
        <w:lastRenderedPageBreak/>
        <w:t xml:space="preserve">Assessment </w:t>
      </w:r>
      <w:r w:rsidR="642C6E13">
        <w:t>P</w:t>
      </w:r>
      <w:r>
        <w:t>rocess</w:t>
      </w:r>
      <w:bookmarkEnd w:id="26"/>
    </w:p>
    <w:p w14:paraId="003ADAA1" w14:textId="77777777" w:rsidR="00C609AB" w:rsidRPr="006C4F79" w:rsidRDefault="00C609AB" w:rsidP="00C609AB">
      <w:pPr>
        <w:pStyle w:val="Heading3"/>
      </w:pPr>
      <w:bookmarkStart w:id="27" w:name="_Toc203485736"/>
      <w:r>
        <w:t>Sources of compliance data</w:t>
      </w:r>
      <w:bookmarkEnd w:id="27"/>
    </w:p>
    <w:p w14:paraId="6CE1F7BA" w14:textId="189DD835" w:rsidR="00C609AB" w:rsidRDefault="00C609AB" w:rsidP="00C609AB">
      <w:pPr>
        <w:spacing w:before="240" w:after="240"/>
        <w:rPr>
          <w:rFonts w:eastAsia="Verdana" w:cs="Verdana"/>
        </w:rPr>
      </w:pPr>
      <w:r w:rsidRPr="0F15BC3D">
        <w:rPr>
          <w:rFonts w:eastAsia="Verdana" w:cs="Verdana"/>
        </w:rPr>
        <w:t xml:space="preserve">The SDL compliance assessment is informed by water accounts and reports provided by the Basin States and the </w:t>
      </w:r>
      <w:r w:rsidR="007E3EE0">
        <w:rPr>
          <w:rFonts w:eastAsia="Verdana" w:cs="Verdana"/>
        </w:rPr>
        <w:t>MDBA</w:t>
      </w:r>
      <w:r w:rsidRPr="0F15BC3D">
        <w:rPr>
          <w:rFonts w:eastAsia="Verdana" w:cs="Verdana"/>
        </w:rPr>
        <w:t xml:space="preserve">, as outlined in the SDL Compliance Framework, and </w:t>
      </w:r>
      <w:r w:rsidR="000004D3">
        <w:rPr>
          <w:rFonts w:eastAsia="Verdana" w:cs="Verdana"/>
        </w:rPr>
        <w:t>may</w:t>
      </w:r>
      <w:r w:rsidRPr="0F15BC3D">
        <w:rPr>
          <w:rFonts w:eastAsia="Verdana" w:cs="Verdana"/>
        </w:rPr>
        <w:t xml:space="preserve"> include the following </w:t>
      </w:r>
      <w:r w:rsidR="000004D3">
        <w:rPr>
          <w:rFonts w:eastAsia="Verdana" w:cs="Verdana"/>
        </w:rPr>
        <w:t>data</w:t>
      </w:r>
      <w:r w:rsidRPr="0F15BC3D">
        <w:rPr>
          <w:rFonts w:eastAsia="Verdana" w:cs="Verdana"/>
        </w:rPr>
        <w:t xml:space="preserve"> sources:</w:t>
      </w:r>
    </w:p>
    <w:p w14:paraId="33E97EFA" w14:textId="77777777" w:rsidR="00C609AB" w:rsidRDefault="00C609AB" w:rsidP="008654B5">
      <w:pPr>
        <w:pStyle w:val="ListParagraph"/>
        <w:numPr>
          <w:ilvl w:val="0"/>
          <w:numId w:val="18"/>
        </w:numPr>
        <w:spacing w:after="0"/>
        <w:rPr>
          <w:rFonts w:ascii="Verdana" w:eastAsia="Verdana" w:hAnsi="Verdana" w:cs="Verdana"/>
          <w:sz w:val="20"/>
          <w:szCs w:val="20"/>
        </w:rPr>
      </w:pPr>
      <w:r w:rsidRPr="2EE5F912">
        <w:rPr>
          <w:rFonts w:ascii="Verdana" w:eastAsia="Verdana" w:hAnsi="Verdana" w:cs="Verdana"/>
          <w:b/>
          <w:bCs/>
          <w:sz w:val="20"/>
          <w:szCs w:val="20"/>
        </w:rPr>
        <w:t>Basin State Reports</w:t>
      </w:r>
      <w:r>
        <w:rPr>
          <w:rFonts w:ascii="Verdana" w:eastAsia="Verdana" w:hAnsi="Verdana" w:cs="Verdana"/>
          <w:b/>
          <w:bCs/>
          <w:sz w:val="20"/>
          <w:szCs w:val="20"/>
        </w:rPr>
        <w:t>/Water Accounts,</w:t>
      </w:r>
      <w:r w:rsidRPr="00CB6B81">
        <w:rPr>
          <w:rFonts w:ascii="Verdana" w:eastAsia="Verdana" w:hAnsi="Verdana" w:cs="Verdana"/>
          <w:sz w:val="20"/>
          <w:szCs w:val="20"/>
        </w:rPr>
        <w:t xml:space="preserve"> as</w:t>
      </w:r>
      <w:r w:rsidRPr="2EE5F912">
        <w:rPr>
          <w:rFonts w:ascii="Verdana" w:eastAsia="Verdana" w:hAnsi="Verdana" w:cs="Verdana"/>
          <w:b/>
          <w:bCs/>
          <w:sz w:val="20"/>
          <w:szCs w:val="20"/>
        </w:rPr>
        <w:t xml:space="preserve"> </w:t>
      </w:r>
      <w:r w:rsidRPr="2EE5F912">
        <w:rPr>
          <w:rFonts w:ascii="Verdana" w:eastAsia="Verdana" w:hAnsi="Verdana" w:cs="Verdana"/>
          <w:sz w:val="20"/>
          <w:szCs w:val="20"/>
        </w:rPr>
        <w:t xml:space="preserve">required by Section 71 of the Act. The Section 71 reports </w:t>
      </w:r>
      <w:r>
        <w:rPr>
          <w:rFonts w:ascii="Verdana" w:eastAsia="Verdana" w:hAnsi="Verdana" w:cs="Verdana"/>
          <w:sz w:val="20"/>
          <w:szCs w:val="20"/>
        </w:rPr>
        <w:t>contain</w:t>
      </w:r>
      <w:r w:rsidRPr="2EE5F912">
        <w:rPr>
          <w:rFonts w:ascii="Verdana" w:eastAsia="Verdana" w:hAnsi="Verdana" w:cs="Verdana"/>
          <w:sz w:val="20"/>
          <w:szCs w:val="20"/>
        </w:rPr>
        <w:t xml:space="preserve"> detailed water accounts, including water taken and managed during the water accounting year, </w:t>
      </w:r>
      <w:r>
        <w:rPr>
          <w:rFonts w:ascii="Verdana" w:eastAsia="Verdana" w:hAnsi="Verdana" w:cs="Verdana"/>
          <w:sz w:val="20"/>
          <w:szCs w:val="20"/>
        </w:rPr>
        <w:t>and</w:t>
      </w:r>
      <w:r w:rsidRPr="2EE5F912">
        <w:rPr>
          <w:rFonts w:ascii="Verdana" w:eastAsia="Verdana" w:hAnsi="Verdana" w:cs="Verdana"/>
          <w:sz w:val="20"/>
          <w:szCs w:val="20"/>
        </w:rPr>
        <w:t xml:space="preserve"> each Basin State’s assessment of compliance and actions taken to meet SDLs.</w:t>
      </w:r>
    </w:p>
    <w:p w14:paraId="1FB90DF8" w14:textId="5B6F3DB0" w:rsidR="00C609AB" w:rsidRDefault="00C609AB" w:rsidP="008654B5">
      <w:pPr>
        <w:pStyle w:val="ListParagraph"/>
        <w:numPr>
          <w:ilvl w:val="0"/>
          <w:numId w:val="18"/>
        </w:numPr>
        <w:spacing w:after="0"/>
        <w:rPr>
          <w:rFonts w:ascii="Verdana" w:eastAsia="Verdana" w:hAnsi="Verdana" w:cs="Verdana"/>
          <w:sz w:val="20"/>
          <w:szCs w:val="20"/>
        </w:rPr>
      </w:pPr>
      <w:r w:rsidRPr="09EE017E">
        <w:rPr>
          <w:rFonts w:ascii="Verdana" w:eastAsia="Verdana" w:hAnsi="Verdana" w:cs="Verdana"/>
          <w:b/>
          <w:bCs/>
          <w:sz w:val="20"/>
          <w:szCs w:val="20"/>
        </w:rPr>
        <w:t>Registers of Take</w:t>
      </w:r>
      <w:r w:rsidRPr="09EE017E">
        <w:rPr>
          <w:rFonts w:ascii="Verdana" w:eastAsia="Verdana" w:hAnsi="Verdana" w:cs="Verdana"/>
          <w:sz w:val="20"/>
          <w:szCs w:val="20"/>
        </w:rPr>
        <w:t xml:space="preserve"> as prepared by the </w:t>
      </w:r>
      <w:r w:rsidR="00516A8E">
        <w:rPr>
          <w:rFonts w:ascii="Verdana" w:eastAsia="Verdana" w:hAnsi="Verdana" w:cs="Verdana"/>
          <w:sz w:val="20"/>
          <w:szCs w:val="20"/>
        </w:rPr>
        <w:t>MDBA</w:t>
      </w:r>
      <w:r w:rsidRPr="09EE017E">
        <w:rPr>
          <w:rFonts w:ascii="Verdana" w:eastAsia="Verdana" w:hAnsi="Verdana" w:cs="Verdana"/>
          <w:sz w:val="20"/>
          <w:szCs w:val="20"/>
        </w:rPr>
        <w:t xml:space="preserve">, which includes SDL resource units managed under an accredited </w:t>
      </w:r>
      <w:r w:rsidR="00FB2D24">
        <w:rPr>
          <w:rFonts w:ascii="Verdana" w:eastAsia="Verdana" w:hAnsi="Verdana" w:cs="Verdana"/>
          <w:sz w:val="20"/>
          <w:szCs w:val="20"/>
        </w:rPr>
        <w:t>water resource plan</w:t>
      </w:r>
      <w:r w:rsidRPr="09EE017E">
        <w:rPr>
          <w:rFonts w:ascii="Verdana" w:eastAsia="Verdana" w:hAnsi="Verdana" w:cs="Verdana"/>
          <w:sz w:val="20"/>
          <w:szCs w:val="20"/>
        </w:rPr>
        <w:t>.</w:t>
      </w:r>
    </w:p>
    <w:p w14:paraId="1959B212" w14:textId="77777777" w:rsidR="00C609AB" w:rsidRDefault="00C609AB" w:rsidP="008654B5">
      <w:pPr>
        <w:pStyle w:val="ListParagraph"/>
        <w:numPr>
          <w:ilvl w:val="0"/>
          <w:numId w:val="18"/>
        </w:numPr>
        <w:spacing w:after="0"/>
        <w:rPr>
          <w:rFonts w:ascii="Verdana" w:eastAsia="Verdana" w:hAnsi="Verdana" w:cs="Verdana"/>
          <w:sz w:val="20"/>
          <w:szCs w:val="20"/>
        </w:rPr>
      </w:pPr>
      <w:r w:rsidRPr="09EE017E">
        <w:rPr>
          <w:rFonts w:ascii="Verdana" w:eastAsia="Verdana" w:hAnsi="Verdana" w:cs="Verdana"/>
          <w:b/>
          <w:bCs/>
          <w:sz w:val="20"/>
          <w:szCs w:val="20"/>
        </w:rPr>
        <w:t>Previous years SDL compliance assessments</w:t>
      </w:r>
      <w:r w:rsidRPr="09EE017E">
        <w:rPr>
          <w:rFonts w:ascii="Verdana" w:eastAsia="Verdana" w:hAnsi="Verdana" w:cs="Verdana"/>
          <w:sz w:val="20"/>
          <w:szCs w:val="20"/>
        </w:rPr>
        <w:t xml:space="preserve"> are also taken into account.</w:t>
      </w:r>
    </w:p>
    <w:p w14:paraId="21112140" w14:textId="3008C2EB" w:rsidR="00C609AB" w:rsidRDefault="00C609AB" w:rsidP="008654B5">
      <w:pPr>
        <w:pStyle w:val="ListParagraph"/>
        <w:numPr>
          <w:ilvl w:val="0"/>
          <w:numId w:val="18"/>
        </w:numPr>
        <w:spacing w:after="0"/>
        <w:rPr>
          <w:rFonts w:ascii="Verdana" w:eastAsia="Verdana" w:hAnsi="Verdana" w:cs="Verdana"/>
          <w:sz w:val="20"/>
          <w:szCs w:val="20"/>
        </w:rPr>
      </w:pPr>
      <w:r w:rsidRPr="09EE017E">
        <w:rPr>
          <w:rFonts w:ascii="Verdana" w:eastAsia="Verdana" w:hAnsi="Verdana" w:cs="Verdana"/>
          <w:b/>
          <w:bCs/>
          <w:sz w:val="20"/>
          <w:szCs w:val="20"/>
        </w:rPr>
        <w:t>Other information</w:t>
      </w:r>
      <w:r w:rsidRPr="09EE017E">
        <w:rPr>
          <w:rFonts w:ascii="Verdana" w:eastAsia="Verdana" w:hAnsi="Verdana" w:cs="Verdana"/>
          <w:sz w:val="20"/>
          <w:szCs w:val="20"/>
        </w:rPr>
        <w:t xml:space="preserve"> provided to the </w:t>
      </w:r>
      <w:r w:rsidR="005650E4">
        <w:rPr>
          <w:rFonts w:ascii="Verdana" w:eastAsia="Verdana" w:hAnsi="Verdana" w:cs="Verdana"/>
          <w:sz w:val="20"/>
          <w:szCs w:val="20"/>
        </w:rPr>
        <w:t>IGWC</w:t>
      </w:r>
      <w:r w:rsidRPr="09EE017E">
        <w:rPr>
          <w:rFonts w:ascii="Verdana" w:eastAsia="Verdana" w:hAnsi="Verdana" w:cs="Verdana"/>
          <w:sz w:val="20"/>
          <w:szCs w:val="20"/>
        </w:rPr>
        <w:t xml:space="preserve">, or </w:t>
      </w:r>
      <w:r w:rsidR="00BA5F3E">
        <w:rPr>
          <w:rFonts w:ascii="Verdana" w:eastAsia="Verdana" w:hAnsi="Verdana" w:cs="Verdana"/>
          <w:sz w:val="20"/>
          <w:szCs w:val="20"/>
        </w:rPr>
        <w:t>obtained</w:t>
      </w:r>
      <w:r w:rsidRPr="09EE017E">
        <w:rPr>
          <w:rFonts w:ascii="Verdana" w:eastAsia="Verdana" w:hAnsi="Verdana" w:cs="Verdana"/>
          <w:sz w:val="20"/>
          <w:szCs w:val="20"/>
        </w:rPr>
        <w:t xml:space="preserve"> publicly, for the purposes of undertaking a compliance assessment.</w:t>
      </w:r>
    </w:p>
    <w:p w14:paraId="29355D62" w14:textId="633A87AE" w:rsidR="00C609AB" w:rsidRDefault="00C609AB" w:rsidP="008654B5">
      <w:pPr>
        <w:pStyle w:val="ListParagraph"/>
        <w:numPr>
          <w:ilvl w:val="0"/>
          <w:numId w:val="18"/>
        </w:numPr>
        <w:spacing w:after="0"/>
        <w:rPr>
          <w:rFonts w:ascii="Verdana" w:eastAsia="Verdana" w:hAnsi="Verdana" w:cs="Verdana"/>
          <w:sz w:val="20"/>
          <w:szCs w:val="20"/>
        </w:rPr>
      </w:pPr>
      <w:r w:rsidRPr="09EE017E">
        <w:rPr>
          <w:rFonts w:ascii="Verdana" w:eastAsia="Verdana" w:hAnsi="Verdana" w:cs="Verdana"/>
          <w:b/>
          <w:bCs/>
          <w:sz w:val="20"/>
          <w:szCs w:val="20"/>
        </w:rPr>
        <w:t>Bilateral discussions</w:t>
      </w:r>
      <w:r w:rsidRPr="09EE017E">
        <w:rPr>
          <w:rFonts w:ascii="Verdana" w:eastAsia="Verdana" w:hAnsi="Verdana" w:cs="Verdana"/>
          <w:sz w:val="20"/>
          <w:szCs w:val="20"/>
        </w:rPr>
        <w:t xml:space="preserve"> and any additional information provided by the </w:t>
      </w:r>
      <w:r w:rsidR="00932970">
        <w:rPr>
          <w:rFonts w:ascii="Verdana" w:eastAsia="Verdana" w:hAnsi="Verdana" w:cs="Verdana"/>
          <w:sz w:val="20"/>
          <w:szCs w:val="20"/>
        </w:rPr>
        <w:t xml:space="preserve">MDBA and </w:t>
      </w:r>
      <w:r w:rsidRPr="09EE017E">
        <w:rPr>
          <w:rFonts w:ascii="Verdana" w:eastAsia="Verdana" w:hAnsi="Verdana" w:cs="Verdana"/>
          <w:sz w:val="20"/>
          <w:szCs w:val="20"/>
        </w:rPr>
        <w:t>Basin States.</w:t>
      </w:r>
    </w:p>
    <w:p w14:paraId="7F4C36DD" w14:textId="06BBC41F" w:rsidR="00C609AB" w:rsidRDefault="00C609AB" w:rsidP="080A137C">
      <w:pPr>
        <w:spacing w:after="0"/>
        <w:rPr>
          <w:rFonts w:eastAsia="Verdana" w:cs="Verdana"/>
        </w:rPr>
      </w:pPr>
    </w:p>
    <w:p w14:paraId="4DEB24D5" w14:textId="5B2A7DDF" w:rsidR="003E2722" w:rsidRDefault="003E2722" w:rsidP="00C609AB">
      <w:pPr>
        <w:rPr>
          <w:rFonts w:eastAsia="Verdana" w:cs="Verdana"/>
        </w:rPr>
      </w:pPr>
      <w:r w:rsidRPr="003E2722">
        <w:rPr>
          <w:rFonts w:eastAsia="Verdana" w:cs="Verdana"/>
        </w:rPr>
        <w:t>This Compliance Statement</w:t>
      </w:r>
      <w:r w:rsidR="002B3C79">
        <w:rPr>
          <w:rFonts w:eastAsia="Verdana" w:cs="Verdana"/>
        </w:rPr>
        <w:t xml:space="preserve"> report</w:t>
      </w:r>
      <w:r w:rsidRPr="003E2722">
        <w:rPr>
          <w:rFonts w:eastAsia="Verdana" w:cs="Verdana"/>
        </w:rPr>
        <w:t xml:space="preserve">, released in conjunction with the MDBA’s “SDL Accounts - Registers of Take” report, considers the section 71 water data in the SDL Accounts and indicates the impact of water taken through cumulative balances (credits or debits) for each SDL resource unit. The section 71 data for 2023-2024 SDL Accounts report was provided progressively to the IGWC </w:t>
      </w:r>
      <w:r w:rsidR="00754300">
        <w:rPr>
          <w:rFonts w:eastAsia="Verdana" w:cs="Verdana"/>
        </w:rPr>
        <w:t>Compliance Monitoring team</w:t>
      </w:r>
      <w:r w:rsidRPr="003E2722">
        <w:rPr>
          <w:rFonts w:eastAsia="Verdana" w:cs="Verdana"/>
        </w:rPr>
        <w:t xml:space="preserve"> by the MDBA with first versions of section 71 data received in November 2024</w:t>
      </w:r>
      <w:r w:rsidR="005C3C49">
        <w:rPr>
          <w:rFonts w:eastAsia="Verdana" w:cs="Verdana"/>
        </w:rPr>
        <w:t xml:space="preserve">, </w:t>
      </w:r>
      <w:r w:rsidR="00B76CF4">
        <w:rPr>
          <w:rFonts w:eastAsia="Verdana" w:cs="Verdana"/>
        </w:rPr>
        <w:t xml:space="preserve">although </w:t>
      </w:r>
      <w:r w:rsidR="00882FE2">
        <w:rPr>
          <w:rFonts w:eastAsia="Verdana" w:cs="Verdana"/>
        </w:rPr>
        <w:t>final data was not officially provided</w:t>
      </w:r>
      <w:r w:rsidRPr="003E2722">
        <w:rPr>
          <w:rFonts w:eastAsia="Verdana" w:cs="Verdana"/>
        </w:rPr>
        <w:t xml:space="preserve"> </w:t>
      </w:r>
      <w:r w:rsidR="00661EDB">
        <w:rPr>
          <w:rFonts w:eastAsia="Verdana" w:cs="Verdana"/>
        </w:rPr>
        <w:t>to the Inspector</w:t>
      </w:r>
      <w:r w:rsidR="00AB1535">
        <w:rPr>
          <w:rFonts w:eastAsia="Verdana" w:cs="Verdana"/>
        </w:rPr>
        <w:t>–</w:t>
      </w:r>
      <w:r w:rsidR="00661EDB">
        <w:rPr>
          <w:rFonts w:eastAsia="Verdana" w:cs="Verdana"/>
        </w:rPr>
        <w:t xml:space="preserve">General until </w:t>
      </w:r>
      <w:r w:rsidR="00EF12C6">
        <w:rPr>
          <w:rFonts w:eastAsia="Verdana" w:cs="Verdana"/>
        </w:rPr>
        <w:t>4 June</w:t>
      </w:r>
      <w:r w:rsidR="005D0D9B">
        <w:rPr>
          <w:rFonts w:eastAsia="Verdana" w:cs="Verdana"/>
        </w:rPr>
        <w:t xml:space="preserve"> 2025</w:t>
      </w:r>
      <w:r w:rsidRPr="003E2722">
        <w:rPr>
          <w:rFonts w:eastAsia="Verdana" w:cs="Verdana"/>
        </w:rPr>
        <w:t>.</w:t>
      </w:r>
      <w:r w:rsidR="00122868">
        <w:rPr>
          <w:rFonts w:eastAsia="Verdana" w:cs="Verdana"/>
        </w:rPr>
        <w:t xml:space="preserve"> </w:t>
      </w:r>
      <w:r w:rsidR="00787668">
        <w:rPr>
          <w:rFonts w:eastAsia="Verdana" w:cs="Verdana"/>
        </w:rPr>
        <w:t xml:space="preserve">The surface water and groundwater </w:t>
      </w:r>
      <w:r w:rsidR="00C17026">
        <w:rPr>
          <w:rFonts w:eastAsia="Verdana" w:cs="Verdana"/>
        </w:rPr>
        <w:t>SDL Accounts are provided in Tables 2 and 3, respectively.</w:t>
      </w:r>
    </w:p>
    <w:p w14:paraId="53B57CFB" w14:textId="082BBF50" w:rsidR="00C609AB" w:rsidRDefault="6A01FCC8" w:rsidP="00C609AB">
      <w:r>
        <w:t xml:space="preserve">Basin States source the </w:t>
      </w:r>
      <w:r w:rsidR="08648D33">
        <w:t>s</w:t>
      </w:r>
      <w:r>
        <w:t xml:space="preserve">ection 71 data from several different resources including water licensing systems, </w:t>
      </w:r>
      <w:r w:rsidR="00887612">
        <w:t>direct</w:t>
      </w:r>
      <w:r w:rsidR="00335558" w:rsidRPr="00335558">
        <w:t xml:space="preserve"> </w:t>
      </w:r>
      <w:r w:rsidR="006C1F3D" w:rsidRPr="006C1F3D">
        <w:t>water take measurement including meters</w:t>
      </w:r>
      <w:r>
        <w:t>, water resource monitoring gauging stations, hydrological models, and other methods as necessary.</w:t>
      </w:r>
    </w:p>
    <w:p w14:paraId="748894ED" w14:textId="4FEF9802" w:rsidR="00C609AB" w:rsidRDefault="6A01FCC8" w:rsidP="00C609AB">
      <w:r>
        <w:t xml:space="preserve">Water account data is submitted by the Basin States as required under section 71 of the </w:t>
      </w:r>
      <w:r w:rsidR="00D36957">
        <w:t>Act</w:t>
      </w:r>
      <w:r w:rsidR="75FE986B">
        <w:t xml:space="preserve"> and</w:t>
      </w:r>
      <w:r>
        <w:t xml:space="preserve"> is the primary source of data for determining compliance and for observing longer-term trends. This information is due four months after the end of the water accounting year </w:t>
      </w:r>
      <w:r w:rsidR="00B01656">
        <w:t>(</w:t>
      </w:r>
      <w:r>
        <w:t>i.e., 30 June</w:t>
      </w:r>
      <w:r w:rsidR="00B01656">
        <w:t>)</w:t>
      </w:r>
      <w:r>
        <w:t>, meaning submission is due on 31 October annually, although</w:t>
      </w:r>
      <w:r w:rsidR="005E62AB">
        <w:t xml:space="preserve"> </w:t>
      </w:r>
      <w:r>
        <w:t>Basin States can seek an extension from the MDBA.</w:t>
      </w:r>
    </w:p>
    <w:p w14:paraId="0C5BD074" w14:textId="48066981" w:rsidR="00B307E6" w:rsidRDefault="00C609AB" w:rsidP="00B307E6">
      <w:r w:rsidRPr="00477B63">
        <w:t xml:space="preserve">When submitting the </w:t>
      </w:r>
      <w:r w:rsidR="00BD3DCA">
        <w:t>s</w:t>
      </w:r>
      <w:r w:rsidRPr="00477B63">
        <w:t xml:space="preserve">ection 71 data, Basin States provide a declaration of accuracy of the data. The MDBA then undertakes a quality assurance check on the data and collates the information onto the Registers of </w:t>
      </w:r>
      <w:r w:rsidR="00833601">
        <w:t>T</w:t>
      </w:r>
      <w:r w:rsidRPr="00477B63">
        <w:t>ake.</w:t>
      </w:r>
      <w:r w:rsidR="00B307E6">
        <w:t xml:space="preserve"> Where a </w:t>
      </w:r>
      <w:r w:rsidR="00424EA2">
        <w:t>water resource plan</w:t>
      </w:r>
      <w:r w:rsidR="00B307E6">
        <w:t xml:space="preserve"> is not accredited, the Registers of Take report presents the s</w:t>
      </w:r>
      <w:r w:rsidR="713D71B6">
        <w:t xml:space="preserve">ection </w:t>
      </w:r>
      <w:r w:rsidR="00B307E6">
        <w:t xml:space="preserve">71 data as interim </w:t>
      </w:r>
      <w:r w:rsidR="00A07144">
        <w:t>R</w:t>
      </w:r>
      <w:r w:rsidR="00B307E6">
        <w:t xml:space="preserve">egisters of </w:t>
      </w:r>
      <w:r w:rsidR="00A07144">
        <w:t>T</w:t>
      </w:r>
      <w:r w:rsidR="00B307E6">
        <w:t>ake.</w:t>
      </w:r>
    </w:p>
    <w:p w14:paraId="70F5B687" w14:textId="79D87218" w:rsidR="00C609AB" w:rsidRDefault="00A944EB" w:rsidP="00C609AB">
      <w:pPr>
        <w:rPr>
          <w:rFonts w:eastAsia="Verdana" w:cs="Verdana"/>
        </w:rPr>
      </w:pPr>
      <w:r w:rsidRPr="0F15BC3D">
        <w:rPr>
          <w:rFonts w:eastAsia="Verdana" w:cs="Verdana"/>
        </w:rPr>
        <w:t>T</w:t>
      </w:r>
      <w:r w:rsidR="00C609AB" w:rsidRPr="0F15BC3D">
        <w:rPr>
          <w:rFonts w:eastAsia="Verdana" w:cs="Verdana"/>
        </w:rPr>
        <w:t xml:space="preserve">he IGWC has recently </w:t>
      </w:r>
      <w:r w:rsidR="000C20A2">
        <w:rPr>
          <w:rFonts w:eastAsia="Verdana" w:cs="Verdana"/>
        </w:rPr>
        <w:t xml:space="preserve">undertaken analysis </w:t>
      </w:r>
      <w:r w:rsidR="00C609AB" w:rsidRPr="0F15BC3D">
        <w:rPr>
          <w:rFonts w:eastAsia="Verdana" w:cs="Verdana"/>
        </w:rPr>
        <w:t xml:space="preserve">to monitor compliance trends over time, informed by Section 71 data. This enables the IGWC to observe longer-term trends for individual SDL resource units and provide early warning in areas which may be trending towards </w:t>
      </w:r>
      <w:r w:rsidR="008066DA">
        <w:rPr>
          <w:rFonts w:eastAsia="Verdana" w:cs="Verdana"/>
        </w:rPr>
        <w:t>the</w:t>
      </w:r>
      <w:r w:rsidR="00454812">
        <w:rPr>
          <w:rFonts w:eastAsia="Verdana" w:cs="Verdana"/>
        </w:rPr>
        <w:t xml:space="preserve"> </w:t>
      </w:r>
      <w:r w:rsidR="00C609AB" w:rsidRPr="0F15BC3D">
        <w:rPr>
          <w:rFonts w:eastAsia="Verdana" w:cs="Verdana"/>
        </w:rPr>
        <w:t>compliance</w:t>
      </w:r>
      <w:r w:rsidR="008066DA">
        <w:rPr>
          <w:rFonts w:eastAsia="Verdana" w:cs="Verdana"/>
        </w:rPr>
        <w:t xml:space="preserve"> trigger</w:t>
      </w:r>
      <w:r w:rsidR="008063E3">
        <w:rPr>
          <w:rFonts w:eastAsia="Verdana" w:cs="Verdana"/>
        </w:rPr>
        <w:t>.</w:t>
      </w:r>
    </w:p>
    <w:p w14:paraId="15EA26D5" w14:textId="35A023D2" w:rsidR="008B1F4C" w:rsidRPr="00CB230E" w:rsidRDefault="48CF7969" w:rsidP="080A137C">
      <w:pPr>
        <w:pStyle w:val="Heading3"/>
        <w:rPr>
          <w:bCs/>
          <w:u w:val="single"/>
        </w:rPr>
      </w:pPr>
      <w:bookmarkStart w:id="28" w:name="_Toc203485737"/>
      <w:r>
        <w:t>Time</w:t>
      </w:r>
      <w:r w:rsidR="54430565">
        <w:t>ly provision of</w:t>
      </w:r>
      <w:r w:rsidR="2017554B">
        <w:t xml:space="preserve"> </w:t>
      </w:r>
      <w:r w:rsidR="001F443C">
        <w:t>SDL</w:t>
      </w:r>
      <w:r w:rsidR="2017554B">
        <w:t xml:space="preserve"> data</w:t>
      </w:r>
      <w:bookmarkEnd w:id="28"/>
    </w:p>
    <w:p w14:paraId="00EC74E1" w14:textId="55365F90" w:rsidR="00CE6AE5" w:rsidRDefault="00401469" w:rsidP="00C609AB">
      <w:r>
        <w:t xml:space="preserve">Under current legislative arrangements, </w:t>
      </w:r>
      <w:r w:rsidR="00C76936">
        <w:t xml:space="preserve">Basin States </w:t>
      </w:r>
      <w:r w:rsidR="001C1E44">
        <w:t>are</w:t>
      </w:r>
      <w:r w:rsidR="001465C0">
        <w:t xml:space="preserve"> </w:t>
      </w:r>
      <w:r w:rsidR="00494251">
        <w:t xml:space="preserve">to </w:t>
      </w:r>
      <w:r w:rsidR="002E278F">
        <w:t>submit</w:t>
      </w:r>
      <w:r w:rsidR="0015363A">
        <w:t xml:space="preserve"> </w:t>
      </w:r>
      <w:r w:rsidR="008026C3">
        <w:t>water</w:t>
      </w:r>
      <w:r w:rsidR="0040698D">
        <w:t xml:space="preserve"> take dat</w:t>
      </w:r>
      <w:r w:rsidR="008026C3">
        <w:t>a</w:t>
      </w:r>
      <w:r w:rsidR="0040698D">
        <w:t xml:space="preserve"> to the MDBA</w:t>
      </w:r>
      <w:r w:rsidR="001C1E44">
        <w:t xml:space="preserve"> as </w:t>
      </w:r>
      <w:r>
        <w:t>outlined in section 71 of the Act</w:t>
      </w:r>
      <w:r w:rsidR="001C1E44">
        <w:t>;</w:t>
      </w:r>
      <w:r w:rsidR="00561345">
        <w:t xml:space="preserve"> the data provided under this section of the Act is referred to as ‘section 71 data’</w:t>
      </w:r>
      <w:r>
        <w:t>.</w:t>
      </w:r>
      <w:r w:rsidR="00F047E9">
        <w:t xml:space="preserve"> </w:t>
      </w:r>
      <w:r w:rsidR="001C1E44">
        <w:t>Basin States have four months from the end of the water year to submit water take data to the MDBA (by 31 October).</w:t>
      </w:r>
    </w:p>
    <w:p w14:paraId="0A4C8BEC" w14:textId="53036E4A" w:rsidR="007466F0" w:rsidRDefault="003F6EF5" w:rsidP="008B726F">
      <w:r>
        <w:lastRenderedPageBreak/>
        <w:t>However, i</w:t>
      </w:r>
      <w:r w:rsidR="00C85005">
        <w:t xml:space="preserve">t has become common practice for </w:t>
      </w:r>
      <w:r w:rsidR="00DF0F77">
        <w:t>Basin</w:t>
      </w:r>
      <w:r w:rsidR="00C85005">
        <w:t xml:space="preserve"> States</w:t>
      </w:r>
      <w:r w:rsidR="006F61E3">
        <w:t xml:space="preserve"> </w:t>
      </w:r>
      <w:r w:rsidR="00C907FC">
        <w:t xml:space="preserve">to seek </w:t>
      </w:r>
      <w:r w:rsidR="00E37263">
        <w:t xml:space="preserve">deadline </w:t>
      </w:r>
      <w:r w:rsidR="00C907FC">
        <w:t xml:space="preserve">extensions for </w:t>
      </w:r>
      <w:r w:rsidR="001A213D">
        <w:t xml:space="preserve">the provision of </w:t>
      </w:r>
      <w:r w:rsidR="0015123B">
        <w:t>s</w:t>
      </w:r>
      <w:r w:rsidR="001926F8">
        <w:t xml:space="preserve">ection </w:t>
      </w:r>
      <w:r w:rsidR="0015123B">
        <w:t>71 data</w:t>
      </w:r>
      <w:r w:rsidR="005C220E">
        <w:t xml:space="preserve">, with </w:t>
      </w:r>
      <w:r w:rsidR="009045DA">
        <w:t>the</w:t>
      </w:r>
      <w:r w:rsidR="005C220E">
        <w:t xml:space="preserve"> final</w:t>
      </w:r>
      <w:r w:rsidR="003308DD">
        <w:t>ised</w:t>
      </w:r>
      <w:r w:rsidR="005C220E">
        <w:t xml:space="preserve"> </w:t>
      </w:r>
      <w:r w:rsidR="00B121FA">
        <w:t>data not being received</w:t>
      </w:r>
      <w:r w:rsidR="001926F8">
        <w:t xml:space="preserve"> by the IGWC</w:t>
      </w:r>
      <w:r w:rsidR="00B121FA">
        <w:t xml:space="preserve"> for </w:t>
      </w:r>
      <w:r w:rsidR="00CB4BBF">
        <w:t xml:space="preserve">up to nine months </w:t>
      </w:r>
      <w:r w:rsidR="00547238">
        <w:t xml:space="preserve">after the </w:t>
      </w:r>
      <w:r w:rsidR="007E578B">
        <w:t xml:space="preserve">end of the </w:t>
      </w:r>
      <w:r w:rsidR="00547238">
        <w:t xml:space="preserve">water </w:t>
      </w:r>
      <w:r w:rsidR="0079064C">
        <w:t>year</w:t>
      </w:r>
      <w:r w:rsidR="00E63E9D">
        <w:t>.</w:t>
      </w:r>
      <w:r w:rsidR="00292B92">
        <w:t xml:space="preserve"> </w:t>
      </w:r>
      <w:r w:rsidR="00DF0F77">
        <w:t>It</w:t>
      </w:r>
      <w:r w:rsidR="00292B92">
        <w:t xml:space="preserve"> is within the legislative remit of the MDBA</w:t>
      </w:r>
      <w:r w:rsidR="00DF0F77">
        <w:t xml:space="preserve"> to grant </w:t>
      </w:r>
      <w:r w:rsidR="0001475E">
        <w:t>such</w:t>
      </w:r>
      <w:r w:rsidR="00DF0F77">
        <w:t xml:space="preserve"> extensions</w:t>
      </w:r>
      <w:r w:rsidR="00292B92">
        <w:t xml:space="preserve">, as </w:t>
      </w:r>
      <w:r w:rsidR="006F7E17">
        <w:t>section 71 (2) of the Act states ‘</w:t>
      </w:r>
      <w:r w:rsidR="006F7E17" w:rsidRPr="006F7E17">
        <w:rPr>
          <w:i/>
          <w:iCs/>
        </w:rPr>
        <w:t>The Authority may, in writing, extend the period within which the report must be given to the Authority</w:t>
      </w:r>
      <w:r w:rsidR="006F7E17">
        <w:t>’</w:t>
      </w:r>
      <w:r w:rsidR="009D0BF4">
        <w:t>.</w:t>
      </w:r>
    </w:p>
    <w:p w14:paraId="35A08858" w14:textId="482B7B56" w:rsidR="002758C3" w:rsidRDefault="001642AD" w:rsidP="002758C3">
      <w:r>
        <w:t>To</w:t>
      </w:r>
      <w:r w:rsidR="008B726F">
        <w:t xml:space="preserve"> allow timely and consistent </w:t>
      </w:r>
      <w:r w:rsidR="00CC7414">
        <w:t xml:space="preserve">SDL </w:t>
      </w:r>
      <w:r w:rsidR="008B726F">
        <w:t>compliance reporting, it is essential that s</w:t>
      </w:r>
      <w:r w:rsidR="007466F0">
        <w:t xml:space="preserve">ection </w:t>
      </w:r>
      <w:r w:rsidR="008B726F">
        <w:t>71</w:t>
      </w:r>
      <w:r w:rsidR="00B85B9B">
        <w:t xml:space="preserve"> data is provided</w:t>
      </w:r>
      <w:r w:rsidR="00362C94">
        <w:t xml:space="preserve"> to the IGWC</w:t>
      </w:r>
      <w:r w:rsidR="00B85B9B">
        <w:t xml:space="preserve"> </w:t>
      </w:r>
      <w:r w:rsidR="00402CB5">
        <w:t>with sufficient t</w:t>
      </w:r>
      <w:r w:rsidR="00167EE2">
        <w:t xml:space="preserve">ime to </w:t>
      </w:r>
      <w:r w:rsidR="007466F0">
        <w:t xml:space="preserve">analyse, </w:t>
      </w:r>
      <w:r w:rsidR="00167EE2">
        <w:t>review</w:t>
      </w:r>
      <w:r w:rsidR="007466F0">
        <w:t xml:space="preserve"> and disseminate</w:t>
      </w:r>
      <w:r w:rsidR="00362C94">
        <w:t xml:space="preserve"> outcomes</w:t>
      </w:r>
      <w:r w:rsidR="008B726F">
        <w:t xml:space="preserve">. </w:t>
      </w:r>
      <w:r w:rsidR="000D3BC7">
        <w:t>Delays in receiving s</w:t>
      </w:r>
      <w:r w:rsidR="00CA73C9">
        <w:t xml:space="preserve">ection </w:t>
      </w:r>
      <w:r w:rsidR="000D3BC7">
        <w:t xml:space="preserve">71 data reduces the time available for independent review and </w:t>
      </w:r>
      <w:r w:rsidR="00261334">
        <w:t>assurance.</w:t>
      </w:r>
    </w:p>
    <w:p w14:paraId="6A9B725E" w14:textId="47276D34" w:rsidR="002758C3" w:rsidRDefault="002758C3" w:rsidP="002758C3">
      <w:r>
        <w:t>The willingness of the MDBA to grant extensions to Basin States for the provision of section 71 data and its flow on impact to assessment of SDL compliance across the Basin is a concern to the Inspector</w:t>
      </w:r>
      <w:r w:rsidR="005D684D">
        <w:t>–</w:t>
      </w:r>
      <w:r>
        <w:t xml:space="preserve">General. </w:t>
      </w:r>
      <w:r w:rsidR="0087683F" w:rsidRPr="0087683F" w:rsidDel="001002D9">
        <w:t>IGWC</w:t>
      </w:r>
      <w:r w:rsidR="001002D9" w:rsidRPr="0087683F">
        <w:t xml:space="preserve"> </w:t>
      </w:r>
      <w:r w:rsidR="0087683F" w:rsidRPr="0087683F">
        <w:t xml:space="preserve">has raised </w:t>
      </w:r>
      <w:r w:rsidR="00997838">
        <w:t xml:space="preserve">this </w:t>
      </w:r>
      <w:r w:rsidR="0087683F" w:rsidRPr="0087683F">
        <w:t>concern with the MDBA regarding the continual late provision of section 71 data and the resulting impact on the assessment of SDL Compliance</w:t>
      </w:r>
      <w:r w:rsidR="00997838">
        <w:t>.</w:t>
      </w:r>
    </w:p>
    <w:p w14:paraId="023F1BD5" w14:textId="4AF10B1E" w:rsidR="000D3BC7" w:rsidRDefault="002758C3" w:rsidP="008B726F">
      <w:r>
        <w:t xml:space="preserve">In voicing these concerns, the IGWC </w:t>
      </w:r>
      <w:r w:rsidR="0082018B">
        <w:t>expects</w:t>
      </w:r>
      <w:r>
        <w:t xml:space="preserve"> future extensions granted to Basin States can be considered an exception</w:t>
      </w:r>
      <w:r w:rsidR="009D0BF4">
        <w:t xml:space="preserve"> with justification</w:t>
      </w:r>
      <w:r>
        <w:t xml:space="preserve"> rather than a standard practice and that the issues with timeliness of data provision will be addressed through the upcoming review of the Plan.</w:t>
      </w:r>
    </w:p>
    <w:p w14:paraId="12A85DBC" w14:textId="7893BD55" w:rsidR="38B91DDE" w:rsidRDefault="6C535C50" w:rsidP="1A7FD469">
      <w:pPr>
        <w:pStyle w:val="AppendicesHeading3"/>
        <w:rPr>
          <w:rFonts w:ascii="Aptos" w:eastAsia="Aptos" w:hAnsi="Aptos" w:cs="Aptos"/>
          <w:b w:val="0"/>
          <w:color w:val="0F4761"/>
          <w:sz w:val="28"/>
          <w:szCs w:val="28"/>
        </w:rPr>
      </w:pPr>
      <w:bookmarkStart w:id="29" w:name="_Toc203485738"/>
      <w:r>
        <w:t>What is meant by compliant or non-compliant?</w:t>
      </w:r>
      <w:bookmarkEnd w:id="29"/>
    </w:p>
    <w:p w14:paraId="312F6FCC" w14:textId="7F93F8A6" w:rsidR="38B91DDE" w:rsidRPr="00453BBE" w:rsidRDefault="4C4500A1" w:rsidP="00CA5088">
      <w:pPr>
        <w:rPr>
          <w:rFonts w:eastAsia="Verdana" w:cs="Verdana"/>
        </w:rPr>
      </w:pPr>
      <w:r w:rsidRPr="008C3C25">
        <w:rPr>
          <w:rFonts w:eastAsia="Verdana" w:cs="Verdana"/>
        </w:rPr>
        <w:t>The term ‘excess’ has a specific meaning in the Plan. Once there is an excess, certain obligations and actions are triggered under the Plan.</w:t>
      </w:r>
    </w:p>
    <w:p w14:paraId="76E6AC3A" w14:textId="6AB6E506" w:rsidR="00FE18FD" w:rsidRDefault="6C535C50" w:rsidP="00CA5088">
      <w:pPr>
        <w:rPr>
          <w:rFonts w:eastAsia="Aptos" w:cs="Aptos"/>
        </w:rPr>
      </w:pPr>
      <w:r w:rsidRPr="00CA5088">
        <w:rPr>
          <w:rFonts w:eastAsia="Aptos" w:cs="Aptos"/>
        </w:rPr>
        <w:t xml:space="preserve">For surface water SDL resource units, </w:t>
      </w:r>
      <w:r w:rsidR="31231075" w:rsidRPr="00CA5088">
        <w:rPr>
          <w:rFonts w:eastAsia="Aptos" w:cs="Aptos"/>
        </w:rPr>
        <w:t xml:space="preserve">for a given water accounting year, </w:t>
      </w:r>
      <w:r w:rsidRPr="00CA5088">
        <w:rPr>
          <w:rFonts w:eastAsia="Aptos" w:cs="Aptos"/>
        </w:rPr>
        <w:t xml:space="preserve">the actual annual water take is subtracted from the permitted annual take to generate either a debit (where actual take was more than the permitted take) or a credit (where actual take was less than the permitted take). These debits and credits generate a </w:t>
      </w:r>
      <w:r w:rsidRPr="00CA5088">
        <w:rPr>
          <w:rFonts w:eastAsia="Aptos" w:cs="Aptos"/>
          <w:b/>
          <w:bCs/>
        </w:rPr>
        <w:t>cumulative balance</w:t>
      </w:r>
      <w:r w:rsidRPr="00CA5088">
        <w:rPr>
          <w:rFonts w:eastAsia="Aptos" w:cs="Aptos"/>
        </w:rPr>
        <w:t xml:space="preserve"> over time.</w:t>
      </w:r>
    </w:p>
    <w:p w14:paraId="08DD1867" w14:textId="4F92872D" w:rsidR="38B91DDE" w:rsidRPr="00CA5088" w:rsidRDefault="6C535C50" w:rsidP="00CA5088">
      <w:pPr>
        <w:rPr>
          <w:rFonts w:eastAsia="Aptos" w:cs="Aptos"/>
        </w:rPr>
      </w:pPr>
      <w:r w:rsidRPr="00CA5088">
        <w:rPr>
          <w:rFonts w:eastAsia="Aptos" w:cs="Aptos"/>
        </w:rPr>
        <w:t xml:space="preserve">The </w:t>
      </w:r>
      <w:r w:rsidRPr="00CA5088">
        <w:rPr>
          <w:rFonts w:eastAsia="Aptos" w:cs="Aptos"/>
          <w:b/>
          <w:bCs/>
        </w:rPr>
        <w:t>surface water SDL compliance threshold</w:t>
      </w:r>
      <w:r w:rsidRPr="00CA5088">
        <w:rPr>
          <w:rFonts w:eastAsia="Aptos" w:cs="Aptos"/>
        </w:rPr>
        <w:t xml:space="preserve"> for an SDL resource unit is a </w:t>
      </w:r>
      <w:r w:rsidR="00684935" w:rsidRPr="00684935">
        <w:rPr>
          <w:rFonts w:eastAsia="Aptos" w:cs="Aptos"/>
        </w:rPr>
        <w:t xml:space="preserve">cumulative balance </w:t>
      </w:r>
      <w:r w:rsidR="00E2407D">
        <w:rPr>
          <w:rFonts w:eastAsia="Aptos" w:cs="Aptos"/>
        </w:rPr>
        <w:t xml:space="preserve">in </w:t>
      </w:r>
      <w:r w:rsidRPr="00CA5088">
        <w:rPr>
          <w:rFonts w:eastAsia="Aptos" w:cs="Aptos"/>
        </w:rPr>
        <w:t xml:space="preserve">debit </w:t>
      </w:r>
      <w:r w:rsidR="00E2407D">
        <w:rPr>
          <w:rFonts w:eastAsia="Aptos" w:cs="Aptos"/>
        </w:rPr>
        <w:t>and</w:t>
      </w:r>
      <w:r w:rsidRPr="00CA5088">
        <w:rPr>
          <w:rFonts w:eastAsia="Aptos" w:cs="Aptos"/>
        </w:rPr>
        <w:t xml:space="preserve"> equal to </w:t>
      </w:r>
      <w:r w:rsidR="00DD3419">
        <w:rPr>
          <w:rFonts w:eastAsia="Aptos" w:cs="Aptos"/>
        </w:rPr>
        <w:t xml:space="preserve">or greater </w:t>
      </w:r>
      <w:r w:rsidR="00581010">
        <w:rPr>
          <w:rFonts w:eastAsia="Aptos" w:cs="Aptos"/>
        </w:rPr>
        <w:t xml:space="preserve">than </w:t>
      </w:r>
      <w:r w:rsidRPr="00CA5088">
        <w:rPr>
          <w:rFonts w:eastAsia="Aptos" w:cs="Aptos"/>
        </w:rPr>
        <w:t>20% of the SDL.</w:t>
      </w:r>
    </w:p>
    <w:p w14:paraId="68B6B222" w14:textId="7DC92752" w:rsidR="38B91DDE" w:rsidRPr="00CA5088" w:rsidRDefault="6C535C50" w:rsidP="00CA5088">
      <w:pPr>
        <w:rPr>
          <w:rFonts w:eastAsia="Aptos" w:cs="Aptos"/>
        </w:rPr>
      </w:pPr>
      <w:r w:rsidRPr="00CA5088">
        <w:rPr>
          <w:rFonts w:eastAsia="Aptos" w:cs="Aptos"/>
        </w:rPr>
        <w:t>If the cumulative balance is below the SDL</w:t>
      </w:r>
      <w:r w:rsidR="008946FE">
        <w:rPr>
          <w:rFonts w:eastAsia="Aptos" w:cs="Aptos"/>
        </w:rPr>
        <w:t xml:space="preserve"> compliance threshold</w:t>
      </w:r>
      <w:r w:rsidRPr="00CA5088">
        <w:rPr>
          <w:rFonts w:eastAsia="Aptos" w:cs="Aptos"/>
        </w:rPr>
        <w:t xml:space="preserve">, the resource unit is considered to be </w:t>
      </w:r>
      <w:r w:rsidRPr="00CA5088">
        <w:rPr>
          <w:rFonts w:eastAsia="Aptos" w:cs="Aptos"/>
          <w:b/>
          <w:bCs/>
        </w:rPr>
        <w:t>compliant</w:t>
      </w:r>
      <w:r w:rsidRPr="00CA5088">
        <w:rPr>
          <w:rFonts w:eastAsia="Aptos" w:cs="Aptos"/>
        </w:rPr>
        <w:t>.</w:t>
      </w:r>
      <w:r w:rsidR="00E72F55">
        <w:rPr>
          <w:rFonts w:eastAsia="Aptos" w:cs="Aptos"/>
        </w:rPr>
        <w:t xml:space="preserve"> </w:t>
      </w:r>
      <w:r w:rsidR="3CAB5E90" w:rsidRPr="00CA5088">
        <w:rPr>
          <w:rFonts w:eastAsia="Aptos" w:cs="Aptos"/>
        </w:rPr>
        <w:t>If the cumulative balance exceeds the compliance threshold, the resource unit is deemed</w:t>
      </w:r>
      <w:r w:rsidR="00AA6DF6">
        <w:rPr>
          <w:rFonts w:eastAsia="Aptos" w:cs="Aptos"/>
        </w:rPr>
        <w:t xml:space="preserve"> to be</w:t>
      </w:r>
      <w:r w:rsidR="3CAB5E90" w:rsidRPr="00CA5088">
        <w:rPr>
          <w:rFonts w:eastAsia="Aptos" w:cs="Aptos"/>
        </w:rPr>
        <w:t xml:space="preserve"> </w:t>
      </w:r>
      <w:r w:rsidR="3CAB5E90" w:rsidRPr="00CA5088">
        <w:rPr>
          <w:rFonts w:eastAsia="Aptos" w:cs="Aptos"/>
          <w:b/>
          <w:bCs/>
        </w:rPr>
        <w:t>non-compliant</w:t>
      </w:r>
      <w:r w:rsidR="00291DBE">
        <w:rPr>
          <w:rFonts w:eastAsia="Aptos" w:cs="Aptos"/>
          <w:b/>
          <w:bCs/>
        </w:rPr>
        <w:t>.</w:t>
      </w:r>
    </w:p>
    <w:p w14:paraId="2EC21F6C" w14:textId="057D069A" w:rsidR="38B91DDE" w:rsidRPr="00CA5088" w:rsidRDefault="6C535C50" w:rsidP="00CA5088">
      <w:pPr>
        <w:rPr>
          <w:rFonts w:eastAsia="Aptos" w:cs="Aptos"/>
        </w:rPr>
      </w:pPr>
      <w:r w:rsidRPr="00CA5088">
        <w:rPr>
          <w:rFonts w:eastAsia="Aptos" w:cs="Aptos"/>
        </w:rPr>
        <w:t xml:space="preserve">If the cumulative balance </w:t>
      </w:r>
      <w:r w:rsidR="003320E4">
        <w:rPr>
          <w:rFonts w:eastAsia="Aptos" w:cs="Aptos"/>
        </w:rPr>
        <w:t xml:space="preserve">is </w:t>
      </w:r>
      <w:r w:rsidR="007F4560">
        <w:rPr>
          <w:rFonts w:eastAsia="Aptos" w:cs="Aptos"/>
        </w:rPr>
        <w:t xml:space="preserve">in </w:t>
      </w:r>
      <w:r w:rsidR="003320E4">
        <w:rPr>
          <w:rFonts w:eastAsia="Aptos" w:cs="Aptos"/>
        </w:rPr>
        <w:t>debit</w:t>
      </w:r>
      <w:r w:rsidRPr="00CA5088">
        <w:rPr>
          <w:rFonts w:eastAsia="Aptos" w:cs="Aptos"/>
        </w:rPr>
        <w:t xml:space="preserve"> but is below the </w:t>
      </w:r>
      <w:r w:rsidR="0032480D">
        <w:rPr>
          <w:rFonts w:eastAsia="Aptos" w:cs="Aptos"/>
        </w:rPr>
        <w:t xml:space="preserve">SDL </w:t>
      </w:r>
      <w:r w:rsidRPr="00CA5088">
        <w:rPr>
          <w:rFonts w:eastAsia="Aptos" w:cs="Aptos"/>
        </w:rPr>
        <w:t>compliance threshold</w:t>
      </w:r>
      <w:r w:rsidR="005A17F5">
        <w:rPr>
          <w:rFonts w:eastAsia="Aptos" w:cs="Aptos"/>
        </w:rPr>
        <w:t xml:space="preserve"> </w:t>
      </w:r>
      <w:r w:rsidR="003320E4">
        <w:rPr>
          <w:rFonts w:eastAsia="Aptos" w:cs="Aptos"/>
        </w:rPr>
        <w:t>(20%</w:t>
      </w:r>
      <w:r w:rsidR="00AD13EC">
        <w:rPr>
          <w:rFonts w:eastAsia="Aptos" w:cs="Aptos"/>
        </w:rPr>
        <w:t xml:space="preserve"> of the SDL)</w:t>
      </w:r>
      <w:r w:rsidRPr="00CA5088">
        <w:rPr>
          <w:rFonts w:eastAsia="Aptos" w:cs="Aptos"/>
        </w:rPr>
        <w:t xml:space="preserve">, the resource unit is in </w:t>
      </w:r>
      <w:r w:rsidRPr="00CA5088">
        <w:rPr>
          <w:rFonts w:eastAsia="Aptos" w:cs="Aptos"/>
          <w:b/>
          <w:bCs/>
        </w:rPr>
        <w:t>exceedance</w:t>
      </w:r>
      <w:r w:rsidRPr="00CA5088">
        <w:rPr>
          <w:rFonts w:eastAsia="Aptos" w:cs="Aptos"/>
        </w:rPr>
        <w:t xml:space="preserve">, </w:t>
      </w:r>
      <w:r w:rsidR="00662005">
        <w:rPr>
          <w:rFonts w:eastAsia="Aptos" w:cs="Aptos"/>
        </w:rPr>
        <w:t>though it</w:t>
      </w:r>
      <w:r w:rsidR="00662005" w:rsidRPr="00CA5088">
        <w:rPr>
          <w:rFonts w:eastAsia="Aptos" w:cs="Aptos"/>
        </w:rPr>
        <w:t xml:space="preserve"> </w:t>
      </w:r>
      <w:r w:rsidR="2B3795A4" w:rsidRPr="00CA5088">
        <w:rPr>
          <w:rFonts w:eastAsia="Aptos" w:cs="Aptos"/>
        </w:rPr>
        <w:t xml:space="preserve">is </w:t>
      </w:r>
      <w:r w:rsidRPr="00CA5088">
        <w:rPr>
          <w:rFonts w:eastAsia="Aptos" w:cs="Aptos"/>
        </w:rPr>
        <w:t xml:space="preserve">still considered to be </w:t>
      </w:r>
      <w:r w:rsidRPr="00CA5088">
        <w:rPr>
          <w:rFonts w:eastAsia="Aptos" w:cs="Aptos"/>
          <w:b/>
          <w:bCs/>
        </w:rPr>
        <w:t>compliant</w:t>
      </w:r>
      <w:r w:rsidRPr="00CA5088">
        <w:rPr>
          <w:rFonts w:eastAsia="Aptos" w:cs="Aptos"/>
        </w:rPr>
        <w:t xml:space="preserve">. </w:t>
      </w:r>
      <w:r w:rsidR="6DBEC672" w:rsidRPr="00CA5088">
        <w:rPr>
          <w:rFonts w:eastAsia="Aptos" w:cs="Aptos"/>
        </w:rPr>
        <w:t xml:space="preserve">This term serves as a warning that an excess, and therefore </w:t>
      </w:r>
      <w:r w:rsidR="00575F9A">
        <w:rPr>
          <w:rFonts w:eastAsia="Aptos" w:cs="Aptos"/>
        </w:rPr>
        <w:t>potential</w:t>
      </w:r>
      <w:r w:rsidR="6DBEC672" w:rsidRPr="00CA5088">
        <w:rPr>
          <w:rFonts w:eastAsia="Aptos" w:cs="Aptos"/>
        </w:rPr>
        <w:t xml:space="preserve"> non-compliance</w:t>
      </w:r>
      <w:r w:rsidR="00A10548">
        <w:rPr>
          <w:rFonts w:eastAsia="Aptos" w:cs="Aptos"/>
        </w:rPr>
        <w:t>,</w:t>
      </w:r>
      <w:r w:rsidR="6DBEC672" w:rsidRPr="00CA5088">
        <w:rPr>
          <w:rFonts w:eastAsia="Aptos" w:cs="Aptos"/>
        </w:rPr>
        <w:t xml:space="preserve"> </w:t>
      </w:r>
      <w:r w:rsidR="00575F9A">
        <w:rPr>
          <w:rFonts w:eastAsia="Aptos" w:cs="Aptos"/>
        </w:rPr>
        <w:t>may occ</w:t>
      </w:r>
      <w:r w:rsidR="003D0C27">
        <w:rPr>
          <w:rFonts w:eastAsia="Aptos" w:cs="Aptos"/>
        </w:rPr>
        <w:t>ur</w:t>
      </w:r>
      <w:r w:rsidR="6DBEC672" w:rsidRPr="00CA5088">
        <w:rPr>
          <w:rFonts w:eastAsia="Aptos" w:cs="Aptos"/>
        </w:rPr>
        <w:t>.</w:t>
      </w:r>
    </w:p>
    <w:p w14:paraId="68850381" w14:textId="6E3091AD" w:rsidR="6C535C50" w:rsidRPr="00CA5088" w:rsidRDefault="00B8617A" w:rsidP="00CA5088">
      <w:pPr>
        <w:rPr>
          <w:rFonts w:eastAsia="Aptos" w:cs="Aptos"/>
        </w:rPr>
      </w:pPr>
      <w:r>
        <w:rPr>
          <w:rFonts w:eastAsia="Aptos" w:cs="Aptos"/>
        </w:rPr>
        <w:t xml:space="preserve">An example of </w:t>
      </w:r>
      <w:r w:rsidR="00FA5197">
        <w:rPr>
          <w:rFonts w:eastAsia="Aptos" w:cs="Aptos"/>
        </w:rPr>
        <w:t>excess, exceedance and compliance for s</w:t>
      </w:r>
      <w:r w:rsidR="00D80D78">
        <w:rPr>
          <w:rFonts w:eastAsia="Aptos" w:cs="Aptos"/>
        </w:rPr>
        <w:t xml:space="preserve">urface </w:t>
      </w:r>
      <w:r w:rsidR="00FA5197">
        <w:rPr>
          <w:rFonts w:eastAsia="Aptos" w:cs="Aptos"/>
        </w:rPr>
        <w:t>w</w:t>
      </w:r>
      <w:r w:rsidR="00D80D78">
        <w:rPr>
          <w:rFonts w:eastAsia="Aptos" w:cs="Aptos"/>
        </w:rPr>
        <w:t>ater</w:t>
      </w:r>
      <w:r w:rsidR="001440DF">
        <w:rPr>
          <w:rFonts w:eastAsia="Aptos" w:cs="Aptos"/>
        </w:rPr>
        <w:t xml:space="preserve"> SDL resource unit</w:t>
      </w:r>
      <w:r w:rsidR="00FA5197">
        <w:rPr>
          <w:rFonts w:eastAsia="Aptos" w:cs="Aptos"/>
        </w:rPr>
        <w:t xml:space="preserve">s is shown in </w:t>
      </w:r>
      <w:r w:rsidR="00FA5197" w:rsidRPr="006A1D63">
        <w:rPr>
          <w:rFonts w:eastAsia="Aptos" w:cs="Aptos"/>
        </w:rPr>
        <w:t xml:space="preserve">Figure </w:t>
      </w:r>
      <w:r w:rsidR="00C952AC">
        <w:rPr>
          <w:rFonts w:eastAsia="Aptos" w:cs="Aptos"/>
        </w:rPr>
        <w:t>4</w:t>
      </w:r>
      <w:r w:rsidR="00FA5197" w:rsidRPr="006A1D63">
        <w:rPr>
          <w:rFonts w:eastAsia="Aptos" w:cs="Aptos"/>
        </w:rPr>
        <w:t>.</w:t>
      </w:r>
    </w:p>
    <w:p w14:paraId="58A4B0EB" w14:textId="2872F93F" w:rsidR="00CC29B3" w:rsidRDefault="00B55064" w:rsidP="005B7AA7">
      <w:pPr>
        <w:rPr>
          <w:rFonts w:eastAsia="Aptos" w:cs="Aptos"/>
        </w:rPr>
      </w:pPr>
      <w:r w:rsidRPr="00A63B56">
        <w:rPr>
          <w:rFonts w:eastAsia="Aptos" w:cs="Aptos"/>
        </w:rPr>
        <w:t>The</w:t>
      </w:r>
      <w:r>
        <w:rPr>
          <w:rFonts w:eastAsia="Aptos" w:cs="Aptos"/>
          <w:b/>
          <w:bCs/>
        </w:rPr>
        <w:t xml:space="preserve"> </w:t>
      </w:r>
      <w:r w:rsidRPr="00CA5088">
        <w:rPr>
          <w:rFonts w:eastAsia="Aptos" w:cs="Aptos"/>
          <w:b/>
          <w:bCs/>
        </w:rPr>
        <w:t>groundwater SDL compliance threshold</w:t>
      </w:r>
      <w:r w:rsidR="2753B214" w:rsidRPr="00CA5088">
        <w:rPr>
          <w:rFonts w:eastAsia="Aptos" w:cs="Aptos"/>
        </w:rPr>
        <w:t xml:space="preserve">, </w:t>
      </w:r>
      <w:r w:rsidR="00173860">
        <w:rPr>
          <w:rFonts w:eastAsia="Aptos" w:cs="Aptos"/>
        </w:rPr>
        <w:t xml:space="preserve">for water </w:t>
      </w:r>
      <w:r w:rsidR="00456A57">
        <w:rPr>
          <w:rFonts w:eastAsia="Aptos" w:cs="Aptos"/>
        </w:rPr>
        <w:t xml:space="preserve">accounting </w:t>
      </w:r>
      <w:r w:rsidR="00173860">
        <w:rPr>
          <w:rFonts w:eastAsia="Aptos" w:cs="Aptos"/>
        </w:rPr>
        <w:t xml:space="preserve">years </w:t>
      </w:r>
      <w:r w:rsidR="00130CDB" w:rsidRPr="00130CDB">
        <w:rPr>
          <w:rFonts w:eastAsia="Aptos" w:cs="Aptos"/>
        </w:rPr>
        <w:t>up</w:t>
      </w:r>
      <w:r w:rsidR="2753B214" w:rsidRPr="00CA5088">
        <w:rPr>
          <w:rFonts w:eastAsia="Aptos" w:cs="Aptos"/>
        </w:rPr>
        <w:t xml:space="preserve"> to the 2028</w:t>
      </w:r>
      <w:r w:rsidR="00456A57">
        <w:rPr>
          <w:rFonts w:eastAsia="Aptos" w:cs="Aptos"/>
        </w:rPr>
        <w:t>,</w:t>
      </w:r>
      <w:r w:rsidR="2753B214" w:rsidRPr="00CA5088">
        <w:rPr>
          <w:rFonts w:eastAsia="Aptos" w:cs="Aptos"/>
        </w:rPr>
        <w:t xml:space="preserve"> is the cumulative permitted take since 2019 plus 20% of the </w:t>
      </w:r>
      <w:r w:rsidR="00640D29">
        <w:rPr>
          <w:rFonts w:eastAsia="Aptos" w:cs="Aptos"/>
        </w:rPr>
        <w:t>resource</w:t>
      </w:r>
      <w:r w:rsidR="2753B214" w:rsidRPr="00CA5088">
        <w:rPr>
          <w:rFonts w:eastAsia="Aptos" w:cs="Aptos"/>
        </w:rPr>
        <w:t xml:space="preserve"> </w:t>
      </w:r>
      <w:r w:rsidR="7ACC54F2" w:rsidRPr="00CA5088">
        <w:rPr>
          <w:rFonts w:eastAsia="Aptos" w:cs="Aptos"/>
        </w:rPr>
        <w:t xml:space="preserve">units </w:t>
      </w:r>
      <w:r w:rsidR="2753B214" w:rsidRPr="00CA5088">
        <w:rPr>
          <w:rFonts w:eastAsia="Aptos" w:cs="Aptos"/>
        </w:rPr>
        <w:t xml:space="preserve">SDL. </w:t>
      </w:r>
      <w:r w:rsidR="00CC29B3">
        <w:rPr>
          <w:rFonts w:eastAsia="Aptos" w:cs="Aptos"/>
        </w:rPr>
        <w:t xml:space="preserve">If the </w:t>
      </w:r>
      <w:r w:rsidR="007458FA">
        <w:rPr>
          <w:rFonts w:eastAsia="Aptos" w:cs="Aptos"/>
        </w:rPr>
        <w:t xml:space="preserve">cumulative </w:t>
      </w:r>
      <w:r w:rsidR="00DA32AD">
        <w:rPr>
          <w:rFonts w:eastAsia="Aptos" w:cs="Aptos"/>
        </w:rPr>
        <w:t xml:space="preserve">actual </w:t>
      </w:r>
      <w:r w:rsidR="007458FA">
        <w:rPr>
          <w:rFonts w:eastAsia="Aptos" w:cs="Aptos"/>
        </w:rPr>
        <w:t>take</w:t>
      </w:r>
      <w:r w:rsidR="00837729">
        <w:rPr>
          <w:rFonts w:eastAsia="Aptos" w:cs="Aptos"/>
        </w:rPr>
        <w:t xml:space="preserve"> </w:t>
      </w:r>
      <w:r w:rsidR="009D5380">
        <w:rPr>
          <w:rFonts w:eastAsia="Aptos" w:cs="Aptos"/>
        </w:rPr>
        <w:t>is below the threshold</w:t>
      </w:r>
      <w:r w:rsidR="00190488">
        <w:rPr>
          <w:rFonts w:eastAsia="Aptos" w:cs="Aptos"/>
        </w:rPr>
        <w:t>, the resource unit is considered compliant.</w:t>
      </w:r>
    </w:p>
    <w:p w14:paraId="6502C139" w14:textId="26E31319" w:rsidR="00C41562" w:rsidRDefault="007C0228" w:rsidP="005B7AA7">
      <w:pPr>
        <w:rPr>
          <w:rFonts w:eastAsia="Aptos" w:cs="Aptos"/>
        </w:rPr>
      </w:pPr>
      <w:r>
        <w:rPr>
          <w:rFonts w:eastAsia="Aptos" w:cs="Aptos"/>
        </w:rPr>
        <w:t>I</w:t>
      </w:r>
      <w:r w:rsidR="2753B214" w:rsidRPr="00CA5088">
        <w:rPr>
          <w:rFonts w:eastAsia="Aptos" w:cs="Aptos"/>
        </w:rPr>
        <w:t xml:space="preserve">f the cumulative actual take </w:t>
      </w:r>
      <w:r w:rsidR="7EC7911F" w:rsidRPr="00CA5088">
        <w:rPr>
          <w:rFonts w:eastAsia="Aptos" w:cs="Aptos"/>
        </w:rPr>
        <w:t xml:space="preserve">over the same period </w:t>
      </w:r>
      <w:r w:rsidR="2753B214" w:rsidRPr="00CA5088">
        <w:rPr>
          <w:rFonts w:eastAsia="Aptos" w:cs="Aptos"/>
        </w:rPr>
        <w:t>exceeds this threshold,</w:t>
      </w:r>
      <w:r w:rsidR="6438B4F0" w:rsidRPr="00CA5088">
        <w:rPr>
          <w:rFonts w:eastAsia="Aptos" w:cs="Aptos"/>
        </w:rPr>
        <w:t xml:space="preserve"> </w:t>
      </w:r>
      <w:r w:rsidR="2753B214" w:rsidRPr="00CA5088">
        <w:rPr>
          <w:rFonts w:eastAsia="Aptos" w:cs="Aptos"/>
        </w:rPr>
        <w:t xml:space="preserve">the resource unit is deemed </w:t>
      </w:r>
      <w:r w:rsidR="2753B214" w:rsidRPr="00CA5088">
        <w:rPr>
          <w:rFonts w:eastAsia="Aptos" w:cs="Aptos"/>
          <w:b/>
          <w:bCs/>
        </w:rPr>
        <w:t>non-compliant</w:t>
      </w:r>
      <w:r w:rsidR="2753B214" w:rsidRPr="00CA5088">
        <w:rPr>
          <w:rFonts w:eastAsia="Aptos" w:cs="Aptos"/>
        </w:rPr>
        <w:t>.</w:t>
      </w:r>
    </w:p>
    <w:p w14:paraId="48E0D6FD" w14:textId="3859399C" w:rsidR="2753B214" w:rsidRDefault="00E5065C" w:rsidP="005B7AA7">
      <w:pPr>
        <w:rPr>
          <w:rFonts w:eastAsia="Aptos" w:cs="Aptos"/>
        </w:rPr>
      </w:pPr>
      <w:r>
        <w:rPr>
          <w:rFonts w:eastAsia="Aptos" w:cs="Aptos"/>
        </w:rPr>
        <w:t>I</w:t>
      </w:r>
      <w:r w:rsidR="2753B214" w:rsidRPr="00CA5088">
        <w:rPr>
          <w:rFonts w:eastAsia="Aptos" w:cs="Aptos"/>
        </w:rPr>
        <w:t xml:space="preserve">f the </w:t>
      </w:r>
      <w:r w:rsidR="567D9D7A" w:rsidRPr="00CA5088">
        <w:rPr>
          <w:rFonts w:eastAsia="Aptos" w:cs="Aptos"/>
        </w:rPr>
        <w:t xml:space="preserve">cumulative </w:t>
      </w:r>
      <w:r w:rsidR="2753B214" w:rsidRPr="00CA5088">
        <w:rPr>
          <w:rFonts w:eastAsia="Aptos" w:cs="Aptos"/>
        </w:rPr>
        <w:t xml:space="preserve">actual take </w:t>
      </w:r>
      <w:r w:rsidR="007869A2">
        <w:rPr>
          <w:rFonts w:eastAsia="Aptos" w:cs="Aptos"/>
        </w:rPr>
        <w:t xml:space="preserve">exceeds the </w:t>
      </w:r>
      <w:r w:rsidR="009B46F9">
        <w:rPr>
          <w:rFonts w:eastAsia="Aptos" w:cs="Aptos"/>
        </w:rPr>
        <w:t xml:space="preserve">cumulative permitted take </w:t>
      </w:r>
      <w:r w:rsidR="007869A2">
        <w:rPr>
          <w:rFonts w:eastAsia="Aptos" w:cs="Aptos"/>
        </w:rPr>
        <w:t xml:space="preserve">but </w:t>
      </w:r>
      <w:r w:rsidR="4CFEEF13" w:rsidRPr="00CA5088">
        <w:rPr>
          <w:rFonts w:eastAsia="Aptos" w:cs="Aptos"/>
        </w:rPr>
        <w:t>is</w:t>
      </w:r>
      <w:r w:rsidR="2753B214" w:rsidRPr="00CA5088">
        <w:rPr>
          <w:rFonts w:eastAsia="Aptos" w:cs="Aptos"/>
        </w:rPr>
        <w:t xml:space="preserve"> below the </w:t>
      </w:r>
      <w:r w:rsidR="002701F8">
        <w:rPr>
          <w:rFonts w:eastAsia="Aptos" w:cs="Aptos"/>
        </w:rPr>
        <w:t xml:space="preserve">compliance </w:t>
      </w:r>
      <w:r w:rsidR="2753B214" w:rsidRPr="00CA5088">
        <w:rPr>
          <w:rFonts w:eastAsia="Aptos" w:cs="Aptos"/>
        </w:rPr>
        <w:t xml:space="preserve">threshold, the </w:t>
      </w:r>
      <w:r w:rsidR="00B03483">
        <w:rPr>
          <w:rFonts w:eastAsia="Aptos" w:cs="Aptos"/>
        </w:rPr>
        <w:t>resource</w:t>
      </w:r>
      <w:r w:rsidR="00CA05F8">
        <w:rPr>
          <w:rFonts w:eastAsia="Aptos" w:cs="Aptos"/>
        </w:rPr>
        <w:t xml:space="preserve"> </w:t>
      </w:r>
      <w:r w:rsidR="2753B214" w:rsidRPr="00CA5088">
        <w:rPr>
          <w:rFonts w:eastAsia="Aptos" w:cs="Aptos"/>
        </w:rPr>
        <w:t>unit</w:t>
      </w:r>
      <w:r w:rsidR="00CA05F8">
        <w:rPr>
          <w:rFonts w:eastAsia="Aptos" w:cs="Aptos"/>
        </w:rPr>
        <w:t xml:space="preserve"> is in </w:t>
      </w:r>
      <w:r w:rsidR="00CA05F8" w:rsidRPr="00CA5088">
        <w:rPr>
          <w:rFonts w:eastAsia="Aptos" w:cs="Aptos"/>
          <w:b/>
          <w:bCs/>
        </w:rPr>
        <w:t>exceedance</w:t>
      </w:r>
      <w:r w:rsidR="00EB33B3">
        <w:rPr>
          <w:rFonts w:eastAsia="Aptos" w:cs="Aptos"/>
        </w:rPr>
        <w:t>, though it</w:t>
      </w:r>
      <w:r w:rsidR="2753B214" w:rsidRPr="00CA5088">
        <w:rPr>
          <w:rFonts w:eastAsia="Aptos" w:cs="Aptos"/>
        </w:rPr>
        <w:t xml:space="preserve"> is considered</w:t>
      </w:r>
      <w:r w:rsidR="00EB33B3">
        <w:rPr>
          <w:rFonts w:eastAsia="Aptos" w:cs="Aptos"/>
        </w:rPr>
        <w:t xml:space="preserve"> to be</w:t>
      </w:r>
      <w:r w:rsidR="2753B214" w:rsidRPr="00CA5088">
        <w:rPr>
          <w:rFonts w:eastAsia="Aptos" w:cs="Aptos"/>
        </w:rPr>
        <w:t xml:space="preserve"> </w:t>
      </w:r>
      <w:r w:rsidR="2753B214" w:rsidRPr="00CA5088">
        <w:rPr>
          <w:rFonts w:eastAsia="Aptos" w:cs="Aptos"/>
          <w:b/>
          <w:bCs/>
        </w:rPr>
        <w:t>compliant</w:t>
      </w:r>
      <w:r w:rsidR="2753B214" w:rsidRPr="00CA5088">
        <w:rPr>
          <w:rFonts w:eastAsia="Aptos" w:cs="Aptos"/>
        </w:rPr>
        <w:t>.</w:t>
      </w:r>
    </w:p>
    <w:p w14:paraId="4D583C90" w14:textId="4C64C3EB" w:rsidR="009D3EFB" w:rsidRDefault="009D3EFB" w:rsidP="005B7AA7">
      <w:pPr>
        <w:rPr>
          <w:rFonts w:eastAsia="Aptos" w:cs="Aptos"/>
        </w:rPr>
      </w:pPr>
      <w:r>
        <w:rPr>
          <w:rFonts w:eastAsia="Aptos" w:cs="Aptos"/>
        </w:rPr>
        <w:t xml:space="preserve">An example of excess, exceedance and compliance for groundwater SDL resource units is shown in Figure </w:t>
      </w:r>
      <w:r w:rsidR="00C952AC">
        <w:rPr>
          <w:rFonts w:eastAsia="Aptos" w:cs="Aptos"/>
        </w:rPr>
        <w:t>5</w:t>
      </w:r>
      <w:r>
        <w:rPr>
          <w:rFonts w:eastAsia="Aptos" w:cs="Aptos"/>
        </w:rPr>
        <w:t>.</w:t>
      </w:r>
    </w:p>
    <w:p w14:paraId="3C2C38A1" w14:textId="3C7807B0" w:rsidR="009D6817" w:rsidRDefault="2753B214" w:rsidP="00453BBE">
      <w:pPr>
        <w:rPr>
          <w:rFonts w:eastAsia="Aptos" w:cs="Aptos"/>
        </w:rPr>
      </w:pPr>
      <w:r w:rsidRPr="00CA5088">
        <w:rPr>
          <w:rFonts w:eastAsia="Aptos" w:cs="Aptos"/>
        </w:rPr>
        <w:t xml:space="preserve">Starting from the </w:t>
      </w:r>
      <w:r w:rsidR="00632554">
        <w:rPr>
          <w:rFonts w:eastAsia="Aptos" w:cs="Aptos"/>
        </w:rPr>
        <w:t>2028-</w:t>
      </w:r>
      <w:r w:rsidRPr="00CA5088">
        <w:rPr>
          <w:rFonts w:eastAsia="Aptos" w:cs="Aptos"/>
        </w:rPr>
        <w:t xml:space="preserve">2029 water accounting year, the compliance assessment will shift to a </w:t>
      </w:r>
      <w:r w:rsidR="00632554">
        <w:rPr>
          <w:rFonts w:eastAsia="Aptos" w:cs="Aptos"/>
        </w:rPr>
        <w:t xml:space="preserve">10-year </w:t>
      </w:r>
      <w:r w:rsidRPr="00CA5088">
        <w:rPr>
          <w:rFonts w:eastAsia="Aptos" w:cs="Aptos"/>
        </w:rPr>
        <w:t>rolling average approach</w:t>
      </w:r>
      <w:r w:rsidR="001976EC">
        <w:rPr>
          <w:rFonts w:eastAsia="Aptos" w:cs="Aptos"/>
        </w:rPr>
        <w:t xml:space="preserve">. At this time, </w:t>
      </w:r>
      <w:r w:rsidR="253C80C9" w:rsidRPr="00CA5088">
        <w:rPr>
          <w:rFonts w:eastAsia="Aptos" w:cs="Aptos"/>
        </w:rPr>
        <w:t>a</w:t>
      </w:r>
      <w:r w:rsidRPr="00CA5088">
        <w:rPr>
          <w:rFonts w:eastAsia="Aptos" w:cs="Aptos"/>
        </w:rPr>
        <w:t xml:space="preserve"> groundwater SDL resource unit will be </w:t>
      </w:r>
      <w:r w:rsidRPr="00CA5088">
        <w:rPr>
          <w:rFonts w:eastAsia="Aptos" w:cs="Aptos"/>
        </w:rPr>
        <w:lastRenderedPageBreak/>
        <w:t xml:space="preserve">considered non-compliant if its </w:t>
      </w:r>
      <w:r w:rsidRPr="002016EB">
        <w:rPr>
          <w:rFonts w:eastAsia="Aptos" w:cs="Aptos"/>
          <w:i/>
        </w:rPr>
        <w:t>average</w:t>
      </w:r>
      <w:r w:rsidRPr="00CA5088">
        <w:rPr>
          <w:rFonts w:eastAsia="Aptos" w:cs="Aptos"/>
        </w:rPr>
        <w:t xml:space="preserve"> annual actual take during this period exceeds the</w:t>
      </w:r>
      <w:r w:rsidR="00893073" w:rsidRPr="00893073">
        <w:rPr>
          <w:rFonts w:eastAsia="Aptos" w:cs="Aptos"/>
        </w:rPr>
        <w:t xml:space="preserve"> </w:t>
      </w:r>
      <w:r w:rsidR="00893073" w:rsidRPr="002016EB">
        <w:rPr>
          <w:rFonts w:eastAsia="Aptos" w:cs="Aptos"/>
          <w:i/>
        </w:rPr>
        <w:t>average</w:t>
      </w:r>
      <w:r w:rsidR="00817146">
        <w:rPr>
          <w:rFonts w:eastAsia="Aptos" w:cs="Aptos"/>
        </w:rPr>
        <w:t xml:space="preserve"> </w:t>
      </w:r>
      <w:r w:rsidR="00893073" w:rsidRPr="00893073">
        <w:rPr>
          <w:rFonts w:eastAsia="Aptos" w:cs="Aptos"/>
        </w:rPr>
        <w:t>annual permitted take</w:t>
      </w:r>
      <w:r w:rsidR="408F1ED1" w:rsidRPr="00CA5088">
        <w:rPr>
          <w:rFonts w:eastAsia="Aptos" w:cs="Aptos"/>
        </w:rPr>
        <w:t>.</w:t>
      </w:r>
    </w:p>
    <w:p w14:paraId="28895899" w14:textId="3BFD74AC" w:rsidR="00307EC6" w:rsidRPr="00CA5088" w:rsidRDefault="00307EC6" w:rsidP="00307EC6">
      <w:pPr>
        <w:spacing w:after="160" w:line="276" w:lineRule="auto"/>
        <w:rPr>
          <w:rFonts w:eastAsia="Aptos" w:cs="Aptos"/>
        </w:rPr>
      </w:pPr>
      <w:r w:rsidRPr="15D3DC9B">
        <w:rPr>
          <w:rFonts w:eastAsia="Aptos" w:cs="Aptos"/>
        </w:rPr>
        <w:t xml:space="preserve">The </w:t>
      </w:r>
      <w:r w:rsidR="00CA6843">
        <w:rPr>
          <w:rFonts w:eastAsia="Aptos" w:cs="Aptos"/>
        </w:rPr>
        <w:t>SDL</w:t>
      </w:r>
      <w:r w:rsidRPr="15D3DC9B">
        <w:rPr>
          <w:rFonts w:eastAsia="Aptos" w:cs="Aptos"/>
        </w:rPr>
        <w:t xml:space="preserve"> Assessment Process is outlined in detail in the IGWC’s SDL Compliance Framework (</w:t>
      </w:r>
      <w:hyperlink r:id="rId39">
        <w:r w:rsidRPr="15D3DC9B">
          <w:rPr>
            <w:rStyle w:val="Hyperlink"/>
            <w:rFonts w:eastAsia="Aptos" w:cs="Aptos"/>
            <w:color w:val="467886"/>
          </w:rPr>
          <w:t>Sustainable Diversion Limit Compliance Framework</w:t>
        </w:r>
      </w:hyperlink>
      <w:r w:rsidRPr="15D3DC9B">
        <w:rPr>
          <w:rFonts w:eastAsia="Aptos" w:cs="Aptos"/>
        </w:rPr>
        <w:t>).</w:t>
      </w:r>
    </w:p>
    <w:p w14:paraId="3B4187CA" w14:textId="77777777" w:rsidR="006B75D6" w:rsidRDefault="006B75D6" w:rsidP="09EE017E">
      <w:pPr>
        <w:rPr>
          <w:rFonts w:eastAsia="Aptos" w:cs="Aptos"/>
        </w:rPr>
      </w:pPr>
    </w:p>
    <w:p w14:paraId="1131EC53" w14:textId="27CA016C" w:rsidR="00954FA2" w:rsidRPr="00E831E4" w:rsidRDefault="00CF6137" w:rsidP="00954FA2">
      <w:pPr>
        <w:pStyle w:val="Heading3"/>
      </w:pPr>
      <w:bookmarkStart w:id="30" w:name="_Toc203485739"/>
      <w:r>
        <w:t>A</w:t>
      </w:r>
      <w:r w:rsidR="00954FA2" w:rsidRPr="00E831E4">
        <w:t>ction</w:t>
      </w:r>
      <w:r>
        <w:t>s that</w:t>
      </w:r>
      <w:r w:rsidR="00954FA2" w:rsidRPr="00E831E4">
        <w:t xml:space="preserve"> can be taken when </w:t>
      </w:r>
      <w:r w:rsidR="00543B12" w:rsidRPr="00E831E4">
        <w:t>non-complia</w:t>
      </w:r>
      <w:r w:rsidR="00DB29E1">
        <w:t>nce is found</w:t>
      </w:r>
      <w:bookmarkEnd w:id="30"/>
    </w:p>
    <w:p w14:paraId="4343D703" w14:textId="63CBCE5E" w:rsidR="00954FA2" w:rsidRDefault="00954FA2" w:rsidP="00954FA2">
      <w:r>
        <w:t>If the IG</w:t>
      </w:r>
      <w:r w:rsidR="00BC3657">
        <w:t>WC</w:t>
      </w:r>
      <w:r>
        <w:t xml:space="preserve"> assesses that a Basin State is non-compliant in a particular SDL resource unit, the IG</w:t>
      </w:r>
      <w:r w:rsidR="006C103D">
        <w:t>WC</w:t>
      </w:r>
      <w:r>
        <w:t xml:space="preserve"> will work with that Basin State to understand how </w:t>
      </w:r>
      <w:r w:rsidR="000F06A0">
        <w:t>it</w:t>
      </w:r>
      <w:r>
        <w:t xml:space="preserve"> will</w:t>
      </w:r>
      <w:r w:rsidR="000F06A0">
        <w:t xml:space="preserve"> be</w:t>
      </w:r>
      <w:r>
        <w:t xml:space="preserve"> ensure</w:t>
      </w:r>
      <w:r w:rsidR="000F06A0">
        <w:t>d</w:t>
      </w:r>
      <w:r>
        <w:t xml:space="preserve"> that the non-compliance does not occur again. This will involve the Basin S</w:t>
      </w:r>
      <w:r w:rsidR="000F06A0">
        <w:t>t</w:t>
      </w:r>
      <w:r>
        <w:t>ate proposing an ‘act</w:t>
      </w:r>
      <w:r w:rsidR="00760AF2">
        <w:t>ion</w:t>
      </w:r>
      <w:r>
        <w:t xml:space="preserve"> plan’ that outlines the steps it will take to bring the SDL resource unit back into compliance. The IG</w:t>
      </w:r>
      <w:r w:rsidR="00E919C6">
        <w:t>WC</w:t>
      </w:r>
      <w:r>
        <w:t xml:space="preserve"> will review this action plan and make a public statement regarding the facts of the non-compliance with the Basin Sta</w:t>
      </w:r>
      <w:r w:rsidR="005E5581">
        <w:t>t</w:t>
      </w:r>
      <w:r>
        <w:t>es response.</w:t>
      </w:r>
    </w:p>
    <w:p w14:paraId="1C9C6409" w14:textId="16B249CC" w:rsidR="00954FA2" w:rsidRDefault="00954FA2" w:rsidP="00954FA2">
      <w:r w:rsidRPr="00B52527">
        <w:t xml:space="preserve">If the </w:t>
      </w:r>
      <w:r w:rsidR="00004244">
        <w:t>IGWC</w:t>
      </w:r>
      <w:r w:rsidR="001B073F">
        <w:t>’s compliance</w:t>
      </w:r>
      <w:r w:rsidRPr="00B52527">
        <w:t xml:space="preserve"> assessment indicates non-compliance, the </w:t>
      </w:r>
      <w:r w:rsidR="00004244">
        <w:t>IGWC</w:t>
      </w:r>
      <w:r w:rsidRPr="00B52527">
        <w:t xml:space="preserve"> will provide the responsible Basin State with an opportunity to respond to the assessment before it is finalised.</w:t>
      </w:r>
    </w:p>
    <w:p w14:paraId="36B66DDC" w14:textId="1CB8C76A" w:rsidR="00954FA2" w:rsidRDefault="00954FA2" w:rsidP="00954FA2">
      <w:r w:rsidRPr="00B52527">
        <w:t xml:space="preserve">The </w:t>
      </w:r>
      <w:r w:rsidR="00004244">
        <w:t>IGWC</w:t>
      </w:r>
      <w:r w:rsidRPr="00B52527">
        <w:t xml:space="preserve"> may also choose to undertake an audit or investigation of the Basin State’s data and actions.</w:t>
      </w:r>
    </w:p>
    <w:p w14:paraId="0FA15A6E" w14:textId="77C6EA1F" w:rsidR="00954FA2" w:rsidRDefault="00954FA2" w:rsidP="00954FA2">
      <w:r w:rsidRPr="00B52527">
        <w:t>A</w:t>
      </w:r>
      <w:r w:rsidR="00BB3E31">
        <w:t xml:space="preserve"> singular occurrence of</w:t>
      </w:r>
      <w:r w:rsidRPr="00B52527">
        <w:t xml:space="preserve"> SDL non-compliance is not in itself a direct contravention of the Act, </w:t>
      </w:r>
      <w:r w:rsidR="00D31FD1">
        <w:t>t</w:t>
      </w:r>
      <w:r w:rsidR="00FF2AE3">
        <w:t>he</w:t>
      </w:r>
      <w:r w:rsidRPr="00B52527">
        <w:t xml:space="preserve"> Plan or a </w:t>
      </w:r>
      <w:r w:rsidR="00D849CE">
        <w:rPr>
          <w:rFonts w:eastAsia="Verdana" w:cs="Verdana"/>
          <w:szCs w:val="20"/>
        </w:rPr>
        <w:t>water resource plan</w:t>
      </w:r>
      <w:r w:rsidRPr="00B52527">
        <w:t xml:space="preserve">. However, acting inconsistently with the Plan or a </w:t>
      </w:r>
      <w:r w:rsidR="00D849CE">
        <w:rPr>
          <w:rFonts w:eastAsia="Verdana" w:cs="Verdana"/>
          <w:szCs w:val="20"/>
        </w:rPr>
        <w:t>water resource plan</w:t>
      </w:r>
      <w:r w:rsidRPr="00B52527">
        <w:t xml:space="preserve"> is a contravention of the Act.</w:t>
      </w:r>
    </w:p>
    <w:p w14:paraId="3C16E8B5" w14:textId="2510A571" w:rsidR="00954FA2" w:rsidRDefault="00954FA2" w:rsidP="00954FA2">
      <w:r w:rsidRPr="00B52527">
        <w:t xml:space="preserve">If the </w:t>
      </w:r>
      <w:r w:rsidR="00004244">
        <w:t>IGWC</w:t>
      </w:r>
      <w:r w:rsidRPr="00B52527">
        <w:t xml:space="preserve"> has evidence of a contravention of the Act, the </w:t>
      </w:r>
      <w:r w:rsidR="00004244">
        <w:t>IGWC</w:t>
      </w:r>
      <w:r w:rsidRPr="00B52527">
        <w:t xml:space="preserve"> may take appropriate enforcement action</w:t>
      </w:r>
      <w:r>
        <w:t xml:space="preserve"> (Water Act Part 8)</w:t>
      </w:r>
      <w:r w:rsidRPr="00B52527">
        <w:t>. Enforcement action may include:</w:t>
      </w:r>
    </w:p>
    <w:p w14:paraId="55EA2AD0" w14:textId="0AA7B566" w:rsidR="00954FA2" w:rsidRPr="00005E8F" w:rsidRDefault="00954FA2" w:rsidP="00005E8F">
      <w:pPr>
        <w:pStyle w:val="ListParagraph"/>
        <w:numPr>
          <w:ilvl w:val="0"/>
          <w:numId w:val="19"/>
        </w:numPr>
        <w:rPr>
          <w:rFonts w:ascii="Verdana" w:hAnsi="Verdana"/>
          <w:sz w:val="20"/>
          <w:szCs w:val="20"/>
        </w:rPr>
      </w:pPr>
      <w:r w:rsidRPr="00005E8F">
        <w:rPr>
          <w:rFonts w:ascii="Verdana" w:hAnsi="Verdana"/>
          <w:sz w:val="20"/>
          <w:szCs w:val="20"/>
        </w:rPr>
        <w:t>Requesting a person (including a Basin State agency) to provide an enforceable undertaking that the person will take specified action to prevent the contravention; or</w:t>
      </w:r>
    </w:p>
    <w:p w14:paraId="13795D35" w14:textId="667ED3CB" w:rsidR="00954FA2" w:rsidRPr="00005E8F" w:rsidRDefault="00954FA2" w:rsidP="00005E8F">
      <w:pPr>
        <w:pStyle w:val="ListParagraph"/>
        <w:numPr>
          <w:ilvl w:val="0"/>
          <w:numId w:val="19"/>
        </w:numPr>
        <w:rPr>
          <w:rFonts w:ascii="Verdana" w:hAnsi="Verdana"/>
          <w:sz w:val="20"/>
          <w:szCs w:val="20"/>
        </w:rPr>
      </w:pPr>
      <w:r w:rsidRPr="00005E8F">
        <w:rPr>
          <w:rFonts w:ascii="Verdana" w:hAnsi="Verdana"/>
          <w:sz w:val="20"/>
          <w:szCs w:val="20"/>
        </w:rPr>
        <w:t>Applying to the court for a declaration that there has been a contravention, and/or an injunction to prevent the contravention.</w:t>
      </w:r>
    </w:p>
    <w:p w14:paraId="095BA3B0" w14:textId="77777777" w:rsidR="00BC3E81" w:rsidRDefault="00BC3E81" w:rsidP="00954FA2"/>
    <w:p w14:paraId="33CBB351" w14:textId="11C2EE6B" w:rsidR="00D02BC8" w:rsidRPr="002B26A3" w:rsidRDefault="00D02BC8" w:rsidP="00A767B7">
      <w:pPr>
        <w:pStyle w:val="Heading3"/>
      </w:pPr>
      <w:bookmarkStart w:id="31" w:name="_Toc203485740"/>
      <w:r w:rsidRPr="002B26A3">
        <w:t>Reasonable Excuse</w:t>
      </w:r>
      <w:bookmarkEnd w:id="31"/>
    </w:p>
    <w:p w14:paraId="5C6F0F27" w14:textId="7C7027CE" w:rsidR="00D02BC8" w:rsidRDefault="00372616" w:rsidP="00954FA2">
      <w:pPr>
        <w:rPr>
          <w:rFonts w:eastAsia="Aptos" w:cs="Aptos"/>
        </w:rPr>
      </w:pPr>
      <w:r w:rsidRPr="009F5AA3">
        <w:rPr>
          <w:rFonts w:eastAsia="Aptos" w:cs="Aptos"/>
        </w:rPr>
        <w:t>In the event of</w:t>
      </w:r>
      <w:r w:rsidR="00517644">
        <w:rPr>
          <w:rFonts w:eastAsia="Aptos" w:cs="Aptos"/>
        </w:rPr>
        <w:t xml:space="preserve"> SDL</w:t>
      </w:r>
      <w:r w:rsidRPr="009F5AA3">
        <w:rPr>
          <w:rFonts w:eastAsia="Aptos" w:cs="Aptos"/>
        </w:rPr>
        <w:t xml:space="preserve"> non-</w:t>
      </w:r>
      <w:r w:rsidRPr="000C3CCA">
        <w:t>compliance</w:t>
      </w:r>
      <w:r w:rsidR="00954FA2" w:rsidRPr="000C3CCA">
        <w:t xml:space="preserve">, a Basin State </w:t>
      </w:r>
      <w:r w:rsidR="00BC3E81">
        <w:t xml:space="preserve">can claim for a reasonable excuse </w:t>
      </w:r>
      <w:r w:rsidR="006774A1">
        <w:t xml:space="preserve">if it followed </w:t>
      </w:r>
      <w:r w:rsidR="00D02BC8">
        <w:t xml:space="preserve">an accredited </w:t>
      </w:r>
      <w:r w:rsidR="00990FD6">
        <w:rPr>
          <w:rFonts w:eastAsia="Verdana" w:cs="Verdana"/>
          <w:szCs w:val="20"/>
        </w:rPr>
        <w:t>water resource plan</w:t>
      </w:r>
      <w:r w:rsidR="00D02BC8">
        <w:t xml:space="preserve"> for the SDL resource unit, </w:t>
      </w:r>
      <w:r w:rsidR="00D02BC8" w:rsidRPr="009F5AA3">
        <w:rPr>
          <w:rFonts w:eastAsia="Aptos" w:cs="Aptos"/>
        </w:rPr>
        <w:t xml:space="preserve">or </w:t>
      </w:r>
      <w:r w:rsidR="00E4318D">
        <w:rPr>
          <w:rFonts w:eastAsia="Aptos" w:cs="Aptos"/>
        </w:rPr>
        <w:t>it can demonstrate that other</w:t>
      </w:r>
      <w:r w:rsidR="00D02BC8" w:rsidRPr="009F5AA3">
        <w:rPr>
          <w:rFonts w:eastAsia="Aptos" w:cs="Aptos"/>
        </w:rPr>
        <w:t xml:space="preserve"> circumstance</w:t>
      </w:r>
      <w:r w:rsidR="00E4318D">
        <w:rPr>
          <w:rFonts w:eastAsia="Aptos" w:cs="Aptos"/>
        </w:rPr>
        <w:t>s</w:t>
      </w:r>
      <w:r w:rsidR="00D02BC8" w:rsidRPr="009F5AA3">
        <w:rPr>
          <w:rFonts w:eastAsia="Aptos" w:cs="Aptos"/>
        </w:rPr>
        <w:t xml:space="preserve"> leading to the excess were beyond the Basin States control.</w:t>
      </w:r>
    </w:p>
    <w:p w14:paraId="31F98675" w14:textId="6BCC54BF" w:rsidR="00954FA2" w:rsidRDefault="0027209A" w:rsidP="00954FA2">
      <w:r>
        <w:t>The Basin State must provide the</w:t>
      </w:r>
      <w:r w:rsidR="00954FA2">
        <w:t xml:space="preserve"> IGWC and MDBA </w:t>
      </w:r>
      <w:r w:rsidR="00954FA2" w:rsidRPr="000C3CCA">
        <w:t xml:space="preserve">a ‘reasonable excuse’ report explaining the reasons for the SDL </w:t>
      </w:r>
      <w:r w:rsidR="00AF059A">
        <w:t>excess</w:t>
      </w:r>
      <w:r w:rsidR="00954FA2">
        <w:t xml:space="preserve">. </w:t>
      </w:r>
      <w:r w:rsidR="00954FA2" w:rsidRPr="000C3CCA">
        <w:t xml:space="preserve">The </w:t>
      </w:r>
      <w:r w:rsidR="00004244">
        <w:t>IGWC</w:t>
      </w:r>
      <w:r w:rsidR="00954FA2" w:rsidRPr="000C3CCA">
        <w:t xml:space="preserve"> assesses reasonable excuse reports from Basin States.</w:t>
      </w:r>
    </w:p>
    <w:p w14:paraId="43B17A3B" w14:textId="77777777" w:rsidR="008F2E73" w:rsidRPr="00C43AA9" w:rsidRDefault="008F2E73" w:rsidP="008F2E73">
      <w:r>
        <w:t>A ‘reasonable excuse’ for t</w:t>
      </w:r>
      <w:r w:rsidRPr="00C43AA9">
        <w:t>he excess arises as the result of:</w:t>
      </w:r>
    </w:p>
    <w:p w14:paraId="0AAB0D77" w14:textId="17E0A040" w:rsidR="008F2E73" w:rsidRPr="00005E8F" w:rsidRDefault="008F2E73" w:rsidP="00005E8F">
      <w:pPr>
        <w:pStyle w:val="ListParagraph"/>
        <w:numPr>
          <w:ilvl w:val="0"/>
          <w:numId w:val="20"/>
        </w:numPr>
        <w:rPr>
          <w:rFonts w:ascii="Verdana" w:eastAsia="Aptos" w:hAnsi="Verdana" w:cs="Aptos"/>
          <w:sz w:val="20"/>
          <w:szCs w:val="20"/>
        </w:rPr>
      </w:pPr>
      <w:r w:rsidRPr="00005E8F">
        <w:rPr>
          <w:rFonts w:ascii="Verdana" w:eastAsia="Aptos" w:hAnsi="Verdana" w:cs="Aptos"/>
          <w:sz w:val="20"/>
          <w:szCs w:val="20"/>
        </w:rPr>
        <w:t xml:space="preserve">the operation of the </w:t>
      </w:r>
      <w:r w:rsidR="00990FD6" w:rsidRPr="006B1FD6">
        <w:rPr>
          <w:rFonts w:ascii="Verdana" w:eastAsia="Aptos" w:hAnsi="Verdana" w:cs="Aptos"/>
          <w:sz w:val="20"/>
          <w:szCs w:val="20"/>
        </w:rPr>
        <w:t>water resource plan</w:t>
      </w:r>
      <w:r w:rsidRPr="00005E8F">
        <w:rPr>
          <w:rFonts w:ascii="Verdana" w:eastAsia="Aptos" w:hAnsi="Verdana" w:cs="Aptos"/>
          <w:sz w:val="20"/>
          <w:szCs w:val="20"/>
        </w:rPr>
        <w:t xml:space="preserve"> for the SDL resource unit; or</w:t>
      </w:r>
    </w:p>
    <w:p w14:paraId="0F0B686B" w14:textId="6F64A888" w:rsidR="008F2E73" w:rsidRPr="00005E8F" w:rsidRDefault="008F2E73" w:rsidP="00005E8F">
      <w:pPr>
        <w:pStyle w:val="ListParagraph"/>
        <w:numPr>
          <w:ilvl w:val="0"/>
          <w:numId w:val="20"/>
        </w:numPr>
        <w:rPr>
          <w:rFonts w:ascii="Verdana" w:eastAsia="Aptos" w:hAnsi="Verdana" w:cs="Aptos"/>
          <w:sz w:val="20"/>
          <w:szCs w:val="20"/>
        </w:rPr>
      </w:pPr>
      <w:r w:rsidRPr="00005E8F">
        <w:rPr>
          <w:rFonts w:ascii="Verdana" w:eastAsia="Aptos" w:hAnsi="Verdana" w:cs="Aptos"/>
          <w:sz w:val="20"/>
          <w:szCs w:val="20"/>
        </w:rPr>
        <w:t>circumstances beyond the Basin State’s control i.e. where, for reasons beyond the Basin State’s control, the Commonwealth has not achieved the water recovery target that it has set for itself in relation to the SDL resource unit.</w:t>
      </w:r>
    </w:p>
    <w:p w14:paraId="64F8439D" w14:textId="5EE6B942" w:rsidR="00954FA2" w:rsidRDefault="00746ACE" w:rsidP="00954FA2">
      <w:r>
        <w:t xml:space="preserve">If </w:t>
      </w:r>
      <w:r w:rsidR="0036314B">
        <w:t xml:space="preserve">the </w:t>
      </w:r>
      <w:r w:rsidR="00004244">
        <w:t>IGWC</w:t>
      </w:r>
      <w:r w:rsidR="0036314B">
        <w:t xml:space="preserve"> is satisfied that the Basin State has a reasonable</w:t>
      </w:r>
      <w:r>
        <w:t xml:space="preserve"> </w:t>
      </w:r>
      <w:r w:rsidR="0036314B">
        <w:t>excuse as claimed</w:t>
      </w:r>
      <w:r w:rsidR="00954FA2" w:rsidRPr="005641C8">
        <w:t xml:space="preserve">, the State is considered </w:t>
      </w:r>
      <w:r w:rsidR="00954FA2" w:rsidRPr="00CB230E">
        <w:rPr>
          <w:b/>
          <w:bCs/>
        </w:rPr>
        <w:t>compliant with reasonable excuse</w:t>
      </w:r>
      <w:r w:rsidR="00954FA2">
        <w:t>.</w:t>
      </w:r>
    </w:p>
    <w:p w14:paraId="2346DB2B" w14:textId="545E0373" w:rsidR="00954FA2" w:rsidRPr="005641C8" w:rsidRDefault="00954FA2" w:rsidP="00954FA2">
      <w:r w:rsidRPr="005641C8">
        <w:t>If no acceptable excuse is provided, the breach is treated as non-compliance, requir</w:t>
      </w:r>
      <w:r>
        <w:t>ing</w:t>
      </w:r>
      <w:r w:rsidRPr="005641C8">
        <w:t xml:space="preserve"> the State to submit a compliance report outlining the actions it will take to return to compliance.</w:t>
      </w:r>
    </w:p>
    <w:p w14:paraId="3CCA7DD6" w14:textId="35B730E3" w:rsidR="00C42142" w:rsidRDefault="00954FA2" w:rsidP="00C42142">
      <w:pPr>
        <w:rPr>
          <w:rFonts w:eastAsia="Verdana" w:cs="Verdana"/>
        </w:rPr>
      </w:pPr>
      <w:r w:rsidRPr="005641C8">
        <w:t>In either case</w:t>
      </w:r>
      <w:r w:rsidR="003F2BBC">
        <w:t xml:space="preserve">, </w:t>
      </w:r>
      <w:r w:rsidRPr="005641C8">
        <w:t xml:space="preserve">compliance with </w:t>
      </w:r>
      <w:r w:rsidR="00152C8B" w:rsidRPr="005641C8">
        <w:t xml:space="preserve">excuse </w:t>
      </w:r>
      <w:r w:rsidRPr="005641C8">
        <w:t xml:space="preserve">or </w:t>
      </w:r>
      <w:r w:rsidR="00A33348">
        <w:t>non-compliance</w:t>
      </w:r>
      <w:r w:rsidR="003F2BBC">
        <w:t xml:space="preserve">, </w:t>
      </w:r>
      <w:r w:rsidRPr="005641C8">
        <w:t xml:space="preserve">the State </w:t>
      </w:r>
      <w:r>
        <w:t>is</w:t>
      </w:r>
      <w:r w:rsidRPr="005641C8">
        <w:t xml:space="preserve"> required to prepare an </w:t>
      </w:r>
      <w:r w:rsidRPr="00CB230E">
        <w:rPr>
          <w:b/>
          <w:bCs/>
        </w:rPr>
        <w:t>Action Plan</w:t>
      </w:r>
      <w:r>
        <w:t xml:space="preserve"> which must be approved by the IGWC</w:t>
      </w:r>
      <w:r w:rsidRPr="005641C8">
        <w:t xml:space="preserve">. </w:t>
      </w:r>
      <w:r w:rsidR="00C42142" w:rsidRPr="15D3DC9B">
        <w:rPr>
          <w:rFonts w:eastAsia="Verdana" w:cs="Verdana"/>
        </w:rPr>
        <w:t>The Action Plan indicates the steps that will be taken to address the cause of excess and reduce the cumulative balance to zero or less.</w:t>
      </w:r>
    </w:p>
    <w:p w14:paraId="32FF8593" w14:textId="2EF3733A" w:rsidR="00A33348" w:rsidRPr="00655BA1" w:rsidRDefault="0066791B" w:rsidP="00655BA1">
      <w:pPr>
        <w:pStyle w:val="Heading3"/>
      </w:pPr>
      <w:bookmarkStart w:id="32" w:name="_Toc203485741"/>
      <w:r>
        <w:lastRenderedPageBreak/>
        <w:t>P</w:t>
      </w:r>
      <w:r w:rsidRPr="0066791B">
        <w:t xml:space="preserve">otential impact of </w:t>
      </w:r>
      <w:r>
        <w:t>delays in</w:t>
      </w:r>
      <w:r w:rsidRPr="0066791B">
        <w:t xml:space="preserve"> buybacks on</w:t>
      </w:r>
      <w:r>
        <w:t xml:space="preserve"> SDL </w:t>
      </w:r>
      <w:r w:rsidR="00B1145E">
        <w:t>compliance</w:t>
      </w:r>
      <w:bookmarkEnd w:id="32"/>
      <w:r w:rsidR="00B1145E">
        <w:t xml:space="preserve"> </w:t>
      </w:r>
    </w:p>
    <w:p w14:paraId="3D61C84C" w14:textId="1921C7E9" w:rsidR="00465F57" w:rsidRDefault="00BC0FAC" w:rsidP="00465F57">
      <w:r>
        <w:t xml:space="preserve">Outstanding </w:t>
      </w:r>
      <w:r w:rsidR="00465F57">
        <w:t xml:space="preserve">water recovery </w:t>
      </w:r>
      <w:r>
        <w:t>presents</w:t>
      </w:r>
      <w:r w:rsidR="00465F57">
        <w:t xml:space="preserve"> a </w:t>
      </w:r>
      <w:r>
        <w:t xml:space="preserve">significant constraint to the IGWC’s ability to assess </w:t>
      </w:r>
      <w:r w:rsidR="00465F57">
        <w:t xml:space="preserve">SDL </w:t>
      </w:r>
      <w:r>
        <w:t>compliance comprehensively and to ensure</w:t>
      </w:r>
      <w:r w:rsidR="00465F57">
        <w:t xml:space="preserve"> the </w:t>
      </w:r>
      <w:r>
        <w:t>effective implementation of SDLs</w:t>
      </w:r>
      <w:r w:rsidR="00465F57">
        <w:t>. Incomplete water recovery may constitute a reasonable excuse for SDL non-compliance.</w:t>
      </w:r>
      <w:r w:rsidR="00753D3C">
        <w:t xml:space="preserve"> </w:t>
      </w:r>
      <w:r w:rsidR="00753D3C" w:rsidRPr="00753D3C">
        <w:t xml:space="preserve">This presents a problem, as it limits the enforceability of SDL obligations and reduces accountability for water use, particularly in areas </w:t>
      </w:r>
      <w:r w:rsidR="007B0778">
        <w:t>with longstanding water</w:t>
      </w:r>
      <w:r w:rsidR="00753D3C" w:rsidRPr="00753D3C">
        <w:t xml:space="preserve"> recovery shortfalls</w:t>
      </w:r>
      <w:r w:rsidR="007B0778">
        <w:t>.</w:t>
      </w:r>
      <w:r w:rsidR="008318E9">
        <w:t xml:space="preserve"> </w:t>
      </w:r>
      <w:r w:rsidR="00465F57">
        <w:t>Where the excuse relates to incomplete recovery by the Commonwealth, Basin State reports must include evidence demonstrating that the recovery shortfall was beyond the State’s control.</w:t>
      </w:r>
    </w:p>
    <w:p w14:paraId="4E26640A" w14:textId="0CC9F5FD" w:rsidR="00C7276E" w:rsidRDefault="00C7276E" w:rsidP="00C7276E">
      <w:r>
        <w:t xml:space="preserve">The original ‘Bridging the Gap’ </w:t>
      </w:r>
      <w:hyperlink r:id="rId40" w:history="1">
        <w:r w:rsidRPr="00BF0B17">
          <w:rPr>
            <w:rStyle w:val="Hyperlink"/>
          </w:rPr>
          <w:t>water recovery</w:t>
        </w:r>
      </w:hyperlink>
      <w:r>
        <w:t xml:space="preserve"> target for surface water was set at 2,750 GL/year. Following amendments to the Plan, this target was revised to 2,075 GL/year, contingent upon the implementation of various measures designed to achieve equivalent environmental outcomes with less water.</w:t>
      </w:r>
    </w:p>
    <w:p w14:paraId="00F012B2" w14:textId="2B157202" w:rsidR="009201C4" w:rsidRDefault="00BD0C3A" w:rsidP="00C7276E">
      <w:r>
        <w:t xml:space="preserve">Recovery data indicates that while some SDL resource units have exceeded their individual targets, others have yet to meet them in full. </w:t>
      </w:r>
      <w:r w:rsidR="00C7276E">
        <w:t>As of 31 March 2025, a total of 2,068.9 GL/year of surface water has been recovered towards the revised target, leaving a shortfall of 6.7 GL/year. To successfully complete the overall ‘Bridging the Gap’ target, it is essential that all SDL resource units and zones achieve their respective recovery targets in full.</w:t>
      </w:r>
    </w:p>
    <w:p w14:paraId="68CB691F" w14:textId="5AD488FC" w:rsidR="001E0D03" w:rsidRDefault="00465F57" w:rsidP="00465F57">
      <w:r>
        <w:t>Delays in water recovery must be addressed as a matter of urgency to uphold the integrity of SDL compliance assessments</w:t>
      </w:r>
      <w:r w:rsidR="006F34DB">
        <w:t xml:space="preserve"> and effective implementation of the Plan</w:t>
      </w:r>
      <w:r>
        <w:t>.</w:t>
      </w:r>
      <w:r w:rsidR="00AF37B1">
        <w:t xml:space="preserve"> </w:t>
      </w:r>
      <w:r w:rsidR="0032501B" w:rsidRPr="0032501B">
        <w:t xml:space="preserve">Until water recovery targets are fully met, the MDBA adjusts the Register of Take annually to reflect the shortfall in recovery. This is done by crediting the cumulative balance for the SDL resource unit with the annualised volume of incomplete recovery. As a result, these resource units are effectively permitted to divert water at volumes that </w:t>
      </w:r>
      <w:r w:rsidR="00413339">
        <w:t xml:space="preserve">may </w:t>
      </w:r>
      <w:r w:rsidR="0032501B" w:rsidRPr="0032501B">
        <w:t xml:space="preserve">exceed sustainable limits. This practice raises a significant compliance concern, as it </w:t>
      </w:r>
      <w:r w:rsidR="005B6802">
        <w:t>lowers</w:t>
      </w:r>
      <w:r w:rsidR="0032501B" w:rsidRPr="0032501B">
        <w:t xml:space="preserve"> the compliance trigger and allows ongoing consumptive use at levels inconsistent with the Plan’s environmental sustainability objectives.</w:t>
      </w:r>
    </w:p>
    <w:p w14:paraId="3D03C7B4" w14:textId="77777777" w:rsidR="00F75641" w:rsidRDefault="00F75641" w:rsidP="00F75641">
      <w:pPr>
        <w:rPr>
          <w:rFonts w:eastAsia="Verdana" w:cs="Verdana"/>
        </w:rPr>
      </w:pPr>
    </w:p>
    <w:p w14:paraId="55112BCA" w14:textId="77777777" w:rsidR="00F75641" w:rsidRDefault="00F75641" w:rsidP="00F75641">
      <w:pPr>
        <w:rPr>
          <w:rFonts w:eastAsia="Verdana" w:cs="Verdana"/>
        </w:rPr>
        <w:sectPr w:rsidR="00F75641" w:rsidSect="001A06A5">
          <w:pgSz w:w="11906" w:h="16838"/>
          <w:pgMar w:top="709" w:right="1134" w:bottom="816" w:left="1134" w:header="425" w:footer="999" w:gutter="0"/>
          <w:cols w:space="708"/>
          <w:docGrid w:linePitch="360"/>
        </w:sectPr>
      </w:pPr>
    </w:p>
    <w:p w14:paraId="4D22D78E" w14:textId="77777777" w:rsidR="00553DD7" w:rsidRDefault="00553DD7" w:rsidP="00553DD7">
      <w:pPr>
        <w:pStyle w:val="Heading1"/>
      </w:pPr>
      <w:bookmarkStart w:id="33" w:name="_Toc203485742"/>
      <w:r>
        <w:lastRenderedPageBreak/>
        <w:t>Accounts</w:t>
      </w:r>
      <w:bookmarkEnd w:id="33"/>
    </w:p>
    <w:p w14:paraId="3DE019F7" w14:textId="0426FD8A" w:rsidR="004E28CB" w:rsidRDefault="004E28CB" w:rsidP="004E28CB">
      <w:pPr>
        <w:pStyle w:val="Heading3"/>
      </w:pPr>
      <w:bookmarkStart w:id="34" w:name="_Toc203485743"/>
      <w:r>
        <w:t>Surface Water Accounts</w:t>
      </w:r>
      <w:bookmarkEnd w:id="34"/>
    </w:p>
    <w:p w14:paraId="50A4F1CE" w14:textId="77777777" w:rsidR="007609A7" w:rsidRPr="007609A7" w:rsidRDefault="007609A7" w:rsidP="007609A7"/>
    <w:p w14:paraId="753F9F9F" w14:textId="62A71349" w:rsidR="31D075F8" w:rsidRDefault="007609A7" w:rsidP="00CB230E">
      <w:r w:rsidRPr="009418E0">
        <w:rPr>
          <w:b/>
          <w:bCs/>
        </w:rPr>
        <w:t>Table 2:</w:t>
      </w:r>
      <w:r>
        <w:t xml:space="preserve"> Surface water </w:t>
      </w:r>
      <w:r w:rsidR="00115EA1">
        <w:t>Register of Take</w:t>
      </w:r>
      <w:r>
        <w:t xml:space="preserve"> for </w:t>
      </w:r>
      <w:r w:rsidR="009418E0">
        <w:t>SDL Resource Units subject to SDL compliance in 2023-</w:t>
      </w:r>
      <w:r w:rsidR="000A0917">
        <w:t>20</w:t>
      </w:r>
      <w:r w:rsidR="009418E0">
        <w:t>24</w:t>
      </w:r>
    </w:p>
    <w:tbl>
      <w:tblPr>
        <w:tblW w:w="5187"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80"/>
        <w:gridCol w:w="1236"/>
        <w:gridCol w:w="1080"/>
        <w:gridCol w:w="1080"/>
        <w:gridCol w:w="1083"/>
        <w:gridCol w:w="1083"/>
        <w:gridCol w:w="1083"/>
        <w:gridCol w:w="1083"/>
        <w:gridCol w:w="1083"/>
        <w:gridCol w:w="1083"/>
        <w:gridCol w:w="1083"/>
        <w:gridCol w:w="1083"/>
        <w:gridCol w:w="1082"/>
        <w:gridCol w:w="1647"/>
      </w:tblGrid>
      <w:tr w:rsidR="0056727A" w:rsidRPr="002D7D11" w14:paraId="7A5FAEC3" w14:textId="77777777" w:rsidTr="00977FC6">
        <w:trPr>
          <w:trHeight w:val="567"/>
          <w:tblHeader/>
          <w:jc w:val="center"/>
        </w:trPr>
        <w:tc>
          <w:tcPr>
            <w:tcW w:w="340" w:type="pct"/>
            <w:tcBorders>
              <w:top w:val="single" w:sz="6" w:space="0" w:color="4C6968" w:themeColor="accent1"/>
              <w:left w:val="single" w:sz="6" w:space="0" w:color="4C6968" w:themeColor="accent1"/>
              <w:bottom w:val="single" w:sz="6" w:space="0" w:color="4C6968" w:themeColor="accent1"/>
              <w:right w:val="nil"/>
            </w:tcBorders>
            <w:shd w:val="clear" w:color="auto" w:fill="4C6968" w:themeFill="accent1"/>
            <w:hideMark/>
          </w:tcPr>
          <w:p w14:paraId="6745B82E" w14:textId="77777777" w:rsidR="002D7D11" w:rsidRPr="004E28CB" w:rsidRDefault="002D7D11" w:rsidP="002D7D11">
            <w:pPr>
              <w:spacing w:after="0"/>
              <w:jc w:val="center"/>
              <w:textAlignment w:val="baseline"/>
              <w:rPr>
                <w:rFonts w:ascii="Segoe UI" w:eastAsia="Times New Roman" w:hAnsi="Segoe UI" w:cs="Segoe UI"/>
                <w:b/>
                <w:bCs/>
                <w:color w:val="BCD8E3"/>
                <w:sz w:val="12"/>
                <w:szCs w:val="12"/>
                <w:lang w:eastAsia="en-AU"/>
              </w:rPr>
            </w:pPr>
            <w:r w:rsidRPr="004E28CB">
              <w:rPr>
                <w:rFonts w:eastAsia="Times New Roman" w:cs="Segoe UI"/>
                <w:b/>
                <w:bCs/>
                <w:color w:val="FFFFFF"/>
                <w:sz w:val="12"/>
                <w:szCs w:val="12"/>
                <w:lang w:eastAsia="en-AU"/>
              </w:rPr>
              <w:t>State </w:t>
            </w:r>
          </w:p>
        </w:tc>
        <w:tc>
          <w:tcPr>
            <w:tcW w:w="389" w:type="pct"/>
            <w:tcBorders>
              <w:top w:val="single" w:sz="6" w:space="0" w:color="4C6968" w:themeColor="accent1"/>
              <w:left w:val="nil"/>
              <w:bottom w:val="single" w:sz="6" w:space="0" w:color="4C6968" w:themeColor="accent1"/>
              <w:right w:val="nil"/>
            </w:tcBorders>
            <w:shd w:val="clear" w:color="auto" w:fill="4C6968" w:themeFill="accent1"/>
            <w:hideMark/>
          </w:tcPr>
          <w:p w14:paraId="78B7B86A" w14:textId="77777777" w:rsidR="002D7D11" w:rsidRPr="004E28CB" w:rsidRDefault="002D7D11" w:rsidP="002D7D11">
            <w:pPr>
              <w:spacing w:after="0"/>
              <w:jc w:val="center"/>
              <w:textAlignment w:val="baseline"/>
              <w:rPr>
                <w:rFonts w:ascii="Segoe UI" w:eastAsia="Times New Roman" w:hAnsi="Segoe UI" w:cs="Segoe UI"/>
                <w:b/>
                <w:bCs/>
                <w:color w:val="BCD8E3"/>
                <w:sz w:val="12"/>
                <w:szCs w:val="12"/>
                <w:lang w:eastAsia="en-AU"/>
              </w:rPr>
            </w:pPr>
            <w:r w:rsidRPr="004E28CB">
              <w:rPr>
                <w:rFonts w:eastAsia="Times New Roman" w:cs="Segoe UI"/>
                <w:b/>
                <w:bCs/>
                <w:color w:val="FFFFFF"/>
                <w:sz w:val="12"/>
                <w:szCs w:val="12"/>
                <w:lang w:eastAsia="en-AU"/>
              </w:rPr>
              <w:t>SDL resource unit </w:t>
            </w:r>
          </w:p>
        </w:tc>
        <w:tc>
          <w:tcPr>
            <w:tcW w:w="340" w:type="pct"/>
            <w:tcBorders>
              <w:top w:val="single" w:sz="6" w:space="0" w:color="4C6968" w:themeColor="accent1"/>
              <w:left w:val="nil"/>
              <w:bottom w:val="single" w:sz="6" w:space="0" w:color="4C6968" w:themeColor="accent1"/>
              <w:right w:val="nil"/>
            </w:tcBorders>
            <w:shd w:val="clear" w:color="auto" w:fill="4C6968" w:themeFill="accent1"/>
            <w:hideMark/>
          </w:tcPr>
          <w:p w14:paraId="3B2AB671" w14:textId="77777777" w:rsidR="002D7D11" w:rsidRPr="004E28CB" w:rsidRDefault="002D7D11" w:rsidP="002D7D11">
            <w:pPr>
              <w:spacing w:after="0"/>
              <w:jc w:val="center"/>
              <w:textAlignment w:val="baseline"/>
              <w:rPr>
                <w:rFonts w:ascii="Segoe UI" w:eastAsia="Times New Roman" w:hAnsi="Segoe UI" w:cs="Segoe UI"/>
                <w:b/>
                <w:bCs/>
                <w:color w:val="BCD8E3"/>
                <w:sz w:val="12"/>
                <w:szCs w:val="12"/>
                <w:lang w:eastAsia="en-AU"/>
              </w:rPr>
            </w:pPr>
            <w:r w:rsidRPr="004E28CB">
              <w:rPr>
                <w:rFonts w:eastAsia="Times New Roman" w:cs="Segoe UI"/>
                <w:b/>
                <w:bCs/>
                <w:color w:val="FFFFFF"/>
                <w:sz w:val="12"/>
                <w:szCs w:val="12"/>
                <w:lang w:eastAsia="en-AU"/>
              </w:rPr>
              <w:t>SDL resource unit code </w:t>
            </w:r>
          </w:p>
        </w:tc>
        <w:tc>
          <w:tcPr>
            <w:tcW w:w="340" w:type="pct"/>
            <w:tcBorders>
              <w:top w:val="single" w:sz="6" w:space="0" w:color="4C6968" w:themeColor="accent1"/>
              <w:left w:val="nil"/>
              <w:bottom w:val="single" w:sz="6" w:space="0" w:color="4C6968" w:themeColor="accent1"/>
              <w:right w:val="nil"/>
            </w:tcBorders>
            <w:shd w:val="clear" w:color="auto" w:fill="4C6968" w:themeFill="accent1"/>
            <w:hideMark/>
          </w:tcPr>
          <w:p w14:paraId="70A5D14F" w14:textId="77777777" w:rsidR="002D7D11" w:rsidRPr="004E28CB" w:rsidRDefault="002D7D11" w:rsidP="002D7D11">
            <w:pPr>
              <w:spacing w:after="0"/>
              <w:jc w:val="center"/>
              <w:textAlignment w:val="baseline"/>
              <w:rPr>
                <w:rFonts w:ascii="Segoe UI" w:eastAsia="Times New Roman" w:hAnsi="Segoe UI" w:cs="Segoe UI"/>
                <w:b/>
                <w:bCs/>
                <w:color w:val="BCD8E3"/>
                <w:sz w:val="12"/>
                <w:szCs w:val="12"/>
                <w:lang w:eastAsia="en-AU"/>
              </w:rPr>
            </w:pPr>
            <w:r w:rsidRPr="004E28CB">
              <w:rPr>
                <w:rFonts w:eastAsia="Times New Roman" w:cs="Segoe UI"/>
                <w:b/>
                <w:bCs/>
                <w:color w:val="FFFFFF"/>
                <w:sz w:val="12"/>
                <w:szCs w:val="12"/>
                <w:lang w:eastAsia="en-AU"/>
              </w:rPr>
              <w:t>SDL </w:t>
            </w:r>
          </w:p>
        </w:tc>
        <w:tc>
          <w:tcPr>
            <w:tcW w:w="341" w:type="pct"/>
            <w:tcBorders>
              <w:top w:val="single" w:sz="6" w:space="0" w:color="4C6968" w:themeColor="accent1"/>
              <w:left w:val="nil"/>
              <w:bottom w:val="single" w:sz="6" w:space="0" w:color="4C6968" w:themeColor="accent1"/>
              <w:right w:val="nil"/>
            </w:tcBorders>
            <w:shd w:val="clear" w:color="auto" w:fill="4C6968" w:themeFill="accent1"/>
            <w:hideMark/>
          </w:tcPr>
          <w:p w14:paraId="245BAFBF" w14:textId="15855CA5" w:rsidR="002D7D11" w:rsidRPr="004E28CB" w:rsidRDefault="002D7D11" w:rsidP="002D7D11">
            <w:pPr>
              <w:spacing w:after="0"/>
              <w:jc w:val="center"/>
              <w:textAlignment w:val="baseline"/>
              <w:rPr>
                <w:rFonts w:ascii="Segoe UI" w:eastAsia="Times New Roman" w:hAnsi="Segoe UI" w:cs="Segoe UI"/>
                <w:b/>
                <w:bCs/>
                <w:color w:val="BCD8E3"/>
                <w:sz w:val="12"/>
                <w:szCs w:val="12"/>
                <w:lang w:eastAsia="en-AU"/>
              </w:rPr>
            </w:pPr>
            <w:r w:rsidRPr="004E28CB">
              <w:rPr>
                <w:rFonts w:eastAsia="Times New Roman" w:cs="Segoe UI"/>
                <w:b/>
                <w:bCs/>
                <w:color w:val="FFFFFF"/>
                <w:sz w:val="12"/>
                <w:szCs w:val="12"/>
                <w:lang w:eastAsia="en-AU"/>
              </w:rPr>
              <w:t>Annual Permitted Take</w:t>
            </w:r>
            <w:r w:rsidR="00115EA1">
              <w:rPr>
                <w:rFonts w:eastAsia="Times New Roman" w:cs="Segoe UI"/>
                <w:b/>
                <w:bCs/>
                <w:color w:val="FFFFFF"/>
                <w:sz w:val="12"/>
                <w:szCs w:val="12"/>
                <w:lang w:eastAsia="en-AU"/>
              </w:rPr>
              <w:t xml:space="preserve"> (GL)</w:t>
            </w:r>
            <w:r w:rsidRPr="004E28CB">
              <w:rPr>
                <w:rFonts w:eastAsia="Times New Roman" w:cs="Segoe UI"/>
                <w:b/>
                <w:bCs/>
                <w:color w:val="FFFFFF"/>
                <w:sz w:val="12"/>
                <w:szCs w:val="12"/>
                <w:lang w:eastAsia="en-AU"/>
              </w:rPr>
              <w:t> </w:t>
            </w:r>
          </w:p>
        </w:tc>
        <w:tc>
          <w:tcPr>
            <w:tcW w:w="341" w:type="pct"/>
            <w:tcBorders>
              <w:top w:val="single" w:sz="6" w:space="0" w:color="4C6968" w:themeColor="accent1"/>
              <w:left w:val="nil"/>
              <w:bottom w:val="single" w:sz="6" w:space="0" w:color="4C6968" w:themeColor="accent1"/>
              <w:right w:val="nil"/>
            </w:tcBorders>
            <w:shd w:val="clear" w:color="auto" w:fill="4C6968" w:themeFill="accent1"/>
            <w:hideMark/>
          </w:tcPr>
          <w:p w14:paraId="6C720987" w14:textId="789AD72E" w:rsidR="002D7D11" w:rsidRPr="004E28CB" w:rsidRDefault="002D7D11" w:rsidP="002D7D11">
            <w:pPr>
              <w:spacing w:after="0"/>
              <w:jc w:val="center"/>
              <w:textAlignment w:val="baseline"/>
              <w:rPr>
                <w:rFonts w:ascii="Segoe UI" w:eastAsia="Times New Roman" w:hAnsi="Segoe UI" w:cs="Segoe UI"/>
                <w:b/>
                <w:bCs/>
                <w:color w:val="BCD8E3"/>
                <w:sz w:val="12"/>
                <w:szCs w:val="12"/>
                <w:lang w:eastAsia="en-AU"/>
              </w:rPr>
            </w:pPr>
            <w:r w:rsidRPr="004E28CB">
              <w:rPr>
                <w:rFonts w:eastAsia="Times New Roman" w:cs="Segoe UI"/>
                <w:b/>
                <w:bCs/>
                <w:color w:val="FFFFFF"/>
                <w:sz w:val="12"/>
                <w:szCs w:val="12"/>
                <w:lang w:eastAsia="en-AU"/>
              </w:rPr>
              <w:t>Annual Actual Take</w:t>
            </w:r>
            <w:r w:rsidR="00115EA1">
              <w:rPr>
                <w:rFonts w:eastAsia="Times New Roman" w:cs="Segoe UI"/>
                <w:b/>
                <w:bCs/>
                <w:color w:val="FFFFFF"/>
                <w:sz w:val="12"/>
                <w:szCs w:val="12"/>
                <w:lang w:eastAsia="en-AU"/>
              </w:rPr>
              <w:t xml:space="preserve"> (GL)</w:t>
            </w:r>
            <w:r w:rsidR="00115EA1" w:rsidRPr="004E28CB">
              <w:rPr>
                <w:rFonts w:eastAsia="Times New Roman" w:cs="Segoe UI"/>
                <w:b/>
                <w:bCs/>
                <w:color w:val="FFFFFF"/>
                <w:sz w:val="12"/>
                <w:szCs w:val="12"/>
                <w:lang w:eastAsia="en-AU"/>
              </w:rPr>
              <w:t> </w:t>
            </w:r>
            <w:r w:rsidRPr="004E28CB">
              <w:rPr>
                <w:rFonts w:eastAsia="Times New Roman" w:cs="Segoe UI"/>
                <w:b/>
                <w:bCs/>
                <w:color w:val="FFFFFF"/>
                <w:sz w:val="12"/>
                <w:szCs w:val="12"/>
                <w:lang w:eastAsia="en-AU"/>
              </w:rPr>
              <w:t> </w:t>
            </w:r>
          </w:p>
        </w:tc>
        <w:tc>
          <w:tcPr>
            <w:tcW w:w="341" w:type="pct"/>
            <w:tcBorders>
              <w:top w:val="single" w:sz="6" w:space="0" w:color="4C6968" w:themeColor="accent1"/>
              <w:left w:val="nil"/>
              <w:bottom w:val="single" w:sz="6" w:space="0" w:color="4C6968" w:themeColor="accent1"/>
              <w:right w:val="nil"/>
            </w:tcBorders>
            <w:shd w:val="clear" w:color="auto" w:fill="4C6968" w:themeFill="accent1"/>
            <w:hideMark/>
          </w:tcPr>
          <w:p w14:paraId="6DE46365" w14:textId="69138019" w:rsidR="002D7D11" w:rsidRPr="004E28CB" w:rsidRDefault="002D7D11" w:rsidP="002D7D11">
            <w:pPr>
              <w:spacing w:after="0"/>
              <w:jc w:val="center"/>
              <w:textAlignment w:val="baseline"/>
              <w:rPr>
                <w:rFonts w:ascii="Segoe UI" w:eastAsia="Times New Roman" w:hAnsi="Segoe UI" w:cs="Segoe UI"/>
                <w:b/>
                <w:bCs/>
                <w:color w:val="BCD8E3"/>
                <w:sz w:val="12"/>
                <w:szCs w:val="12"/>
                <w:lang w:eastAsia="en-AU"/>
              </w:rPr>
            </w:pPr>
            <w:r w:rsidRPr="004E28CB">
              <w:rPr>
                <w:rFonts w:eastAsia="Times New Roman" w:cs="Segoe UI"/>
                <w:b/>
                <w:bCs/>
                <w:color w:val="FFFFFF"/>
                <w:sz w:val="12"/>
                <w:szCs w:val="12"/>
                <w:lang w:eastAsia="en-AU"/>
              </w:rPr>
              <w:t>Annual Balance</w:t>
            </w:r>
            <w:r w:rsidR="00115EA1">
              <w:rPr>
                <w:rFonts w:eastAsia="Times New Roman" w:cs="Segoe UI"/>
                <w:b/>
                <w:bCs/>
                <w:color w:val="FFFFFF"/>
                <w:sz w:val="12"/>
                <w:szCs w:val="12"/>
                <w:lang w:eastAsia="en-AU"/>
              </w:rPr>
              <w:t xml:space="preserve"> (GL)</w:t>
            </w:r>
            <w:r w:rsidR="00115EA1" w:rsidRPr="004E28CB">
              <w:rPr>
                <w:rFonts w:eastAsia="Times New Roman" w:cs="Segoe UI"/>
                <w:b/>
                <w:bCs/>
                <w:color w:val="FFFFFF"/>
                <w:sz w:val="12"/>
                <w:szCs w:val="12"/>
                <w:lang w:eastAsia="en-AU"/>
              </w:rPr>
              <w:t> </w:t>
            </w:r>
            <w:r w:rsidRPr="004E28CB">
              <w:rPr>
                <w:rFonts w:eastAsia="Times New Roman" w:cs="Segoe UI"/>
                <w:b/>
                <w:bCs/>
                <w:color w:val="FFFFFF"/>
                <w:sz w:val="12"/>
                <w:szCs w:val="12"/>
                <w:lang w:eastAsia="en-AU"/>
              </w:rPr>
              <w:t> </w:t>
            </w:r>
          </w:p>
        </w:tc>
        <w:tc>
          <w:tcPr>
            <w:tcW w:w="341" w:type="pct"/>
            <w:tcBorders>
              <w:top w:val="single" w:sz="6" w:space="0" w:color="4C6968" w:themeColor="accent1"/>
              <w:left w:val="nil"/>
              <w:bottom w:val="single" w:sz="6" w:space="0" w:color="4C6968" w:themeColor="accent1"/>
              <w:right w:val="nil"/>
            </w:tcBorders>
            <w:shd w:val="clear" w:color="auto" w:fill="4C6968" w:themeFill="accent1"/>
            <w:hideMark/>
          </w:tcPr>
          <w:p w14:paraId="6DC6147F" w14:textId="1727B302" w:rsidR="002D7D11" w:rsidRPr="004E28CB" w:rsidRDefault="002D7D11" w:rsidP="002D7D11">
            <w:pPr>
              <w:spacing w:after="0"/>
              <w:jc w:val="center"/>
              <w:textAlignment w:val="baseline"/>
              <w:rPr>
                <w:rFonts w:ascii="Segoe UI" w:eastAsia="Times New Roman" w:hAnsi="Segoe UI" w:cs="Segoe UI"/>
                <w:b/>
                <w:bCs/>
                <w:color w:val="BCD8E3"/>
                <w:sz w:val="12"/>
                <w:szCs w:val="12"/>
                <w:lang w:eastAsia="en-AU"/>
              </w:rPr>
            </w:pPr>
            <w:r w:rsidRPr="004E28CB">
              <w:rPr>
                <w:rFonts w:eastAsia="Times New Roman" w:cs="Segoe UI"/>
                <w:b/>
                <w:bCs/>
                <w:color w:val="FFFFFF"/>
                <w:sz w:val="12"/>
                <w:szCs w:val="12"/>
                <w:lang w:eastAsia="en-AU"/>
              </w:rPr>
              <w:t>Cumulative Balance, Start of year </w:t>
            </w:r>
            <w:r w:rsidR="00115EA1">
              <w:rPr>
                <w:rFonts w:eastAsia="Times New Roman" w:cs="Segoe UI"/>
                <w:b/>
                <w:bCs/>
                <w:color w:val="FFFFFF"/>
                <w:sz w:val="12"/>
                <w:szCs w:val="12"/>
                <w:lang w:eastAsia="en-AU"/>
              </w:rPr>
              <w:t>(GL)</w:t>
            </w:r>
            <w:r w:rsidR="00115EA1" w:rsidRPr="004E28CB">
              <w:rPr>
                <w:rFonts w:eastAsia="Times New Roman" w:cs="Segoe UI"/>
                <w:b/>
                <w:bCs/>
                <w:color w:val="FFFFFF"/>
                <w:sz w:val="12"/>
                <w:szCs w:val="12"/>
                <w:lang w:eastAsia="en-AU"/>
              </w:rPr>
              <w:t> </w:t>
            </w:r>
          </w:p>
        </w:tc>
        <w:tc>
          <w:tcPr>
            <w:tcW w:w="341" w:type="pct"/>
            <w:tcBorders>
              <w:top w:val="single" w:sz="6" w:space="0" w:color="4C6968" w:themeColor="accent1"/>
              <w:left w:val="nil"/>
              <w:bottom w:val="single" w:sz="6" w:space="0" w:color="4C6968" w:themeColor="accent1"/>
              <w:right w:val="nil"/>
            </w:tcBorders>
            <w:shd w:val="clear" w:color="auto" w:fill="4C6968" w:themeFill="accent1"/>
            <w:hideMark/>
          </w:tcPr>
          <w:p w14:paraId="630D413F" w14:textId="5FA3910F" w:rsidR="002D7D11" w:rsidRPr="004E28CB" w:rsidRDefault="002D7D11" w:rsidP="002D7D11">
            <w:pPr>
              <w:spacing w:after="0"/>
              <w:jc w:val="center"/>
              <w:textAlignment w:val="baseline"/>
              <w:rPr>
                <w:rFonts w:ascii="Segoe UI" w:eastAsia="Times New Roman" w:hAnsi="Segoe UI" w:cs="Segoe UI"/>
                <w:b/>
                <w:bCs/>
                <w:color w:val="BCD8E3"/>
                <w:sz w:val="12"/>
                <w:szCs w:val="12"/>
                <w:lang w:eastAsia="en-AU"/>
              </w:rPr>
            </w:pPr>
            <w:r w:rsidRPr="004E28CB">
              <w:rPr>
                <w:rFonts w:eastAsia="Times New Roman" w:cs="Segoe UI"/>
                <w:b/>
                <w:bCs/>
                <w:color w:val="FFFFFF"/>
                <w:sz w:val="12"/>
                <w:szCs w:val="12"/>
                <w:lang w:eastAsia="en-AU"/>
              </w:rPr>
              <w:t>Cumulative Balance, End of Year </w:t>
            </w:r>
            <w:r w:rsidR="00115EA1">
              <w:rPr>
                <w:rFonts w:eastAsia="Times New Roman" w:cs="Segoe UI"/>
                <w:b/>
                <w:bCs/>
                <w:color w:val="FFFFFF"/>
                <w:sz w:val="12"/>
                <w:szCs w:val="12"/>
                <w:lang w:eastAsia="en-AU"/>
              </w:rPr>
              <w:t>(GL)</w:t>
            </w:r>
            <w:r w:rsidR="00115EA1" w:rsidRPr="004E28CB">
              <w:rPr>
                <w:rFonts w:eastAsia="Times New Roman" w:cs="Segoe UI"/>
                <w:b/>
                <w:bCs/>
                <w:color w:val="FFFFFF"/>
                <w:sz w:val="12"/>
                <w:szCs w:val="12"/>
                <w:lang w:eastAsia="en-AU"/>
              </w:rPr>
              <w:t> </w:t>
            </w:r>
          </w:p>
        </w:tc>
        <w:tc>
          <w:tcPr>
            <w:tcW w:w="341" w:type="pct"/>
            <w:tcBorders>
              <w:top w:val="single" w:sz="6" w:space="0" w:color="4C6968" w:themeColor="accent1"/>
              <w:left w:val="nil"/>
              <w:bottom w:val="single" w:sz="6" w:space="0" w:color="4C6968" w:themeColor="accent1"/>
              <w:right w:val="nil"/>
            </w:tcBorders>
            <w:shd w:val="clear" w:color="auto" w:fill="4C6968" w:themeFill="accent1"/>
            <w:hideMark/>
          </w:tcPr>
          <w:p w14:paraId="0E8D0A7F" w14:textId="04C7AEEA" w:rsidR="002D7D11" w:rsidRPr="004E28CB" w:rsidRDefault="002D7D11" w:rsidP="002D7D11">
            <w:pPr>
              <w:spacing w:after="0"/>
              <w:jc w:val="center"/>
              <w:textAlignment w:val="baseline"/>
              <w:rPr>
                <w:rFonts w:ascii="Segoe UI" w:eastAsia="Times New Roman" w:hAnsi="Segoe UI" w:cs="Segoe UI"/>
                <w:b/>
                <w:bCs/>
                <w:color w:val="BCD8E3"/>
                <w:sz w:val="12"/>
                <w:szCs w:val="12"/>
                <w:lang w:eastAsia="en-AU"/>
              </w:rPr>
            </w:pPr>
            <w:r w:rsidRPr="004E28CB">
              <w:rPr>
                <w:rFonts w:eastAsia="Times New Roman" w:cs="Segoe UI"/>
                <w:b/>
                <w:bCs/>
                <w:color w:val="FFFFFF"/>
                <w:sz w:val="12"/>
                <w:szCs w:val="12"/>
                <w:lang w:eastAsia="en-AU"/>
              </w:rPr>
              <w:t>HEW Adjust-ments </w:t>
            </w:r>
            <w:r w:rsidR="00115EA1">
              <w:rPr>
                <w:rFonts w:eastAsia="Times New Roman" w:cs="Segoe UI"/>
                <w:b/>
                <w:bCs/>
                <w:color w:val="FFFFFF"/>
                <w:sz w:val="12"/>
                <w:szCs w:val="12"/>
                <w:lang w:eastAsia="en-AU"/>
              </w:rPr>
              <w:t>(GL)</w:t>
            </w:r>
            <w:r w:rsidR="00115EA1" w:rsidRPr="004E28CB">
              <w:rPr>
                <w:rFonts w:eastAsia="Times New Roman" w:cs="Segoe UI"/>
                <w:b/>
                <w:bCs/>
                <w:color w:val="FFFFFF"/>
                <w:sz w:val="12"/>
                <w:szCs w:val="12"/>
                <w:lang w:eastAsia="en-AU"/>
              </w:rPr>
              <w:t> </w:t>
            </w:r>
          </w:p>
        </w:tc>
        <w:tc>
          <w:tcPr>
            <w:tcW w:w="341" w:type="pct"/>
            <w:tcBorders>
              <w:top w:val="single" w:sz="6" w:space="0" w:color="4C6968" w:themeColor="accent1"/>
              <w:left w:val="nil"/>
              <w:bottom w:val="single" w:sz="6" w:space="0" w:color="4C6968" w:themeColor="accent1"/>
              <w:right w:val="nil"/>
            </w:tcBorders>
            <w:shd w:val="clear" w:color="auto" w:fill="4C6968" w:themeFill="accent1"/>
          </w:tcPr>
          <w:p w14:paraId="5C3B7CA1" w14:textId="3186B74D" w:rsidR="144DF2C8" w:rsidRPr="004E28CB" w:rsidRDefault="10EAD9D3" w:rsidP="144DF2C8">
            <w:pPr>
              <w:jc w:val="center"/>
              <w:rPr>
                <w:rFonts w:eastAsia="Times New Roman" w:cs="Segoe UI"/>
                <w:b/>
                <w:bCs/>
                <w:color w:val="FFFFFF"/>
                <w:sz w:val="12"/>
                <w:szCs w:val="12"/>
                <w:lang w:eastAsia="en-AU"/>
              </w:rPr>
            </w:pPr>
            <w:r w:rsidRPr="004E28CB">
              <w:rPr>
                <w:rFonts w:eastAsia="Times New Roman" w:cs="Segoe UI"/>
                <w:b/>
                <w:bCs/>
                <w:color w:val="FFFFFF"/>
                <w:sz w:val="12"/>
                <w:szCs w:val="12"/>
                <w:lang w:eastAsia="en-AU"/>
              </w:rPr>
              <w:t>One off adjustment</w:t>
            </w:r>
            <w:r w:rsidR="00115EA1">
              <w:rPr>
                <w:rFonts w:eastAsia="Times New Roman" w:cs="Segoe UI"/>
                <w:b/>
                <w:bCs/>
                <w:color w:val="FFFFFF"/>
                <w:sz w:val="12"/>
                <w:szCs w:val="12"/>
                <w:lang w:eastAsia="en-AU"/>
              </w:rPr>
              <w:t xml:space="preserve"> (GL)</w:t>
            </w:r>
            <w:r w:rsidR="00115EA1" w:rsidRPr="004E28CB">
              <w:rPr>
                <w:rFonts w:eastAsia="Times New Roman" w:cs="Segoe UI"/>
                <w:b/>
                <w:bCs/>
                <w:color w:val="FFFFFF"/>
                <w:sz w:val="12"/>
                <w:szCs w:val="12"/>
                <w:lang w:eastAsia="en-AU"/>
              </w:rPr>
              <w:t> </w:t>
            </w:r>
          </w:p>
        </w:tc>
        <w:tc>
          <w:tcPr>
            <w:tcW w:w="341" w:type="pct"/>
            <w:tcBorders>
              <w:top w:val="single" w:sz="6" w:space="0" w:color="4C6968" w:themeColor="accent1"/>
              <w:left w:val="nil"/>
              <w:bottom w:val="single" w:sz="6" w:space="0" w:color="4C6968" w:themeColor="accent1"/>
              <w:right w:val="nil"/>
            </w:tcBorders>
            <w:shd w:val="clear" w:color="auto" w:fill="4C6968" w:themeFill="accent1"/>
            <w:hideMark/>
          </w:tcPr>
          <w:p w14:paraId="53D8603C" w14:textId="73381A8B" w:rsidR="002D7D11" w:rsidRPr="004E28CB" w:rsidRDefault="002D7D11" w:rsidP="002D7D11">
            <w:pPr>
              <w:spacing w:after="0"/>
              <w:jc w:val="center"/>
              <w:textAlignment w:val="baseline"/>
              <w:rPr>
                <w:rFonts w:ascii="Segoe UI" w:eastAsia="Times New Roman" w:hAnsi="Segoe UI" w:cs="Segoe UI"/>
                <w:b/>
                <w:bCs/>
                <w:color w:val="BCD8E3"/>
                <w:sz w:val="12"/>
                <w:szCs w:val="12"/>
                <w:lang w:eastAsia="en-AU"/>
              </w:rPr>
            </w:pPr>
            <w:r w:rsidRPr="004E28CB">
              <w:rPr>
                <w:rFonts w:eastAsia="Times New Roman" w:cs="Segoe UI"/>
                <w:b/>
                <w:bCs/>
                <w:color w:val="FFFFFF"/>
                <w:sz w:val="12"/>
                <w:szCs w:val="12"/>
                <w:lang w:eastAsia="en-AU"/>
              </w:rPr>
              <w:t>Adjusted Cumulative Balance, End of year </w:t>
            </w:r>
            <w:r w:rsidR="00115EA1">
              <w:rPr>
                <w:rFonts w:eastAsia="Times New Roman" w:cs="Segoe UI"/>
                <w:b/>
                <w:bCs/>
                <w:color w:val="FFFFFF"/>
                <w:sz w:val="12"/>
                <w:szCs w:val="12"/>
                <w:lang w:eastAsia="en-AU"/>
              </w:rPr>
              <w:t>(GL)</w:t>
            </w:r>
            <w:r w:rsidR="00115EA1" w:rsidRPr="004E28CB">
              <w:rPr>
                <w:rFonts w:eastAsia="Times New Roman" w:cs="Segoe UI"/>
                <w:b/>
                <w:bCs/>
                <w:color w:val="FFFFFF"/>
                <w:sz w:val="12"/>
                <w:szCs w:val="12"/>
                <w:lang w:eastAsia="en-AU"/>
              </w:rPr>
              <w:t> </w:t>
            </w:r>
          </w:p>
        </w:tc>
        <w:tc>
          <w:tcPr>
            <w:tcW w:w="341" w:type="pct"/>
            <w:tcBorders>
              <w:top w:val="single" w:sz="6" w:space="0" w:color="4C6968" w:themeColor="accent1"/>
              <w:left w:val="nil"/>
              <w:bottom w:val="single" w:sz="6" w:space="0" w:color="4C6968" w:themeColor="accent1"/>
              <w:right w:val="nil"/>
            </w:tcBorders>
            <w:shd w:val="clear" w:color="auto" w:fill="4C6968" w:themeFill="accent1"/>
            <w:hideMark/>
          </w:tcPr>
          <w:p w14:paraId="2EF0BD2F" w14:textId="1314E401" w:rsidR="002D7D11" w:rsidRPr="004E28CB" w:rsidRDefault="002D7D11" w:rsidP="002D7D11">
            <w:pPr>
              <w:spacing w:after="0"/>
              <w:jc w:val="center"/>
              <w:textAlignment w:val="baseline"/>
              <w:rPr>
                <w:rFonts w:ascii="Segoe UI" w:eastAsia="Times New Roman" w:hAnsi="Segoe UI" w:cs="Segoe UI"/>
                <w:b/>
                <w:bCs/>
                <w:color w:val="BCD8E3"/>
                <w:sz w:val="12"/>
                <w:szCs w:val="12"/>
                <w:lang w:eastAsia="en-AU"/>
              </w:rPr>
            </w:pPr>
            <w:r w:rsidRPr="004E28CB">
              <w:rPr>
                <w:rFonts w:eastAsia="Times New Roman" w:cs="Segoe UI"/>
                <w:b/>
                <w:bCs/>
                <w:color w:val="FFFFFF"/>
                <w:sz w:val="12"/>
                <w:szCs w:val="12"/>
                <w:lang w:eastAsia="en-AU"/>
              </w:rPr>
              <w:t>Compliance T</w:t>
            </w:r>
            <w:r w:rsidR="000B1AC3">
              <w:rPr>
                <w:rFonts w:eastAsia="Times New Roman" w:cs="Segoe UI"/>
                <w:b/>
                <w:bCs/>
                <w:color w:val="FFFFFF"/>
                <w:sz w:val="12"/>
                <w:szCs w:val="12"/>
                <w:lang w:eastAsia="en-AU"/>
              </w:rPr>
              <w:t>rigger</w:t>
            </w:r>
            <w:r w:rsidRPr="004E28CB">
              <w:rPr>
                <w:rFonts w:eastAsia="Times New Roman" w:cs="Segoe UI"/>
                <w:b/>
                <w:bCs/>
                <w:color w:val="FFFFFF"/>
                <w:sz w:val="12"/>
                <w:szCs w:val="12"/>
                <w:lang w:eastAsia="en-AU"/>
              </w:rPr>
              <w:t> </w:t>
            </w:r>
            <w:r w:rsidRPr="004E28CB">
              <w:rPr>
                <w:rFonts w:eastAsia="Times New Roman" w:cs="Segoe UI"/>
                <w:b/>
                <w:bCs/>
                <w:color w:val="FFFFFF"/>
                <w:sz w:val="12"/>
                <w:szCs w:val="12"/>
                <w:lang w:eastAsia="en-AU"/>
              </w:rPr>
              <w:br/>
            </w:r>
            <w:r w:rsidR="001F6D2B">
              <w:rPr>
                <w:rFonts w:eastAsia="Times New Roman" w:cs="Segoe UI"/>
                <w:b/>
                <w:bCs/>
                <w:color w:val="FFFFFF"/>
                <w:sz w:val="12"/>
                <w:szCs w:val="12"/>
                <w:lang w:eastAsia="en-AU"/>
              </w:rPr>
              <w:t xml:space="preserve"> (GL)</w:t>
            </w:r>
            <w:r w:rsidRPr="004E28CB">
              <w:rPr>
                <w:rFonts w:eastAsia="Times New Roman" w:cs="Segoe UI"/>
                <w:b/>
                <w:bCs/>
                <w:color w:val="FFFFFF"/>
                <w:sz w:val="12"/>
                <w:szCs w:val="12"/>
                <w:lang w:eastAsia="en-AU"/>
              </w:rPr>
              <w:t> </w:t>
            </w:r>
          </w:p>
        </w:tc>
        <w:tc>
          <w:tcPr>
            <w:tcW w:w="519" w:type="pct"/>
            <w:tcBorders>
              <w:top w:val="single" w:sz="6" w:space="0" w:color="4C6968" w:themeColor="accent1"/>
              <w:left w:val="nil"/>
              <w:bottom w:val="single" w:sz="6" w:space="0" w:color="4C6968" w:themeColor="accent1"/>
              <w:right w:val="single" w:sz="6" w:space="0" w:color="4C6968" w:themeColor="accent1"/>
            </w:tcBorders>
            <w:shd w:val="clear" w:color="auto" w:fill="4C6968" w:themeFill="accent1"/>
            <w:hideMark/>
          </w:tcPr>
          <w:p w14:paraId="64967051" w14:textId="118E0438" w:rsidR="002D7D11" w:rsidRPr="004E28CB" w:rsidRDefault="002D7D11" w:rsidP="002D7D11">
            <w:pPr>
              <w:spacing w:after="0"/>
              <w:jc w:val="center"/>
              <w:textAlignment w:val="baseline"/>
              <w:rPr>
                <w:rFonts w:ascii="Segoe UI" w:eastAsia="Times New Roman" w:hAnsi="Segoe UI" w:cs="Segoe UI"/>
                <w:b/>
                <w:bCs/>
                <w:color w:val="BCD8E3"/>
                <w:sz w:val="12"/>
                <w:szCs w:val="12"/>
                <w:lang w:eastAsia="en-AU"/>
              </w:rPr>
            </w:pPr>
            <w:r w:rsidRPr="004E28CB">
              <w:rPr>
                <w:rFonts w:eastAsia="Times New Roman" w:cs="Segoe UI"/>
                <w:b/>
                <w:bCs/>
                <w:color w:val="FFFFFF"/>
                <w:sz w:val="12"/>
                <w:szCs w:val="12"/>
                <w:lang w:eastAsia="en-AU"/>
              </w:rPr>
              <w:t> </w:t>
            </w:r>
            <w:r w:rsidR="00E424D7">
              <w:rPr>
                <w:rFonts w:eastAsia="Times New Roman" w:cs="Segoe UI"/>
                <w:b/>
                <w:bCs/>
                <w:color w:val="FFFFFF"/>
                <w:sz w:val="12"/>
                <w:szCs w:val="12"/>
                <w:lang w:eastAsia="en-AU"/>
              </w:rPr>
              <w:t>Was the trigger exceeded? (Yes/No)</w:t>
            </w:r>
          </w:p>
        </w:tc>
      </w:tr>
      <w:tr w:rsidR="00C431EC" w:rsidRPr="002D7D11" w14:paraId="76164E20" w14:textId="77777777" w:rsidTr="005C5B3F">
        <w:trPr>
          <w:trHeight w:val="567"/>
          <w:jc w:val="center"/>
        </w:trPr>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12417FD6" w14:textId="64AAE61C" w:rsidR="00C431EC" w:rsidRPr="4EA0D814" w:rsidRDefault="00C431EC" w:rsidP="00C431EC">
            <w:pPr>
              <w:spacing w:after="0"/>
              <w:jc w:val="center"/>
              <w:textAlignment w:val="baseline"/>
              <w:rPr>
                <w:rFonts w:eastAsia="Verdana" w:cs="Verdana"/>
                <w:b/>
                <w:color w:val="000000"/>
                <w:szCs w:val="20"/>
                <w:lang w:eastAsia="en-AU"/>
              </w:rPr>
            </w:pPr>
            <w:r w:rsidRPr="4EA0D814">
              <w:rPr>
                <w:rFonts w:eastAsia="Verdana" w:cs="Verdana"/>
                <w:b/>
                <w:color w:val="000000"/>
                <w:szCs w:val="20"/>
                <w:lang w:eastAsia="en-AU"/>
              </w:rPr>
              <w:t>ACT</w:t>
            </w:r>
          </w:p>
        </w:tc>
        <w:tc>
          <w:tcPr>
            <w:tcW w:w="38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75D202AA" w14:textId="439F840F" w:rsidR="00C431EC" w:rsidRPr="4EA0D814" w:rsidRDefault="00C431EC" w:rsidP="009C0F1C">
            <w:pPr>
              <w:spacing w:after="0"/>
              <w:jc w:val="center"/>
              <w:rPr>
                <w:rFonts w:eastAsia="Verdana" w:cs="Verdana"/>
                <w:color w:val="000000"/>
                <w:szCs w:val="20"/>
              </w:rPr>
            </w:pPr>
            <w:r w:rsidRPr="4EA0D814">
              <w:rPr>
                <w:rFonts w:eastAsia="Verdana" w:cs="Verdana"/>
                <w:color w:val="000000"/>
                <w:szCs w:val="20"/>
              </w:rPr>
              <w:t>Australian Capital Territory (surface water)</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14BD305E" w14:textId="5999F96E" w:rsidR="00C431EC" w:rsidRPr="4EA0D814" w:rsidRDefault="00C431EC" w:rsidP="009C0F1C">
            <w:pPr>
              <w:spacing w:after="0"/>
              <w:jc w:val="center"/>
              <w:rPr>
                <w:rFonts w:eastAsia="Verdana" w:cs="Verdana"/>
                <w:color w:val="000000"/>
                <w:szCs w:val="20"/>
              </w:rPr>
            </w:pPr>
            <w:r w:rsidRPr="4EA0D814">
              <w:rPr>
                <w:rFonts w:eastAsia="Verdana" w:cs="Verdana"/>
                <w:color w:val="000000"/>
                <w:szCs w:val="20"/>
              </w:rPr>
              <w:t>SS1</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38F53C53" w14:textId="0302E3D4" w:rsidR="00C431EC" w:rsidRPr="4EA0D814" w:rsidRDefault="00C431EC" w:rsidP="009C0F1C">
            <w:pPr>
              <w:spacing w:after="0"/>
              <w:jc w:val="center"/>
              <w:rPr>
                <w:rFonts w:eastAsia="Verdana" w:cs="Verdana"/>
                <w:color w:val="000000"/>
                <w:szCs w:val="20"/>
              </w:rPr>
            </w:pPr>
            <w:r w:rsidRPr="4EA0D814">
              <w:rPr>
                <w:rFonts w:eastAsia="Verdana" w:cs="Verdana"/>
                <w:color w:val="000000"/>
                <w:szCs w:val="20"/>
              </w:rPr>
              <w:t>53.4</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3317FC24" w14:textId="20EB00F4" w:rsidR="00C431EC" w:rsidRPr="4EA0D814" w:rsidRDefault="00C431EC" w:rsidP="009C0F1C">
            <w:pPr>
              <w:spacing w:after="0"/>
              <w:jc w:val="center"/>
              <w:rPr>
                <w:rFonts w:eastAsia="Verdana" w:cs="Verdana"/>
                <w:color w:val="000000"/>
                <w:szCs w:val="20"/>
              </w:rPr>
            </w:pPr>
            <w:r w:rsidRPr="4EA0D814">
              <w:rPr>
                <w:rFonts w:eastAsia="Verdana" w:cs="Verdana"/>
                <w:color w:val="000000"/>
                <w:szCs w:val="20"/>
              </w:rPr>
              <w:t>50.4</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3A30CF90" w14:textId="72904850" w:rsidR="00C431EC" w:rsidRPr="4EA0D814" w:rsidRDefault="00C431EC" w:rsidP="009C0F1C">
            <w:pPr>
              <w:spacing w:after="0"/>
              <w:jc w:val="center"/>
              <w:rPr>
                <w:rFonts w:eastAsia="Verdana" w:cs="Verdana"/>
                <w:color w:val="000000"/>
                <w:szCs w:val="20"/>
              </w:rPr>
            </w:pPr>
            <w:r w:rsidRPr="4EA0D814">
              <w:rPr>
                <w:rFonts w:eastAsia="Verdana" w:cs="Verdana"/>
                <w:color w:val="000000"/>
                <w:szCs w:val="20"/>
              </w:rPr>
              <w:t>26.9</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7D97A305" w14:textId="24331455" w:rsidR="00C431EC" w:rsidRPr="4EA0D814" w:rsidRDefault="00C431EC" w:rsidP="009C0F1C">
            <w:pPr>
              <w:spacing w:after="0"/>
              <w:jc w:val="center"/>
              <w:rPr>
                <w:rFonts w:eastAsia="Verdana" w:cs="Verdana"/>
                <w:color w:val="000000"/>
                <w:szCs w:val="20"/>
              </w:rPr>
            </w:pPr>
            <w:r w:rsidRPr="4EA0D814">
              <w:rPr>
                <w:rFonts w:eastAsia="Verdana" w:cs="Verdana"/>
                <w:color w:val="000000"/>
                <w:szCs w:val="20"/>
              </w:rPr>
              <w:t>23.5</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3D56039B" w14:textId="569FD0AD" w:rsidR="00C431EC" w:rsidRPr="4EA0D814" w:rsidRDefault="00C431EC" w:rsidP="009C0F1C">
            <w:pPr>
              <w:spacing w:after="0"/>
              <w:jc w:val="center"/>
              <w:rPr>
                <w:rFonts w:eastAsia="Verdana" w:cs="Verdana"/>
                <w:color w:val="000000"/>
                <w:szCs w:val="20"/>
              </w:rPr>
            </w:pPr>
            <w:r w:rsidRPr="4EA0D814">
              <w:rPr>
                <w:rFonts w:eastAsia="Verdana" w:cs="Verdana"/>
                <w:color w:val="000000"/>
                <w:szCs w:val="20"/>
              </w:rPr>
              <w:t>43.7</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27D536D7" w14:textId="4C1567D8" w:rsidR="00C431EC" w:rsidRPr="4EA0D814" w:rsidRDefault="00C431EC" w:rsidP="009C0F1C">
            <w:pPr>
              <w:spacing w:after="0"/>
              <w:jc w:val="center"/>
              <w:rPr>
                <w:rFonts w:eastAsia="Verdana" w:cs="Verdana"/>
                <w:color w:val="000000"/>
                <w:szCs w:val="20"/>
              </w:rPr>
            </w:pPr>
            <w:r w:rsidRPr="4EA0D814">
              <w:rPr>
                <w:rFonts w:eastAsia="Verdana" w:cs="Verdana"/>
                <w:color w:val="000000"/>
                <w:szCs w:val="20"/>
              </w:rPr>
              <w:t>67.2</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39A58E4D" w14:textId="6C3DB1FE" w:rsidR="00C431EC" w:rsidRPr="4EA0D814" w:rsidRDefault="00C431EC" w:rsidP="009C0F1C">
            <w:pPr>
              <w:spacing w:after="0"/>
              <w:jc w:val="center"/>
              <w:rPr>
                <w:rFonts w:eastAsia="Verdana" w:cs="Verdana"/>
                <w:color w:val="000000"/>
                <w:szCs w:val="20"/>
              </w:rPr>
            </w:pPr>
            <w:r w:rsidRPr="4EA0D814">
              <w:rPr>
                <w:rFonts w:eastAsia="Verdana" w:cs="Verdana"/>
                <w:color w:val="000000"/>
                <w:szCs w:val="20"/>
              </w:rPr>
              <w:t>2.3</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1F5102A8" w14:textId="15E24607" w:rsidR="00C431EC" w:rsidRPr="4EA0D814" w:rsidRDefault="00C431EC" w:rsidP="009C0F1C">
            <w:pPr>
              <w:spacing w:after="0"/>
              <w:jc w:val="center"/>
              <w:rPr>
                <w:rFonts w:eastAsia="Verdana" w:cs="Verdana"/>
                <w:color w:val="000000"/>
                <w:szCs w:val="20"/>
              </w:rPr>
            </w:pPr>
            <w:r w:rsidRPr="4EA0D814">
              <w:rPr>
                <w:rFonts w:eastAsia="Verdana" w:cs="Verdana"/>
                <w:color w:val="000000"/>
                <w:szCs w:val="20"/>
              </w:rPr>
              <w:t>25.5</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01DFA2FA" w14:textId="24A52B9F" w:rsidR="00C431EC" w:rsidRPr="4EA0D814" w:rsidRDefault="00C431EC" w:rsidP="009C0F1C">
            <w:pPr>
              <w:spacing w:after="0"/>
              <w:jc w:val="center"/>
              <w:rPr>
                <w:rFonts w:eastAsia="Verdana" w:cs="Verdana"/>
                <w:color w:val="000000"/>
                <w:szCs w:val="20"/>
              </w:rPr>
            </w:pPr>
            <w:r w:rsidRPr="4EA0D814">
              <w:rPr>
                <w:rFonts w:eastAsia="Verdana" w:cs="Verdana"/>
                <w:color w:val="000000"/>
                <w:szCs w:val="20"/>
              </w:rPr>
              <w:t>95.0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7B7C1048" w14:textId="6F874BA0" w:rsidR="00C431EC" w:rsidRPr="4EA0D814" w:rsidRDefault="00C431EC" w:rsidP="009C0F1C">
            <w:pPr>
              <w:spacing w:after="0"/>
              <w:jc w:val="center"/>
              <w:rPr>
                <w:rFonts w:eastAsia="Verdana" w:cs="Verdana"/>
                <w:color w:val="000000"/>
                <w:szCs w:val="20"/>
              </w:rPr>
            </w:pPr>
            <w:r w:rsidRPr="4EA0D814">
              <w:rPr>
                <w:rFonts w:eastAsia="Verdana" w:cs="Verdana"/>
                <w:color w:val="000000"/>
                <w:szCs w:val="20"/>
              </w:rPr>
              <w:t>-10.7</w:t>
            </w:r>
          </w:p>
        </w:tc>
        <w:tc>
          <w:tcPr>
            <w:tcW w:w="51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61899497" w14:textId="346D234D" w:rsidR="00C431EC" w:rsidRPr="4EA0D814" w:rsidRDefault="00C431EC" w:rsidP="009C0F1C">
            <w:pPr>
              <w:spacing w:after="0"/>
              <w:jc w:val="center"/>
              <w:rPr>
                <w:rFonts w:eastAsia="Verdana" w:cs="Verdana"/>
                <w:color w:val="000000"/>
                <w:szCs w:val="20"/>
              </w:rPr>
            </w:pPr>
            <w:r w:rsidRPr="4EA0D814">
              <w:rPr>
                <w:rFonts w:eastAsia="Verdana" w:cs="Verdana"/>
                <w:color w:val="000000"/>
                <w:szCs w:val="20"/>
              </w:rPr>
              <w:t>No</w:t>
            </w:r>
          </w:p>
        </w:tc>
      </w:tr>
      <w:tr w:rsidR="00200336" w:rsidRPr="002D7D11" w14:paraId="7F507F96" w14:textId="77777777" w:rsidTr="00E07E59">
        <w:trPr>
          <w:trHeight w:val="567"/>
          <w:jc w:val="center"/>
        </w:trPr>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43C058CA" w14:textId="0B4AA04F" w:rsidR="00C431EC" w:rsidRPr="002D7D11" w:rsidRDefault="00C431EC" w:rsidP="00C431EC">
            <w:pPr>
              <w:spacing w:after="0"/>
              <w:jc w:val="center"/>
              <w:textAlignment w:val="baseline"/>
              <w:rPr>
                <w:rFonts w:eastAsia="Verdana" w:cs="Verdana"/>
                <w:b/>
                <w:szCs w:val="20"/>
                <w:lang w:eastAsia="en-AU"/>
              </w:rPr>
            </w:pPr>
            <w:r w:rsidRPr="4EA0D814">
              <w:rPr>
                <w:rFonts w:eastAsia="Verdana" w:cs="Verdana"/>
                <w:b/>
                <w:color w:val="000000"/>
                <w:szCs w:val="20"/>
                <w:lang w:eastAsia="en-AU"/>
              </w:rPr>
              <w:t>QLD</w:t>
            </w:r>
          </w:p>
        </w:tc>
        <w:tc>
          <w:tcPr>
            <w:tcW w:w="38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7CE1F99F" w14:textId="7A19CA15" w:rsidR="00C431EC" w:rsidRDefault="00C431EC" w:rsidP="009C0F1C">
            <w:pPr>
              <w:spacing w:after="0"/>
              <w:jc w:val="center"/>
              <w:rPr>
                <w:rFonts w:eastAsia="Verdana" w:cs="Verdana"/>
                <w:color w:val="000000"/>
                <w:szCs w:val="20"/>
              </w:rPr>
            </w:pPr>
            <w:r w:rsidRPr="4EA0D814">
              <w:rPr>
                <w:rFonts w:eastAsia="Verdana" w:cs="Verdana"/>
                <w:color w:val="000000"/>
                <w:szCs w:val="20"/>
              </w:rPr>
              <w:t>Queensland Border Rivers</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65BDAF73" w14:textId="644DA02A" w:rsidR="00C431EC" w:rsidRDefault="00C431EC" w:rsidP="009C0F1C">
            <w:pPr>
              <w:spacing w:after="0"/>
              <w:jc w:val="center"/>
              <w:rPr>
                <w:rFonts w:eastAsia="Verdana" w:cs="Verdana"/>
                <w:color w:val="000000"/>
                <w:szCs w:val="20"/>
              </w:rPr>
            </w:pPr>
            <w:r w:rsidRPr="4EA0D814">
              <w:rPr>
                <w:rFonts w:eastAsia="Verdana" w:cs="Verdana"/>
                <w:color w:val="000000"/>
                <w:szCs w:val="20"/>
              </w:rPr>
              <w:t>SS24</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337A1CD2" w14:textId="51D5FF2E" w:rsidR="00C431EC" w:rsidRDefault="00C431EC" w:rsidP="009C0F1C">
            <w:pPr>
              <w:spacing w:after="0"/>
              <w:jc w:val="center"/>
              <w:rPr>
                <w:rFonts w:eastAsia="Verdana" w:cs="Verdana"/>
                <w:color w:val="000000"/>
                <w:szCs w:val="20"/>
              </w:rPr>
            </w:pPr>
            <w:r w:rsidRPr="4EA0D814">
              <w:rPr>
                <w:rFonts w:eastAsia="Verdana" w:cs="Verdana"/>
                <w:color w:val="000000"/>
                <w:szCs w:val="20"/>
              </w:rPr>
              <w:t>363.6</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1C47B777" w14:textId="2D57EF1B" w:rsidR="00C431EC" w:rsidRDefault="00C431EC" w:rsidP="009C0F1C">
            <w:pPr>
              <w:spacing w:after="0"/>
              <w:jc w:val="center"/>
              <w:rPr>
                <w:rFonts w:eastAsia="Verdana" w:cs="Verdana"/>
                <w:color w:val="000000"/>
                <w:szCs w:val="20"/>
              </w:rPr>
            </w:pPr>
            <w:r w:rsidRPr="4EA0D814">
              <w:rPr>
                <w:rFonts w:eastAsia="Verdana" w:cs="Verdana"/>
                <w:color w:val="000000"/>
                <w:szCs w:val="20"/>
              </w:rPr>
              <w:t>320.7</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2742DB48" w14:textId="53703E54" w:rsidR="00C431EC" w:rsidRDefault="00C431EC" w:rsidP="009C0F1C">
            <w:pPr>
              <w:spacing w:after="0"/>
              <w:jc w:val="center"/>
              <w:rPr>
                <w:rFonts w:eastAsia="Verdana" w:cs="Verdana"/>
                <w:color w:val="000000"/>
                <w:szCs w:val="20"/>
              </w:rPr>
            </w:pPr>
            <w:r w:rsidRPr="4EA0D814">
              <w:rPr>
                <w:rFonts w:eastAsia="Verdana" w:cs="Verdana"/>
                <w:color w:val="000000"/>
                <w:szCs w:val="20"/>
              </w:rPr>
              <w:t>348.4</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56BD91CD" w14:textId="6759788B" w:rsidR="00C431EC" w:rsidRDefault="00C431EC" w:rsidP="009C0F1C">
            <w:pPr>
              <w:spacing w:after="0"/>
              <w:jc w:val="center"/>
              <w:rPr>
                <w:rFonts w:eastAsia="Verdana" w:cs="Verdana"/>
                <w:color w:val="000000"/>
                <w:szCs w:val="20"/>
              </w:rPr>
            </w:pPr>
            <w:r w:rsidRPr="4EA0D814">
              <w:rPr>
                <w:rFonts w:eastAsia="Verdana" w:cs="Verdana"/>
                <w:color w:val="000000"/>
                <w:szCs w:val="20"/>
              </w:rPr>
              <w:t>-27.7</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73ED21ED" w14:textId="4E1D9F90" w:rsidR="00C431EC" w:rsidRDefault="00C431EC" w:rsidP="009C0F1C">
            <w:pPr>
              <w:spacing w:after="0"/>
              <w:jc w:val="center"/>
              <w:rPr>
                <w:rFonts w:eastAsia="Verdana" w:cs="Verdana"/>
                <w:color w:val="000000"/>
                <w:szCs w:val="20"/>
              </w:rPr>
            </w:pPr>
            <w:r w:rsidRPr="4EA0D814">
              <w:rPr>
                <w:rFonts w:eastAsia="Verdana" w:cs="Verdana"/>
                <w:color w:val="000000"/>
                <w:szCs w:val="20"/>
              </w:rPr>
              <w:t>581.1</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21A9F770" w14:textId="4EAD1718" w:rsidR="00C431EC" w:rsidRDefault="00C431EC" w:rsidP="009C0F1C">
            <w:pPr>
              <w:spacing w:after="0"/>
              <w:jc w:val="center"/>
              <w:rPr>
                <w:rFonts w:eastAsia="Verdana" w:cs="Verdana"/>
                <w:color w:val="000000"/>
                <w:szCs w:val="20"/>
              </w:rPr>
            </w:pPr>
            <w:r w:rsidRPr="4EA0D814">
              <w:rPr>
                <w:rFonts w:eastAsia="Verdana" w:cs="Verdana"/>
                <w:color w:val="000000"/>
                <w:szCs w:val="20"/>
              </w:rPr>
              <w:t>553.4</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7F13D852" w14:textId="64899B4D" w:rsidR="00C431EC" w:rsidRDefault="00C431EC" w:rsidP="009C0F1C">
            <w:pPr>
              <w:spacing w:after="0"/>
              <w:jc w:val="center"/>
              <w:rPr>
                <w:rFonts w:eastAsia="Verdana" w:cs="Verdana"/>
                <w:color w:val="000000"/>
                <w:szCs w:val="20"/>
              </w:rPr>
            </w:pPr>
            <w:r w:rsidRPr="4EA0D814">
              <w:rPr>
                <w:rFonts w:eastAsia="Verdana" w:cs="Verdana"/>
                <w:color w:val="000000"/>
                <w:szCs w:val="20"/>
              </w:rPr>
              <w:t>0.0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56FC7012" w14:textId="72B4CD88" w:rsidR="00C431EC" w:rsidRDefault="00C431EC" w:rsidP="009C0F1C">
            <w:pPr>
              <w:spacing w:after="0"/>
              <w:jc w:val="center"/>
              <w:rPr>
                <w:rFonts w:eastAsia="Verdana" w:cs="Verdana"/>
                <w:color w:val="000000"/>
                <w:szCs w:val="20"/>
              </w:rPr>
            </w:pPr>
            <w:r w:rsidRPr="4EA0D814">
              <w:rPr>
                <w:rFonts w:eastAsia="Verdana" w:cs="Verdana"/>
                <w:color w:val="000000"/>
                <w:szCs w:val="20"/>
              </w:rPr>
              <w:t>3.1</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1B7FD0B6" w14:textId="7263D294" w:rsidR="00C431EC" w:rsidRDefault="00C431EC" w:rsidP="009C0F1C">
            <w:pPr>
              <w:spacing w:after="0"/>
              <w:jc w:val="center"/>
              <w:rPr>
                <w:rFonts w:eastAsia="Verdana" w:cs="Verdana"/>
                <w:color w:val="000000"/>
                <w:szCs w:val="20"/>
              </w:rPr>
            </w:pPr>
            <w:r w:rsidRPr="4EA0D814">
              <w:rPr>
                <w:rFonts w:eastAsia="Verdana" w:cs="Verdana"/>
                <w:color w:val="000000"/>
                <w:szCs w:val="20"/>
              </w:rPr>
              <w:t>556.5</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1F2D664D" w14:textId="7BF1442D" w:rsidR="00C431EC" w:rsidRDefault="00C431EC" w:rsidP="009C0F1C">
            <w:pPr>
              <w:spacing w:after="0"/>
              <w:jc w:val="center"/>
              <w:rPr>
                <w:rFonts w:eastAsia="Verdana" w:cs="Verdana"/>
                <w:color w:val="000000"/>
                <w:szCs w:val="20"/>
              </w:rPr>
            </w:pPr>
            <w:r w:rsidRPr="4EA0D814">
              <w:rPr>
                <w:rFonts w:eastAsia="Verdana" w:cs="Verdana"/>
                <w:color w:val="000000"/>
                <w:szCs w:val="20"/>
              </w:rPr>
              <w:t>-72.7</w:t>
            </w:r>
          </w:p>
        </w:tc>
        <w:tc>
          <w:tcPr>
            <w:tcW w:w="51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56AF4B19" w14:textId="53184524" w:rsidR="00C431EC" w:rsidRDefault="00C431EC" w:rsidP="009C0F1C">
            <w:pPr>
              <w:spacing w:after="0"/>
              <w:jc w:val="center"/>
              <w:rPr>
                <w:rFonts w:eastAsia="Verdana" w:cs="Verdana"/>
                <w:color w:val="000000"/>
                <w:szCs w:val="20"/>
              </w:rPr>
            </w:pPr>
            <w:r w:rsidRPr="4EA0D814">
              <w:rPr>
                <w:rFonts w:eastAsia="Verdana" w:cs="Verdana"/>
                <w:color w:val="000000"/>
                <w:szCs w:val="20"/>
              </w:rPr>
              <w:t>No</w:t>
            </w:r>
          </w:p>
        </w:tc>
      </w:tr>
      <w:tr w:rsidR="00C431EC" w:rsidRPr="002D7D11" w14:paraId="294CB32E" w14:textId="77777777" w:rsidTr="005C5B3F">
        <w:trPr>
          <w:trHeight w:val="567"/>
          <w:jc w:val="center"/>
        </w:trPr>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hideMark/>
          </w:tcPr>
          <w:p w14:paraId="4E3B91A1" w14:textId="48F4ABE6" w:rsidR="00C431EC" w:rsidRPr="002D7D11" w:rsidRDefault="00C431EC" w:rsidP="00C431EC">
            <w:pPr>
              <w:spacing w:after="0"/>
              <w:jc w:val="center"/>
              <w:textAlignment w:val="baseline"/>
              <w:rPr>
                <w:rFonts w:eastAsia="Verdana" w:cs="Verdana"/>
                <w:b/>
                <w:szCs w:val="20"/>
                <w:lang w:eastAsia="en-AU"/>
              </w:rPr>
            </w:pPr>
            <w:r w:rsidRPr="4EA0D814">
              <w:rPr>
                <w:rFonts w:eastAsia="Verdana" w:cs="Verdana"/>
                <w:b/>
                <w:color w:val="000000"/>
                <w:szCs w:val="20"/>
                <w:lang w:eastAsia="en-AU"/>
              </w:rPr>
              <w:t>QLD</w:t>
            </w:r>
          </w:p>
        </w:tc>
        <w:tc>
          <w:tcPr>
            <w:tcW w:w="38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hideMark/>
          </w:tcPr>
          <w:p w14:paraId="5A250E90" w14:textId="72846B8E" w:rsidR="00C431EC" w:rsidRDefault="00C431EC" w:rsidP="009C0F1C">
            <w:pPr>
              <w:spacing w:after="0"/>
              <w:jc w:val="center"/>
              <w:rPr>
                <w:rFonts w:eastAsia="Verdana" w:cs="Verdana"/>
                <w:color w:val="000000"/>
                <w:szCs w:val="20"/>
              </w:rPr>
            </w:pPr>
            <w:r w:rsidRPr="4EA0D814">
              <w:rPr>
                <w:rFonts w:eastAsia="Verdana" w:cs="Verdana"/>
                <w:color w:val="000000"/>
                <w:szCs w:val="20"/>
              </w:rPr>
              <w:t>Moonie</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hideMark/>
          </w:tcPr>
          <w:p w14:paraId="42043F6D" w14:textId="49547003" w:rsidR="00C431EC" w:rsidRDefault="00C431EC" w:rsidP="009C0F1C">
            <w:pPr>
              <w:spacing w:after="0"/>
              <w:jc w:val="center"/>
              <w:rPr>
                <w:rFonts w:eastAsia="Verdana" w:cs="Verdana"/>
                <w:color w:val="000000"/>
                <w:szCs w:val="20"/>
              </w:rPr>
            </w:pPr>
            <w:r w:rsidRPr="4EA0D814">
              <w:rPr>
                <w:rFonts w:eastAsia="Verdana" w:cs="Verdana"/>
                <w:color w:val="000000"/>
                <w:szCs w:val="20"/>
              </w:rPr>
              <w:t>SS25</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12AED3B4" w14:textId="1C187F41" w:rsidR="00C431EC" w:rsidRDefault="00C431EC" w:rsidP="009C0F1C">
            <w:pPr>
              <w:spacing w:after="0"/>
              <w:jc w:val="center"/>
              <w:rPr>
                <w:rFonts w:eastAsia="Verdana" w:cs="Verdana"/>
                <w:color w:val="000000"/>
                <w:szCs w:val="20"/>
              </w:rPr>
            </w:pPr>
            <w:r w:rsidRPr="4EA0D814">
              <w:rPr>
                <w:rFonts w:eastAsia="Verdana" w:cs="Verdana"/>
                <w:color w:val="000000"/>
                <w:szCs w:val="20"/>
              </w:rPr>
              <w:t>89.9</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4848228D" w14:textId="35ECFFA2" w:rsidR="00C431EC" w:rsidRDefault="00C431EC" w:rsidP="009C0F1C">
            <w:pPr>
              <w:spacing w:after="0"/>
              <w:jc w:val="center"/>
              <w:rPr>
                <w:rFonts w:eastAsia="Verdana" w:cs="Verdana"/>
                <w:color w:val="000000"/>
                <w:szCs w:val="20"/>
              </w:rPr>
            </w:pPr>
            <w:r w:rsidRPr="4EA0D814">
              <w:rPr>
                <w:rFonts w:eastAsia="Verdana" w:cs="Verdana"/>
                <w:color w:val="000000"/>
                <w:szCs w:val="20"/>
              </w:rPr>
              <w:t>127.5</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2C20C833" w14:textId="0880F6F8" w:rsidR="00C431EC" w:rsidRDefault="00C431EC" w:rsidP="009C0F1C">
            <w:pPr>
              <w:spacing w:after="0"/>
              <w:jc w:val="center"/>
              <w:rPr>
                <w:rFonts w:eastAsia="Verdana" w:cs="Verdana"/>
                <w:color w:val="000000"/>
                <w:szCs w:val="20"/>
              </w:rPr>
            </w:pPr>
            <w:r w:rsidRPr="4EA0D814">
              <w:rPr>
                <w:rFonts w:eastAsia="Verdana" w:cs="Verdana"/>
                <w:color w:val="000000"/>
                <w:szCs w:val="20"/>
              </w:rPr>
              <w:t>88.6</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0A608A57" w14:textId="7E63E842" w:rsidR="00C431EC" w:rsidRDefault="00C431EC" w:rsidP="009C0F1C">
            <w:pPr>
              <w:spacing w:after="0"/>
              <w:jc w:val="center"/>
              <w:rPr>
                <w:rFonts w:eastAsia="Verdana" w:cs="Verdana"/>
                <w:color w:val="000000"/>
                <w:szCs w:val="20"/>
              </w:rPr>
            </w:pPr>
            <w:r w:rsidRPr="4EA0D814">
              <w:rPr>
                <w:rFonts w:eastAsia="Verdana" w:cs="Verdana"/>
                <w:color w:val="000000"/>
                <w:szCs w:val="20"/>
              </w:rPr>
              <w:t>38.9</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6AC4770A" w14:textId="4CC441C2" w:rsidR="00C431EC" w:rsidRDefault="00C431EC" w:rsidP="009C0F1C">
            <w:pPr>
              <w:spacing w:after="0"/>
              <w:jc w:val="center"/>
              <w:rPr>
                <w:rFonts w:eastAsia="Verdana" w:cs="Verdana"/>
                <w:color w:val="000000"/>
                <w:szCs w:val="20"/>
              </w:rPr>
            </w:pPr>
            <w:r w:rsidRPr="4EA0D814">
              <w:rPr>
                <w:rFonts w:eastAsia="Verdana" w:cs="Verdana"/>
                <w:color w:val="000000"/>
                <w:szCs w:val="20"/>
              </w:rPr>
              <w:t>185.5</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2BA261D9" w14:textId="24BD06DB" w:rsidR="00C431EC" w:rsidRDefault="00C431EC" w:rsidP="009C0F1C">
            <w:pPr>
              <w:spacing w:after="0"/>
              <w:jc w:val="center"/>
              <w:rPr>
                <w:rFonts w:eastAsia="Verdana" w:cs="Verdana"/>
                <w:color w:val="000000"/>
                <w:szCs w:val="20"/>
              </w:rPr>
            </w:pPr>
            <w:r w:rsidRPr="4EA0D814">
              <w:rPr>
                <w:rFonts w:eastAsia="Verdana" w:cs="Verdana"/>
                <w:color w:val="000000"/>
                <w:szCs w:val="20"/>
              </w:rPr>
              <w:t>224.4</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7B829C1C" w14:textId="558E8B69" w:rsidR="00C431EC" w:rsidRDefault="00C431EC" w:rsidP="009C0F1C">
            <w:pPr>
              <w:spacing w:after="0"/>
              <w:jc w:val="center"/>
              <w:rPr>
                <w:rFonts w:eastAsia="Verdana" w:cs="Verdana"/>
                <w:color w:val="000000"/>
                <w:szCs w:val="20"/>
              </w:rPr>
            </w:pPr>
            <w:r w:rsidRPr="4EA0D814">
              <w:rPr>
                <w:rFonts w:eastAsia="Verdana" w:cs="Verdana"/>
                <w:color w:val="000000"/>
                <w:szCs w:val="20"/>
              </w:rPr>
              <w:t>0.0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64AF48F5" w14:textId="7DF036DF" w:rsidR="00C431EC" w:rsidRDefault="00C431EC" w:rsidP="009C0F1C">
            <w:pPr>
              <w:spacing w:after="0"/>
              <w:jc w:val="center"/>
              <w:rPr>
                <w:rFonts w:eastAsia="Verdana" w:cs="Verdana"/>
                <w:color w:val="000000"/>
                <w:szCs w:val="20"/>
              </w:rPr>
            </w:pPr>
            <w:r w:rsidRPr="4EA0D814">
              <w:rPr>
                <w:rFonts w:eastAsia="Verdana" w:cs="Verdana"/>
                <w:color w:val="000000"/>
                <w:szCs w:val="20"/>
              </w:rPr>
              <w:t>28.2</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167C0263" w14:textId="4C025D6A" w:rsidR="00C431EC" w:rsidRDefault="00C431EC" w:rsidP="009C0F1C">
            <w:pPr>
              <w:spacing w:after="0"/>
              <w:jc w:val="center"/>
              <w:rPr>
                <w:rFonts w:eastAsia="Verdana" w:cs="Verdana"/>
                <w:color w:val="000000"/>
                <w:szCs w:val="20"/>
              </w:rPr>
            </w:pPr>
            <w:r w:rsidRPr="4EA0D814">
              <w:rPr>
                <w:rFonts w:eastAsia="Verdana" w:cs="Verdana"/>
                <w:color w:val="000000"/>
                <w:szCs w:val="20"/>
              </w:rPr>
              <w:t>252.6</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0273F390" w14:textId="50200415" w:rsidR="00C431EC" w:rsidRDefault="00C431EC" w:rsidP="009C0F1C">
            <w:pPr>
              <w:spacing w:after="0"/>
              <w:jc w:val="center"/>
              <w:rPr>
                <w:rFonts w:eastAsia="Verdana" w:cs="Verdana"/>
                <w:color w:val="000000"/>
                <w:szCs w:val="20"/>
              </w:rPr>
            </w:pPr>
            <w:r w:rsidRPr="4EA0D814">
              <w:rPr>
                <w:rFonts w:eastAsia="Verdana" w:cs="Verdana"/>
                <w:color w:val="000000"/>
                <w:szCs w:val="20"/>
              </w:rPr>
              <w:t>-18.0</w:t>
            </w:r>
          </w:p>
        </w:tc>
        <w:tc>
          <w:tcPr>
            <w:tcW w:w="51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33B103D9" w14:textId="0836693C" w:rsidR="00C431EC" w:rsidRDefault="00C431EC" w:rsidP="009C0F1C">
            <w:pPr>
              <w:spacing w:after="0"/>
              <w:jc w:val="center"/>
              <w:rPr>
                <w:rFonts w:eastAsia="Verdana" w:cs="Verdana"/>
                <w:color w:val="000000"/>
                <w:szCs w:val="20"/>
              </w:rPr>
            </w:pPr>
            <w:r w:rsidRPr="4EA0D814">
              <w:rPr>
                <w:rFonts w:eastAsia="Verdana" w:cs="Verdana"/>
                <w:color w:val="000000"/>
                <w:szCs w:val="20"/>
              </w:rPr>
              <w:t>No</w:t>
            </w:r>
          </w:p>
        </w:tc>
      </w:tr>
      <w:tr w:rsidR="00200336" w:rsidRPr="002D7D11" w14:paraId="598031C2" w14:textId="77777777" w:rsidTr="00E07E59">
        <w:trPr>
          <w:trHeight w:val="567"/>
          <w:jc w:val="center"/>
        </w:trPr>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hideMark/>
          </w:tcPr>
          <w:p w14:paraId="7E82C207" w14:textId="6D736F0B" w:rsidR="00C431EC" w:rsidRPr="002D7D11" w:rsidRDefault="00C431EC" w:rsidP="00C431EC">
            <w:pPr>
              <w:spacing w:after="0"/>
              <w:jc w:val="center"/>
              <w:textAlignment w:val="baseline"/>
              <w:rPr>
                <w:rFonts w:eastAsia="Verdana" w:cs="Verdana"/>
                <w:b/>
                <w:szCs w:val="20"/>
                <w:lang w:eastAsia="en-AU"/>
              </w:rPr>
            </w:pPr>
            <w:r w:rsidRPr="4EA0D814">
              <w:rPr>
                <w:rFonts w:eastAsia="Verdana" w:cs="Verdana"/>
                <w:b/>
                <w:color w:val="000000"/>
                <w:szCs w:val="20"/>
                <w:lang w:eastAsia="en-AU"/>
              </w:rPr>
              <w:t>QLD</w:t>
            </w:r>
          </w:p>
        </w:tc>
        <w:tc>
          <w:tcPr>
            <w:tcW w:w="38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hideMark/>
          </w:tcPr>
          <w:p w14:paraId="09981501" w14:textId="7F2C5C8F" w:rsidR="00C431EC" w:rsidRDefault="00C431EC" w:rsidP="009C0F1C">
            <w:pPr>
              <w:spacing w:after="0"/>
              <w:jc w:val="center"/>
              <w:rPr>
                <w:rFonts w:eastAsia="Verdana" w:cs="Verdana"/>
                <w:color w:val="000000"/>
                <w:szCs w:val="20"/>
              </w:rPr>
            </w:pPr>
            <w:r w:rsidRPr="4EA0D814">
              <w:rPr>
                <w:rFonts w:eastAsia="Verdana" w:cs="Verdana"/>
                <w:color w:val="000000"/>
                <w:szCs w:val="20"/>
              </w:rPr>
              <w:t>Condamine-Balonne</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hideMark/>
          </w:tcPr>
          <w:p w14:paraId="2C4E8201" w14:textId="2EAFE047" w:rsidR="00C431EC" w:rsidRDefault="00C431EC" w:rsidP="009C0F1C">
            <w:pPr>
              <w:spacing w:after="0"/>
              <w:jc w:val="center"/>
              <w:rPr>
                <w:rFonts w:eastAsia="Verdana" w:cs="Verdana"/>
                <w:color w:val="000000"/>
                <w:szCs w:val="20"/>
              </w:rPr>
            </w:pPr>
            <w:r w:rsidRPr="4EA0D814">
              <w:rPr>
                <w:rFonts w:eastAsia="Verdana" w:cs="Verdana"/>
                <w:color w:val="000000"/>
                <w:szCs w:val="20"/>
              </w:rPr>
              <w:t>SS26</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49D89396" w14:textId="658C4E0E" w:rsidR="00C431EC" w:rsidRDefault="00C431EC" w:rsidP="009C0F1C">
            <w:pPr>
              <w:spacing w:after="0"/>
              <w:jc w:val="center"/>
              <w:rPr>
                <w:rFonts w:eastAsia="Verdana" w:cs="Verdana"/>
                <w:color w:val="000000"/>
                <w:szCs w:val="20"/>
              </w:rPr>
            </w:pPr>
            <w:r w:rsidRPr="4EA0D814">
              <w:rPr>
                <w:rFonts w:eastAsia="Verdana" w:cs="Verdana"/>
                <w:color w:val="000000"/>
                <w:szCs w:val="20"/>
              </w:rPr>
              <w:t>919.0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608E51B7" w14:textId="564676AE" w:rsidR="00C431EC" w:rsidRDefault="00C431EC" w:rsidP="009C0F1C">
            <w:pPr>
              <w:spacing w:after="0"/>
              <w:jc w:val="center"/>
              <w:rPr>
                <w:rFonts w:eastAsia="Verdana" w:cs="Verdana"/>
                <w:color w:val="000000"/>
                <w:szCs w:val="20"/>
              </w:rPr>
            </w:pPr>
            <w:r w:rsidRPr="4EA0D814">
              <w:rPr>
                <w:rFonts w:eastAsia="Verdana" w:cs="Verdana"/>
                <w:color w:val="000000"/>
                <w:szCs w:val="20"/>
              </w:rPr>
              <w:t>847.3</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227F5033" w14:textId="47F32D09" w:rsidR="00C431EC" w:rsidRDefault="00C431EC" w:rsidP="009C0F1C">
            <w:pPr>
              <w:spacing w:after="0"/>
              <w:jc w:val="center"/>
              <w:rPr>
                <w:rFonts w:eastAsia="Verdana" w:cs="Verdana"/>
                <w:color w:val="000000"/>
                <w:szCs w:val="20"/>
              </w:rPr>
            </w:pPr>
            <w:r w:rsidRPr="4EA0D814">
              <w:rPr>
                <w:rFonts w:eastAsia="Verdana" w:cs="Verdana"/>
                <w:color w:val="000000"/>
                <w:szCs w:val="20"/>
              </w:rPr>
              <w:t>831.3</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43CB3B1F" w14:textId="6779C4AF" w:rsidR="00C431EC" w:rsidRDefault="00C431EC" w:rsidP="009C0F1C">
            <w:pPr>
              <w:spacing w:after="0"/>
              <w:jc w:val="center"/>
              <w:rPr>
                <w:rFonts w:eastAsia="Verdana" w:cs="Verdana"/>
                <w:color w:val="000000"/>
                <w:szCs w:val="20"/>
              </w:rPr>
            </w:pPr>
            <w:r w:rsidRPr="4EA0D814">
              <w:rPr>
                <w:rFonts w:eastAsia="Verdana" w:cs="Verdana"/>
                <w:color w:val="000000"/>
                <w:szCs w:val="20"/>
              </w:rPr>
              <w:t>16.1</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73B5596E" w14:textId="189D3E38" w:rsidR="00C431EC" w:rsidRDefault="00C431EC" w:rsidP="009C0F1C">
            <w:pPr>
              <w:spacing w:after="0"/>
              <w:jc w:val="center"/>
              <w:rPr>
                <w:rFonts w:eastAsia="Verdana" w:cs="Verdana"/>
                <w:color w:val="000000"/>
                <w:szCs w:val="20"/>
              </w:rPr>
            </w:pPr>
            <w:r w:rsidRPr="4EA0D814">
              <w:rPr>
                <w:rFonts w:eastAsia="Verdana" w:cs="Verdana"/>
                <w:color w:val="000000"/>
                <w:szCs w:val="20"/>
              </w:rPr>
              <w:t>578.6</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41B40ACB" w14:textId="1D55DA08" w:rsidR="00C431EC" w:rsidRDefault="00C431EC" w:rsidP="009C0F1C">
            <w:pPr>
              <w:spacing w:after="0"/>
              <w:jc w:val="center"/>
              <w:rPr>
                <w:rFonts w:eastAsia="Verdana" w:cs="Verdana"/>
                <w:color w:val="000000"/>
                <w:szCs w:val="20"/>
              </w:rPr>
            </w:pPr>
            <w:r w:rsidRPr="4EA0D814">
              <w:rPr>
                <w:rFonts w:eastAsia="Verdana" w:cs="Verdana"/>
                <w:color w:val="000000"/>
                <w:szCs w:val="20"/>
              </w:rPr>
              <w:t>594.7</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02519C2B" w14:textId="6ADB63EE" w:rsidR="00C431EC" w:rsidRDefault="00C431EC" w:rsidP="009C0F1C">
            <w:pPr>
              <w:spacing w:after="0"/>
              <w:jc w:val="center"/>
              <w:rPr>
                <w:rFonts w:eastAsia="Verdana" w:cs="Verdana"/>
                <w:color w:val="000000"/>
                <w:szCs w:val="20"/>
              </w:rPr>
            </w:pPr>
            <w:r w:rsidRPr="4EA0D814">
              <w:rPr>
                <w:rFonts w:eastAsia="Verdana" w:cs="Verdana"/>
                <w:color w:val="000000"/>
                <w:szCs w:val="20"/>
              </w:rPr>
              <w:t>16.1</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18F1F43C" w14:textId="75DB9ADA" w:rsidR="00C431EC" w:rsidRDefault="00C431EC" w:rsidP="009C0F1C">
            <w:pPr>
              <w:spacing w:after="0"/>
              <w:jc w:val="center"/>
              <w:rPr>
                <w:rFonts w:eastAsia="Verdana" w:cs="Verdana"/>
                <w:color w:val="000000"/>
                <w:szCs w:val="20"/>
              </w:rPr>
            </w:pPr>
            <w:r w:rsidRPr="4EA0D814">
              <w:rPr>
                <w:rFonts w:eastAsia="Verdana" w:cs="Verdana"/>
                <w:color w:val="000000"/>
                <w:szCs w:val="20"/>
              </w:rPr>
              <w:t>113.2</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577FE7FE" w14:textId="0CA12A43" w:rsidR="00C431EC" w:rsidRDefault="00C431EC" w:rsidP="009C0F1C">
            <w:pPr>
              <w:spacing w:after="0"/>
              <w:jc w:val="center"/>
              <w:rPr>
                <w:rFonts w:eastAsia="Verdana" w:cs="Verdana"/>
                <w:color w:val="000000"/>
                <w:szCs w:val="20"/>
              </w:rPr>
            </w:pPr>
            <w:r w:rsidRPr="4EA0D814">
              <w:rPr>
                <w:rFonts w:eastAsia="Verdana" w:cs="Verdana"/>
                <w:color w:val="000000"/>
                <w:szCs w:val="20"/>
              </w:rPr>
              <w:t>724.0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594DE81B" w14:textId="748F44D8" w:rsidR="00C431EC" w:rsidRDefault="00C431EC" w:rsidP="009C0F1C">
            <w:pPr>
              <w:spacing w:after="0"/>
              <w:jc w:val="center"/>
              <w:rPr>
                <w:rFonts w:eastAsia="Verdana" w:cs="Verdana"/>
                <w:color w:val="000000"/>
                <w:szCs w:val="20"/>
              </w:rPr>
            </w:pPr>
            <w:r w:rsidRPr="4EA0D814">
              <w:rPr>
                <w:rFonts w:eastAsia="Verdana" w:cs="Verdana"/>
                <w:color w:val="000000"/>
                <w:szCs w:val="20"/>
              </w:rPr>
              <w:t>-183.8</w:t>
            </w:r>
          </w:p>
        </w:tc>
        <w:tc>
          <w:tcPr>
            <w:tcW w:w="51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06B75F9C" w14:textId="7D48922E" w:rsidR="00C431EC" w:rsidRDefault="00C431EC" w:rsidP="009C0F1C">
            <w:pPr>
              <w:spacing w:after="0"/>
              <w:jc w:val="center"/>
              <w:rPr>
                <w:rFonts w:eastAsia="Verdana" w:cs="Verdana"/>
                <w:color w:val="000000"/>
                <w:szCs w:val="20"/>
              </w:rPr>
            </w:pPr>
            <w:r w:rsidRPr="4EA0D814">
              <w:rPr>
                <w:rFonts w:eastAsia="Verdana" w:cs="Verdana"/>
                <w:color w:val="000000"/>
                <w:szCs w:val="20"/>
              </w:rPr>
              <w:t>No</w:t>
            </w:r>
          </w:p>
        </w:tc>
      </w:tr>
      <w:tr w:rsidR="00C431EC" w:rsidRPr="002D7D11" w14:paraId="4F9259ED" w14:textId="77777777" w:rsidTr="005C5B3F">
        <w:trPr>
          <w:trHeight w:val="567"/>
          <w:jc w:val="center"/>
        </w:trPr>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hideMark/>
          </w:tcPr>
          <w:p w14:paraId="2601B4AC" w14:textId="0077E6B2" w:rsidR="00C431EC" w:rsidRPr="002D7D11" w:rsidRDefault="00C431EC" w:rsidP="00C431EC">
            <w:pPr>
              <w:spacing w:after="0"/>
              <w:jc w:val="center"/>
              <w:textAlignment w:val="baseline"/>
              <w:rPr>
                <w:rFonts w:eastAsia="Verdana" w:cs="Verdana"/>
                <w:b/>
                <w:szCs w:val="20"/>
                <w:lang w:eastAsia="en-AU"/>
              </w:rPr>
            </w:pPr>
            <w:r w:rsidRPr="4EA0D814">
              <w:rPr>
                <w:rFonts w:eastAsia="Verdana" w:cs="Verdana"/>
                <w:b/>
                <w:color w:val="000000"/>
                <w:szCs w:val="20"/>
                <w:lang w:eastAsia="en-AU"/>
              </w:rPr>
              <w:t>QLD</w:t>
            </w:r>
          </w:p>
        </w:tc>
        <w:tc>
          <w:tcPr>
            <w:tcW w:w="38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hideMark/>
          </w:tcPr>
          <w:p w14:paraId="3A2043A9" w14:textId="5C2B7F54" w:rsidR="00C431EC" w:rsidRDefault="00C431EC" w:rsidP="009C0F1C">
            <w:pPr>
              <w:spacing w:after="0"/>
              <w:jc w:val="center"/>
              <w:rPr>
                <w:rFonts w:eastAsia="Verdana" w:cs="Verdana"/>
                <w:color w:val="000000"/>
                <w:szCs w:val="20"/>
              </w:rPr>
            </w:pPr>
            <w:r w:rsidRPr="4EA0D814">
              <w:rPr>
                <w:rFonts w:eastAsia="Verdana" w:cs="Verdana"/>
                <w:color w:val="000000"/>
                <w:szCs w:val="20"/>
              </w:rPr>
              <w:t>Nebine</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hideMark/>
          </w:tcPr>
          <w:p w14:paraId="4A4A1497" w14:textId="078999BA" w:rsidR="00C431EC" w:rsidRDefault="00C431EC" w:rsidP="009C0F1C">
            <w:pPr>
              <w:spacing w:after="0"/>
              <w:jc w:val="center"/>
              <w:rPr>
                <w:rFonts w:eastAsia="Verdana" w:cs="Verdana"/>
                <w:color w:val="000000"/>
                <w:szCs w:val="20"/>
              </w:rPr>
            </w:pPr>
            <w:r w:rsidRPr="4EA0D814">
              <w:rPr>
                <w:rFonts w:eastAsia="Verdana" w:cs="Verdana"/>
                <w:color w:val="000000"/>
                <w:szCs w:val="20"/>
              </w:rPr>
              <w:t>SS27</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7D2DE830" w14:textId="4755E669" w:rsidR="00C431EC" w:rsidRDefault="00C431EC" w:rsidP="009C0F1C">
            <w:pPr>
              <w:spacing w:after="0"/>
              <w:jc w:val="center"/>
              <w:rPr>
                <w:rFonts w:eastAsia="Verdana" w:cs="Verdana"/>
                <w:color w:val="000000"/>
                <w:szCs w:val="20"/>
              </w:rPr>
            </w:pPr>
            <w:r w:rsidRPr="4EA0D814">
              <w:rPr>
                <w:rFonts w:eastAsia="Verdana" w:cs="Verdana"/>
                <w:color w:val="000000"/>
                <w:szCs w:val="20"/>
              </w:rPr>
              <w:t>17.1</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0586692C" w14:textId="0DB6495D" w:rsidR="00C431EC" w:rsidRDefault="00C431EC" w:rsidP="009C0F1C">
            <w:pPr>
              <w:spacing w:after="0"/>
              <w:jc w:val="center"/>
              <w:rPr>
                <w:rFonts w:eastAsia="Verdana" w:cs="Verdana"/>
                <w:color w:val="000000"/>
                <w:szCs w:val="20"/>
              </w:rPr>
            </w:pPr>
            <w:r w:rsidRPr="4EA0D814">
              <w:rPr>
                <w:rFonts w:eastAsia="Verdana" w:cs="Verdana"/>
                <w:color w:val="000000"/>
                <w:szCs w:val="20"/>
              </w:rPr>
              <w:t>18.9</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3E8BE97D" w14:textId="4895A404" w:rsidR="00C431EC" w:rsidRDefault="00C431EC" w:rsidP="009C0F1C">
            <w:pPr>
              <w:spacing w:after="0"/>
              <w:jc w:val="center"/>
              <w:rPr>
                <w:rFonts w:eastAsia="Verdana" w:cs="Verdana"/>
                <w:color w:val="000000"/>
                <w:szCs w:val="20"/>
              </w:rPr>
            </w:pPr>
            <w:r w:rsidRPr="4EA0D814">
              <w:rPr>
                <w:rFonts w:eastAsia="Verdana" w:cs="Verdana"/>
                <w:color w:val="000000"/>
                <w:szCs w:val="20"/>
              </w:rPr>
              <w:t>14.2</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634C5459" w14:textId="7BBA2E96" w:rsidR="00C431EC" w:rsidRDefault="00C431EC" w:rsidP="009C0F1C">
            <w:pPr>
              <w:spacing w:after="0"/>
              <w:jc w:val="center"/>
              <w:rPr>
                <w:rFonts w:eastAsia="Verdana" w:cs="Verdana"/>
                <w:color w:val="000000"/>
                <w:szCs w:val="20"/>
              </w:rPr>
            </w:pPr>
            <w:r w:rsidRPr="4EA0D814">
              <w:rPr>
                <w:rFonts w:eastAsia="Verdana" w:cs="Verdana"/>
                <w:color w:val="000000"/>
                <w:szCs w:val="20"/>
              </w:rPr>
              <w:t>4.6</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40F9B931" w14:textId="4D54CCA5" w:rsidR="00C431EC" w:rsidRDefault="00C431EC" w:rsidP="009C0F1C">
            <w:pPr>
              <w:spacing w:after="0"/>
              <w:jc w:val="center"/>
              <w:rPr>
                <w:rFonts w:eastAsia="Verdana" w:cs="Verdana"/>
                <w:color w:val="000000"/>
                <w:szCs w:val="20"/>
              </w:rPr>
            </w:pPr>
            <w:r w:rsidRPr="4EA0D814">
              <w:rPr>
                <w:rFonts w:eastAsia="Verdana" w:cs="Verdana"/>
                <w:color w:val="000000"/>
                <w:szCs w:val="20"/>
              </w:rPr>
              <w:t>18.2</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201C762B" w14:textId="3D7CB146" w:rsidR="00C431EC" w:rsidRDefault="00C431EC" w:rsidP="009C0F1C">
            <w:pPr>
              <w:spacing w:after="0"/>
              <w:jc w:val="center"/>
              <w:rPr>
                <w:rFonts w:eastAsia="Verdana" w:cs="Verdana"/>
                <w:color w:val="000000"/>
                <w:szCs w:val="20"/>
              </w:rPr>
            </w:pPr>
            <w:r w:rsidRPr="4EA0D814">
              <w:rPr>
                <w:rFonts w:eastAsia="Verdana" w:cs="Verdana"/>
                <w:color w:val="000000"/>
                <w:szCs w:val="20"/>
              </w:rPr>
              <w:t>22.8</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4BA7E9C5" w14:textId="4C33B7AB" w:rsidR="00C431EC" w:rsidRDefault="00C431EC" w:rsidP="009C0F1C">
            <w:pPr>
              <w:spacing w:after="0"/>
              <w:jc w:val="center"/>
              <w:rPr>
                <w:rFonts w:eastAsia="Verdana" w:cs="Verdana"/>
                <w:color w:val="000000"/>
                <w:szCs w:val="20"/>
              </w:rPr>
            </w:pPr>
            <w:r w:rsidRPr="4EA0D814">
              <w:rPr>
                <w:rFonts w:eastAsia="Verdana" w:cs="Verdana"/>
                <w:color w:val="000000"/>
                <w:szCs w:val="20"/>
              </w:rPr>
              <w:t>0.0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75F12DD3" w14:textId="4907760F" w:rsidR="00C431EC" w:rsidRDefault="00C431EC" w:rsidP="009C0F1C">
            <w:pPr>
              <w:spacing w:after="0"/>
              <w:jc w:val="center"/>
              <w:rPr>
                <w:rFonts w:eastAsia="Verdana" w:cs="Verdana"/>
                <w:color w:val="000000"/>
                <w:szCs w:val="20"/>
              </w:rPr>
            </w:pPr>
            <w:r w:rsidRPr="4EA0D814">
              <w:rPr>
                <w:rFonts w:eastAsia="Verdana" w:cs="Verdana"/>
                <w:color w:val="000000"/>
                <w:szCs w:val="20"/>
              </w:rPr>
              <w:t>0.0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67DF1AC9" w14:textId="2C0B76BD" w:rsidR="00C431EC" w:rsidRDefault="00C431EC" w:rsidP="009C0F1C">
            <w:pPr>
              <w:spacing w:after="0"/>
              <w:jc w:val="center"/>
              <w:rPr>
                <w:rFonts w:eastAsia="Verdana" w:cs="Verdana"/>
                <w:color w:val="000000"/>
                <w:szCs w:val="20"/>
              </w:rPr>
            </w:pPr>
            <w:r w:rsidRPr="4EA0D814">
              <w:rPr>
                <w:rFonts w:eastAsia="Verdana" w:cs="Verdana"/>
                <w:color w:val="000000"/>
                <w:szCs w:val="20"/>
              </w:rPr>
              <w:t>22.8</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249588F0" w14:textId="7020F6CF" w:rsidR="00C431EC" w:rsidRDefault="00C431EC" w:rsidP="009C0F1C">
            <w:pPr>
              <w:spacing w:after="0"/>
              <w:jc w:val="center"/>
              <w:rPr>
                <w:rFonts w:eastAsia="Verdana" w:cs="Verdana"/>
                <w:color w:val="000000"/>
                <w:szCs w:val="20"/>
              </w:rPr>
            </w:pPr>
            <w:r w:rsidRPr="4EA0D814">
              <w:rPr>
                <w:rFonts w:eastAsia="Verdana" w:cs="Verdana"/>
                <w:color w:val="000000"/>
                <w:szCs w:val="20"/>
              </w:rPr>
              <w:t>-3.4</w:t>
            </w:r>
          </w:p>
        </w:tc>
        <w:tc>
          <w:tcPr>
            <w:tcW w:w="51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32AC7E60" w14:textId="219C74EE" w:rsidR="00C431EC" w:rsidRDefault="00C431EC" w:rsidP="009C0F1C">
            <w:pPr>
              <w:spacing w:after="0"/>
              <w:jc w:val="center"/>
              <w:rPr>
                <w:rFonts w:eastAsia="Verdana" w:cs="Verdana"/>
                <w:color w:val="000000"/>
                <w:szCs w:val="20"/>
              </w:rPr>
            </w:pPr>
            <w:r w:rsidRPr="4EA0D814">
              <w:rPr>
                <w:rFonts w:eastAsia="Verdana" w:cs="Verdana"/>
                <w:color w:val="000000"/>
                <w:szCs w:val="20"/>
              </w:rPr>
              <w:t>No</w:t>
            </w:r>
          </w:p>
        </w:tc>
      </w:tr>
      <w:tr w:rsidR="00200336" w:rsidRPr="002D7D11" w14:paraId="78A0E668" w14:textId="77777777" w:rsidTr="00E07E59">
        <w:trPr>
          <w:trHeight w:val="567"/>
          <w:jc w:val="center"/>
        </w:trPr>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hideMark/>
          </w:tcPr>
          <w:p w14:paraId="3C90C67E" w14:textId="12D9EB25" w:rsidR="00C431EC" w:rsidRPr="002D7D11" w:rsidRDefault="00C431EC" w:rsidP="00C431EC">
            <w:pPr>
              <w:spacing w:after="0"/>
              <w:jc w:val="center"/>
              <w:textAlignment w:val="baseline"/>
              <w:rPr>
                <w:rFonts w:eastAsia="Verdana" w:cs="Verdana"/>
                <w:b/>
                <w:szCs w:val="20"/>
                <w:lang w:eastAsia="en-AU"/>
              </w:rPr>
            </w:pPr>
            <w:r w:rsidRPr="4EA0D814">
              <w:rPr>
                <w:rFonts w:eastAsia="Verdana" w:cs="Verdana"/>
                <w:b/>
                <w:color w:val="000000"/>
                <w:szCs w:val="20"/>
                <w:lang w:eastAsia="en-AU"/>
              </w:rPr>
              <w:t>QLD</w:t>
            </w:r>
          </w:p>
        </w:tc>
        <w:tc>
          <w:tcPr>
            <w:tcW w:w="38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hideMark/>
          </w:tcPr>
          <w:p w14:paraId="342F992D" w14:textId="174F5720" w:rsidR="00C431EC" w:rsidRDefault="00C431EC" w:rsidP="009C0F1C">
            <w:pPr>
              <w:spacing w:after="0"/>
              <w:jc w:val="center"/>
              <w:rPr>
                <w:rFonts w:eastAsia="Verdana" w:cs="Verdana"/>
                <w:color w:val="000000"/>
                <w:szCs w:val="20"/>
              </w:rPr>
            </w:pPr>
            <w:r w:rsidRPr="4EA0D814">
              <w:rPr>
                <w:rFonts w:eastAsia="Verdana" w:cs="Verdana"/>
                <w:color w:val="000000"/>
                <w:szCs w:val="20"/>
              </w:rPr>
              <w:t>Warrego</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hideMark/>
          </w:tcPr>
          <w:p w14:paraId="03C8A5CC" w14:textId="02241B68" w:rsidR="00C431EC" w:rsidRDefault="00C431EC" w:rsidP="009C0F1C">
            <w:pPr>
              <w:spacing w:after="0"/>
              <w:jc w:val="center"/>
              <w:rPr>
                <w:rFonts w:eastAsia="Verdana" w:cs="Verdana"/>
                <w:color w:val="000000"/>
                <w:szCs w:val="20"/>
              </w:rPr>
            </w:pPr>
            <w:r w:rsidRPr="4EA0D814">
              <w:rPr>
                <w:rFonts w:eastAsia="Verdana" w:cs="Verdana"/>
                <w:color w:val="000000"/>
                <w:szCs w:val="20"/>
              </w:rPr>
              <w:t>SS28</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62CB4FFC" w14:textId="58413B2E" w:rsidR="00C431EC" w:rsidRDefault="00C431EC" w:rsidP="009C0F1C">
            <w:pPr>
              <w:spacing w:after="0"/>
              <w:jc w:val="center"/>
              <w:rPr>
                <w:rFonts w:eastAsia="Verdana" w:cs="Verdana"/>
                <w:color w:val="000000"/>
                <w:szCs w:val="20"/>
              </w:rPr>
            </w:pPr>
            <w:r w:rsidRPr="4EA0D814">
              <w:rPr>
                <w:rFonts w:eastAsia="Verdana" w:cs="Verdana"/>
                <w:color w:val="000000"/>
                <w:szCs w:val="20"/>
              </w:rPr>
              <w:t>55.5</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7FCDA220" w14:textId="3E08A503" w:rsidR="00C431EC" w:rsidRDefault="00C431EC" w:rsidP="009C0F1C">
            <w:pPr>
              <w:spacing w:after="0"/>
              <w:jc w:val="center"/>
              <w:rPr>
                <w:rFonts w:eastAsia="Verdana" w:cs="Verdana"/>
                <w:color w:val="000000"/>
                <w:szCs w:val="20"/>
              </w:rPr>
            </w:pPr>
            <w:r w:rsidRPr="4EA0D814">
              <w:rPr>
                <w:rFonts w:eastAsia="Verdana" w:cs="Verdana"/>
                <w:color w:val="000000"/>
                <w:szCs w:val="20"/>
              </w:rPr>
              <w:t>73.2</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549C3FD7" w14:textId="21C21FCB" w:rsidR="00C431EC" w:rsidRDefault="00C431EC" w:rsidP="009C0F1C">
            <w:pPr>
              <w:spacing w:after="0"/>
              <w:jc w:val="center"/>
              <w:rPr>
                <w:rFonts w:eastAsia="Verdana" w:cs="Verdana"/>
                <w:color w:val="000000"/>
                <w:szCs w:val="20"/>
              </w:rPr>
            </w:pPr>
            <w:r w:rsidRPr="4EA0D814">
              <w:rPr>
                <w:rFonts w:eastAsia="Verdana" w:cs="Verdana"/>
                <w:color w:val="000000"/>
                <w:szCs w:val="20"/>
              </w:rPr>
              <w:t>41.0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182156ED" w14:textId="197B1B29" w:rsidR="00C431EC" w:rsidRDefault="00C431EC" w:rsidP="009C0F1C">
            <w:pPr>
              <w:spacing w:after="0"/>
              <w:jc w:val="center"/>
              <w:rPr>
                <w:rFonts w:eastAsia="Verdana" w:cs="Verdana"/>
                <w:color w:val="000000"/>
                <w:szCs w:val="20"/>
              </w:rPr>
            </w:pPr>
            <w:r w:rsidRPr="4EA0D814">
              <w:rPr>
                <w:rFonts w:eastAsia="Verdana" w:cs="Verdana"/>
                <w:color w:val="000000"/>
                <w:szCs w:val="20"/>
              </w:rPr>
              <w:t>32.2</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16537EBA" w14:textId="2C992704" w:rsidR="00C431EC" w:rsidRDefault="00C431EC" w:rsidP="009C0F1C">
            <w:pPr>
              <w:spacing w:after="0"/>
              <w:jc w:val="center"/>
              <w:rPr>
                <w:rFonts w:eastAsia="Verdana" w:cs="Verdana"/>
                <w:color w:val="000000"/>
                <w:szCs w:val="20"/>
              </w:rPr>
            </w:pPr>
            <w:r w:rsidRPr="4EA0D814">
              <w:rPr>
                <w:rFonts w:eastAsia="Verdana" w:cs="Verdana"/>
                <w:color w:val="000000"/>
                <w:szCs w:val="20"/>
              </w:rPr>
              <w:t>104.0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1587C6D5" w14:textId="13E16489" w:rsidR="00C431EC" w:rsidRDefault="00C431EC" w:rsidP="009C0F1C">
            <w:pPr>
              <w:spacing w:after="0"/>
              <w:jc w:val="center"/>
              <w:rPr>
                <w:rFonts w:eastAsia="Verdana" w:cs="Verdana"/>
                <w:color w:val="000000"/>
                <w:szCs w:val="20"/>
              </w:rPr>
            </w:pPr>
            <w:r w:rsidRPr="4EA0D814">
              <w:rPr>
                <w:rFonts w:eastAsia="Verdana" w:cs="Verdana"/>
                <w:color w:val="000000"/>
                <w:szCs w:val="20"/>
              </w:rPr>
              <w:t>136.3</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2AA52009" w14:textId="5CDA5B49" w:rsidR="00C431EC" w:rsidRDefault="00C431EC" w:rsidP="009C0F1C">
            <w:pPr>
              <w:spacing w:after="0"/>
              <w:jc w:val="center"/>
              <w:rPr>
                <w:rFonts w:eastAsia="Verdana" w:cs="Verdana"/>
                <w:color w:val="000000"/>
                <w:szCs w:val="20"/>
              </w:rPr>
            </w:pPr>
            <w:r w:rsidRPr="4EA0D814">
              <w:rPr>
                <w:rFonts w:eastAsia="Verdana" w:cs="Verdana"/>
                <w:color w:val="000000"/>
                <w:szCs w:val="20"/>
              </w:rPr>
              <w:t>0.0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7F9123CB" w14:textId="09649C95" w:rsidR="00C431EC" w:rsidRDefault="00C431EC" w:rsidP="009C0F1C">
            <w:pPr>
              <w:spacing w:after="0"/>
              <w:jc w:val="center"/>
              <w:rPr>
                <w:rFonts w:eastAsia="Verdana" w:cs="Verdana"/>
                <w:color w:val="000000"/>
                <w:szCs w:val="20"/>
              </w:rPr>
            </w:pPr>
            <w:r w:rsidRPr="4EA0D814">
              <w:rPr>
                <w:rFonts w:eastAsia="Verdana" w:cs="Verdana"/>
                <w:color w:val="000000"/>
                <w:szCs w:val="20"/>
              </w:rPr>
              <w:t>0.0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7CCB3499" w14:textId="1E82DD77" w:rsidR="00C431EC" w:rsidRDefault="00C431EC" w:rsidP="009C0F1C">
            <w:pPr>
              <w:spacing w:after="0"/>
              <w:jc w:val="center"/>
              <w:rPr>
                <w:rFonts w:eastAsia="Verdana" w:cs="Verdana"/>
                <w:color w:val="000000"/>
                <w:szCs w:val="20"/>
              </w:rPr>
            </w:pPr>
            <w:r w:rsidRPr="4EA0D814">
              <w:rPr>
                <w:rFonts w:eastAsia="Verdana" w:cs="Verdana"/>
                <w:color w:val="000000"/>
                <w:szCs w:val="20"/>
              </w:rPr>
              <w:t>136.3</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65820DCE" w14:textId="04A8A1D2" w:rsidR="00C431EC" w:rsidRDefault="00C431EC" w:rsidP="009C0F1C">
            <w:pPr>
              <w:spacing w:after="0"/>
              <w:jc w:val="center"/>
              <w:rPr>
                <w:rFonts w:eastAsia="Verdana" w:cs="Verdana"/>
                <w:color w:val="000000"/>
                <w:szCs w:val="20"/>
              </w:rPr>
            </w:pPr>
            <w:r w:rsidRPr="4EA0D814">
              <w:rPr>
                <w:rFonts w:eastAsia="Verdana" w:cs="Verdana"/>
                <w:color w:val="000000"/>
                <w:szCs w:val="20"/>
              </w:rPr>
              <w:t>-11.1</w:t>
            </w:r>
          </w:p>
        </w:tc>
        <w:tc>
          <w:tcPr>
            <w:tcW w:w="51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accent1" w:themeFillTint="33"/>
          </w:tcPr>
          <w:p w14:paraId="06510E21" w14:textId="0B57FF17" w:rsidR="00C431EC" w:rsidRDefault="00C431EC" w:rsidP="009C0F1C">
            <w:pPr>
              <w:spacing w:after="0"/>
              <w:jc w:val="center"/>
              <w:rPr>
                <w:rFonts w:eastAsia="Verdana" w:cs="Verdana"/>
                <w:color w:val="000000"/>
                <w:szCs w:val="20"/>
              </w:rPr>
            </w:pPr>
            <w:r w:rsidRPr="4EA0D814">
              <w:rPr>
                <w:rFonts w:eastAsia="Verdana" w:cs="Verdana"/>
                <w:color w:val="000000"/>
                <w:szCs w:val="20"/>
              </w:rPr>
              <w:t>No</w:t>
            </w:r>
          </w:p>
        </w:tc>
      </w:tr>
      <w:tr w:rsidR="00C431EC" w:rsidRPr="002D7D11" w14:paraId="1F05362A" w14:textId="77777777" w:rsidTr="005C5B3F">
        <w:trPr>
          <w:trHeight w:val="567"/>
          <w:jc w:val="center"/>
        </w:trPr>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hideMark/>
          </w:tcPr>
          <w:p w14:paraId="4FB42DCC" w14:textId="4D1EB1EC" w:rsidR="00C431EC" w:rsidRPr="002D7D11" w:rsidRDefault="00C431EC" w:rsidP="00C431EC">
            <w:pPr>
              <w:spacing w:after="0"/>
              <w:jc w:val="center"/>
              <w:textAlignment w:val="baseline"/>
              <w:rPr>
                <w:rFonts w:eastAsia="Verdana" w:cs="Verdana"/>
                <w:b/>
                <w:szCs w:val="20"/>
                <w:lang w:eastAsia="en-AU"/>
              </w:rPr>
            </w:pPr>
            <w:r w:rsidRPr="4EA0D814">
              <w:rPr>
                <w:rFonts w:eastAsia="Verdana" w:cs="Verdana"/>
                <w:b/>
                <w:color w:val="000000"/>
                <w:szCs w:val="20"/>
                <w:lang w:eastAsia="en-AU"/>
              </w:rPr>
              <w:t>QLD</w:t>
            </w:r>
          </w:p>
        </w:tc>
        <w:tc>
          <w:tcPr>
            <w:tcW w:w="38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hideMark/>
          </w:tcPr>
          <w:p w14:paraId="5357BE9F" w14:textId="47D3430F" w:rsidR="00C431EC" w:rsidRDefault="00C431EC" w:rsidP="009C0F1C">
            <w:pPr>
              <w:spacing w:after="0"/>
              <w:jc w:val="center"/>
              <w:rPr>
                <w:rFonts w:eastAsia="Verdana" w:cs="Verdana"/>
                <w:color w:val="000000"/>
                <w:szCs w:val="20"/>
              </w:rPr>
            </w:pPr>
            <w:r w:rsidRPr="4EA0D814">
              <w:rPr>
                <w:rFonts w:eastAsia="Verdana" w:cs="Verdana"/>
                <w:color w:val="000000"/>
                <w:szCs w:val="20"/>
              </w:rPr>
              <w:t>Paroo</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hideMark/>
          </w:tcPr>
          <w:p w14:paraId="0D9FBBB2" w14:textId="19AC6BD7" w:rsidR="00C431EC" w:rsidRDefault="00C431EC" w:rsidP="009C0F1C">
            <w:pPr>
              <w:spacing w:after="0"/>
              <w:jc w:val="center"/>
              <w:rPr>
                <w:rFonts w:eastAsia="Verdana" w:cs="Verdana"/>
                <w:color w:val="000000"/>
                <w:szCs w:val="20"/>
              </w:rPr>
            </w:pPr>
            <w:r w:rsidRPr="4EA0D814">
              <w:rPr>
                <w:rFonts w:eastAsia="Verdana" w:cs="Verdana"/>
                <w:color w:val="000000"/>
                <w:szCs w:val="20"/>
              </w:rPr>
              <w:t>SS29</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3FCB1691" w14:textId="0300F64C" w:rsidR="00C431EC" w:rsidRDefault="00C431EC" w:rsidP="009C0F1C">
            <w:pPr>
              <w:spacing w:after="0"/>
              <w:jc w:val="center"/>
              <w:rPr>
                <w:rFonts w:eastAsia="Verdana" w:cs="Verdana"/>
                <w:color w:val="000000"/>
                <w:szCs w:val="20"/>
              </w:rPr>
            </w:pPr>
            <w:r w:rsidRPr="4EA0D814">
              <w:rPr>
                <w:rFonts w:eastAsia="Verdana" w:cs="Verdana"/>
                <w:color w:val="000000"/>
                <w:szCs w:val="20"/>
              </w:rPr>
              <w:t>11.8</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637D676B" w14:textId="115B8DCB" w:rsidR="00C431EC" w:rsidRDefault="00C431EC" w:rsidP="009C0F1C">
            <w:pPr>
              <w:spacing w:after="0"/>
              <w:jc w:val="center"/>
              <w:rPr>
                <w:rFonts w:eastAsia="Verdana" w:cs="Verdana"/>
                <w:color w:val="000000"/>
                <w:szCs w:val="20"/>
              </w:rPr>
            </w:pPr>
            <w:r w:rsidRPr="4EA0D814">
              <w:rPr>
                <w:rFonts w:eastAsia="Verdana" w:cs="Verdana"/>
                <w:color w:val="000000"/>
                <w:szCs w:val="20"/>
              </w:rPr>
              <w:t>41.2</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0DF8D193" w14:textId="065DA9B7" w:rsidR="00C431EC" w:rsidRDefault="00C431EC" w:rsidP="009C0F1C">
            <w:pPr>
              <w:spacing w:after="0"/>
              <w:jc w:val="center"/>
              <w:rPr>
                <w:rFonts w:eastAsia="Verdana" w:cs="Verdana"/>
                <w:color w:val="000000"/>
                <w:szCs w:val="20"/>
              </w:rPr>
            </w:pPr>
            <w:r w:rsidRPr="4EA0D814">
              <w:rPr>
                <w:rFonts w:eastAsia="Verdana" w:cs="Verdana"/>
                <w:color w:val="000000"/>
                <w:szCs w:val="20"/>
              </w:rPr>
              <w:t>41.1</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437039D5" w14:textId="6255A965" w:rsidR="00C431EC" w:rsidRDefault="00C431EC" w:rsidP="009C0F1C">
            <w:pPr>
              <w:spacing w:after="0"/>
              <w:jc w:val="center"/>
              <w:rPr>
                <w:rFonts w:eastAsia="Verdana" w:cs="Verdana"/>
                <w:color w:val="000000"/>
                <w:szCs w:val="20"/>
              </w:rPr>
            </w:pPr>
            <w:r w:rsidRPr="4EA0D814">
              <w:rPr>
                <w:rFonts w:eastAsia="Verdana" w:cs="Verdana"/>
                <w:color w:val="000000"/>
                <w:szCs w:val="20"/>
              </w:rPr>
              <w:t>0.1</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52F41381" w14:textId="783A6B34" w:rsidR="00C431EC" w:rsidRDefault="00C431EC" w:rsidP="009C0F1C">
            <w:pPr>
              <w:spacing w:after="0"/>
              <w:jc w:val="center"/>
              <w:rPr>
                <w:rFonts w:eastAsia="Verdana" w:cs="Verdana"/>
                <w:color w:val="000000"/>
                <w:szCs w:val="20"/>
              </w:rPr>
            </w:pPr>
            <w:r w:rsidRPr="4EA0D814">
              <w:rPr>
                <w:rFonts w:eastAsia="Verdana" w:cs="Verdana"/>
                <w:color w:val="000000"/>
                <w:szCs w:val="20"/>
              </w:rPr>
              <w:t>0.3</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4646C70C" w14:textId="37A38313" w:rsidR="00C431EC" w:rsidRDefault="00C431EC" w:rsidP="009C0F1C">
            <w:pPr>
              <w:spacing w:after="0"/>
              <w:jc w:val="center"/>
              <w:rPr>
                <w:rFonts w:eastAsia="Verdana" w:cs="Verdana"/>
                <w:color w:val="000000"/>
                <w:szCs w:val="20"/>
              </w:rPr>
            </w:pPr>
            <w:r w:rsidRPr="4EA0D814">
              <w:rPr>
                <w:rFonts w:eastAsia="Verdana" w:cs="Verdana"/>
                <w:color w:val="000000"/>
                <w:szCs w:val="20"/>
              </w:rPr>
              <w:t>0.4</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6E356440" w14:textId="14C8DCB0" w:rsidR="00C431EC" w:rsidRDefault="00C431EC" w:rsidP="009C0F1C">
            <w:pPr>
              <w:spacing w:after="0"/>
              <w:jc w:val="center"/>
              <w:rPr>
                <w:rFonts w:eastAsia="Verdana" w:cs="Verdana"/>
                <w:color w:val="000000"/>
                <w:szCs w:val="20"/>
              </w:rPr>
            </w:pPr>
            <w:r w:rsidRPr="4EA0D814">
              <w:rPr>
                <w:rFonts w:eastAsia="Verdana" w:cs="Verdana"/>
                <w:color w:val="000000"/>
                <w:szCs w:val="20"/>
              </w:rPr>
              <w:t>0.0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4C9C70E0" w14:textId="17EC47FB" w:rsidR="00C431EC" w:rsidRDefault="00C431EC" w:rsidP="009C0F1C">
            <w:pPr>
              <w:spacing w:after="0"/>
              <w:jc w:val="center"/>
              <w:rPr>
                <w:rFonts w:eastAsia="Verdana" w:cs="Verdana"/>
                <w:color w:val="000000"/>
                <w:szCs w:val="20"/>
              </w:rPr>
            </w:pPr>
            <w:r w:rsidRPr="4EA0D814">
              <w:rPr>
                <w:rFonts w:eastAsia="Verdana" w:cs="Verdana"/>
                <w:color w:val="000000"/>
                <w:szCs w:val="20"/>
              </w:rPr>
              <w:t>0.0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78BCD017" w14:textId="33F18AC9" w:rsidR="00C431EC" w:rsidRDefault="00C431EC" w:rsidP="009C0F1C">
            <w:pPr>
              <w:spacing w:after="0"/>
              <w:jc w:val="center"/>
              <w:rPr>
                <w:rFonts w:eastAsia="Verdana" w:cs="Verdana"/>
                <w:color w:val="000000"/>
                <w:szCs w:val="20"/>
              </w:rPr>
            </w:pPr>
            <w:r w:rsidRPr="4EA0D814">
              <w:rPr>
                <w:rFonts w:eastAsia="Verdana" w:cs="Verdana"/>
                <w:color w:val="000000"/>
                <w:szCs w:val="20"/>
              </w:rPr>
              <w:t>0.4</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322C48BC" w14:textId="50B82322" w:rsidR="00C431EC" w:rsidRDefault="00C431EC" w:rsidP="009C0F1C">
            <w:pPr>
              <w:spacing w:after="0"/>
              <w:jc w:val="center"/>
              <w:rPr>
                <w:rFonts w:eastAsia="Verdana" w:cs="Verdana"/>
                <w:color w:val="000000"/>
                <w:szCs w:val="20"/>
              </w:rPr>
            </w:pPr>
            <w:r w:rsidRPr="4EA0D814">
              <w:rPr>
                <w:rFonts w:eastAsia="Verdana" w:cs="Verdana"/>
                <w:color w:val="000000"/>
                <w:szCs w:val="20"/>
              </w:rPr>
              <w:t>-2.4</w:t>
            </w:r>
          </w:p>
        </w:tc>
        <w:tc>
          <w:tcPr>
            <w:tcW w:w="51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65329070" w14:textId="5629F34B" w:rsidR="00C431EC" w:rsidRDefault="00C431EC" w:rsidP="009C0F1C">
            <w:pPr>
              <w:spacing w:after="0"/>
              <w:jc w:val="center"/>
              <w:rPr>
                <w:rFonts w:eastAsia="Verdana" w:cs="Verdana"/>
                <w:color w:val="000000"/>
                <w:szCs w:val="20"/>
              </w:rPr>
            </w:pPr>
            <w:r w:rsidRPr="4EA0D814">
              <w:rPr>
                <w:rFonts w:eastAsia="Verdana" w:cs="Verdana"/>
                <w:color w:val="000000"/>
                <w:szCs w:val="20"/>
              </w:rPr>
              <w:t>No</w:t>
            </w:r>
          </w:p>
        </w:tc>
      </w:tr>
      <w:tr w:rsidR="00C431EC" w:rsidRPr="002D7D11" w14:paraId="7CAB2741" w14:textId="77777777" w:rsidTr="005C5B3F">
        <w:trPr>
          <w:trHeight w:val="567"/>
          <w:jc w:val="center"/>
        </w:trPr>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hideMark/>
          </w:tcPr>
          <w:p w14:paraId="4A1391F4" w14:textId="2D9C9B04" w:rsidR="00C431EC" w:rsidRPr="002D7D11" w:rsidRDefault="00C431EC" w:rsidP="00C431EC">
            <w:pPr>
              <w:spacing w:after="0"/>
              <w:jc w:val="center"/>
              <w:textAlignment w:val="baseline"/>
              <w:rPr>
                <w:rFonts w:eastAsia="Verdana" w:cs="Verdana"/>
                <w:b/>
                <w:szCs w:val="20"/>
                <w:lang w:eastAsia="en-AU"/>
              </w:rPr>
            </w:pPr>
            <w:r w:rsidRPr="4EA0D814">
              <w:rPr>
                <w:rFonts w:eastAsia="Verdana" w:cs="Verdana"/>
                <w:b/>
                <w:color w:val="000000"/>
                <w:szCs w:val="20"/>
                <w:lang w:eastAsia="en-AU"/>
              </w:rPr>
              <w:t>VIC</w:t>
            </w:r>
          </w:p>
        </w:tc>
        <w:tc>
          <w:tcPr>
            <w:tcW w:w="38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hideMark/>
          </w:tcPr>
          <w:p w14:paraId="700D07A2" w14:textId="229961B6" w:rsidR="00C431EC" w:rsidRDefault="00C431EC" w:rsidP="009C0F1C">
            <w:pPr>
              <w:spacing w:after="0"/>
              <w:jc w:val="center"/>
              <w:rPr>
                <w:rFonts w:eastAsia="Verdana" w:cs="Verdana"/>
                <w:color w:val="000000"/>
                <w:szCs w:val="20"/>
              </w:rPr>
            </w:pPr>
            <w:r w:rsidRPr="4EA0D814">
              <w:rPr>
                <w:rFonts w:eastAsia="Verdana" w:cs="Verdana"/>
                <w:color w:val="000000"/>
                <w:szCs w:val="20"/>
              </w:rPr>
              <w:t>Victorian Murray</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hideMark/>
          </w:tcPr>
          <w:p w14:paraId="5E140C91" w14:textId="1B532762" w:rsidR="00C431EC" w:rsidRDefault="00C431EC" w:rsidP="009C0F1C">
            <w:pPr>
              <w:spacing w:after="0"/>
              <w:jc w:val="center"/>
              <w:rPr>
                <w:rFonts w:eastAsia="Verdana" w:cs="Verdana"/>
                <w:color w:val="000000"/>
                <w:szCs w:val="20"/>
              </w:rPr>
            </w:pPr>
            <w:r w:rsidRPr="4EA0D814">
              <w:rPr>
                <w:rFonts w:eastAsia="Verdana" w:cs="Verdana"/>
                <w:color w:val="000000"/>
                <w:szCs w:val="20"/>
              </w:rPr>
              <w:t>SS2</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281A469C" w14:textId="00159293" w:rsidR="00C431EC" w:rsidRDefault="00C431EC" w:rsidP="009C0F1C">
            <w:pPr>
              <w:spacing w:after="0"/>
              <w:jc w:val="center"/>
              <w:rPr>
                <w:rFonts w:eastAsia="Verdana" w:cs="Verdana"/>
                <w:color w:val="000000"/>
                <w:szCs w:val="20"/>
              </w:rPr>
            </w:pPr>
            <w:r w:rsidRPr="4EA0D814">
              <w:rPr>
                <w:rFonts w:eastAsia="Verdana" w:cs="Verdana"/>
                <w:color w:val="000000"/>
                <w:szCs w:val="20"/>
              </w:rPr>
              <w:t>1316.5</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03F2160D" w14:textId="34207C80" w:rsidR="00C431EC" w:rsidRDefault="00C431EC" w:rsidP="009C0F1C">
            <w:pPr>
              <w:spacing w:after="0"/>
              <w:jc w:val="center"/>
              <w:rPr>
                <w:rFonts w:eastAsia="Verdana" w:cs="Verdana"/>
                <w:color w:val="000000"/>
                <w:szCs w:val="20"/>
              </w:rPr>
            </w:pPr>
            <w:r w:rsidRPr="4EA0D814">
              <w:rPr>
                <w:rFonts w:eastAsia="Verdana" w:cs="Verdana"/>
                <w:color w:val="000000"/>
                <w:szCs w:val="20"/>
              </w:rPr>
              <w:t>1498.7</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5CA48F5C" w14:textId="3E49BF83" w:rsidR="00C431EC" w:rsidRDefault="00C431EC" w:rsidP="009C0F1C">
            <w:pPr>
              <w:spacing w:after="0"/>
              <w:jc w:val="center"/>
              <w:rPr>
                <w:rFonts w:eastAsia="Verdana" w:cs="Verdana"/>
                <w:color w:val="000000"/>
                <w:szCs w:val="20"/>
              </w:rPr>
            </w:pPr>
            <w:r w:rsidRPr="4EA0D814">
              <w:rPr>
                <w:rFonts w:eastAsia="Verdana" w:cs="Verdana"/>
                <w:color w:val="000000"/>
                <w:szCs w:val="20"/>
              </w:rPr>
              <w:t>1250.3</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1586AC29" w14:textId="13767982" w:rsidR="00C431EC" w:rsidRDefault="00C431EC" w:rsidP="009C0F1C">
            <w:pPr>
              <w:spacing w:after="0"/>
              <w:jc w:val="center"/>
              <w:rPr>
                <w:rFonts w:eastAsia="Verdana" w:cs="Verdana"/>
                <w:color w:val="000000"/>
                <w:szCs w:val="20"/>
              </w:rPr>
            </w:pPr>
            <w:r w:rsidRPr="4EA0D814">
              <w:rPr>
                <w:rFonts w:eastAsia="Verdana" w:cs="Verdana"/>
                <w:color w:val="000000"/>
                <w:szCs w:val="20"/>
              </w:rPr>
              <w:t>248.4</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23CA1B7C" w14:textId="280536AB" w:rsidR="00C431EC" w:rsidRDefault="00C431EC" w:rsidP="009C0F1C">
            <w:pPr>
              <w:spacing w:after="0"/>
              <w:jc w:val="center"/>
              <w:rPr>
                <w:rFonts w:eastAsia="Verdana" w:cs="Verdana"/>
                <w:color w:val="000000"/>
                <w:szCs w:val="20"/>
              </w:rPr>
            </w:pPr>
            <w:r w:rsidRPr="4EA0D814">
              <w:rPr>
                <w:rFonts w:eastAsia="Verdana" w:cs="Verdana"/>
                <w:color w:val="000000"/>
                <w:szCs w:val="20"/>
              </w:rPr>
              <w:t>553.7</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08FEFF63" w14:textId="79D4D8F0" w:rsidR="00C431EC" w:rsidRDefault="00C431EC" w:rsidP="009C0F1C">
            <w:pPr>
              <w:spacing w:after="0"/>
              <w:jc w:val="center"/>
              <w:rPr>
                <w:rFonts w:eastAsia="Verdana" w:cs="Verdana"/>
                <w:color w:val="000000"/>
                <w:szCs w:val="20"/>
              </w:rPr>
            </w:pPr>
            <w:r w:rsidRPr="4EA0D814">
              <w:rPr>
                <w:rFonts w:eastAsia="Verdana" w:cs="Verdana"/>
                <w:color w:val="000000"/>
                <w:szCs w:val="20"/>
              </w:rPr>
              <w:t>802.1</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7821E046" w14:textId="2AA0E4F7" w:rsidR="00C431EC" w:rsidRDefault="00C431EC" w:rsidP="009C0F1C">
            <w:pPr>
              <w:spacing w:after="0"/>
              <w:jc w:val="center"/>
              <w:rPr>
                <w:rFonts w:eastAsia="Verdana" w:cs="Verdana"/>
                <w:color w:val="000000"/>
                <w:szCs w:val="20"/>
              </w:rPr>
            </w:pPr>
            <w:r w:rsidRPr="4EA0D814">
              <w:rPr>
                <w:rFonts w:eastAsia="Verdana" w:cs="Verdana"/>
                <w:color w:val="000000"/>
                <w:szCs w:val="20"/>
              </w:rPr>
              <w:t>26.0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33CDC8BC" w14:textId="4C68CB10" w:rsidR="00C431EC" w:rsidRDefault="00C431EC" w:rsidP="009C0F1C">
            <w:pPr>
              <w:spacing w:after="0"/>
              <w:jc w:val="center"/>
              <w:rPr>
                <w:rFonts w:eastAsia="Verdana" w:cs="Verdana"/>
                <w:color w:val="000000"/>
                <w:szCs w:val="20"/>
              </w:rPr>
            </w:pPr>
            <w:r w:rsidRPr="4EA0D814">
              <w:rPr>
                <w:rFonts w:eastAsia="Verdana" w:cs="Verdana"/>
                <w:color w:val="000000"/>
                <w:szCs w:val="20"/>
              </w:rPr>
              <w:t>319.1</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71C11BC4" w14:textId="37358E42" w:rsidR="00C431EC" w:rsidRDefault="00C431EC" w:rsidP="009C0F1C">
            <w:pPr>
              <w:spacing w:after="0"/>
              <w:jc w:val="center"/>
              <w:rPr>
                <w:rFonts w:eastAsia="Verdana" w:cs="Verdana"/>
                <w:color w:val="000000"/>
                <w:szCs w:val="20"/>
              </w:rPr>
            </w:pPr>
            <w:r w:rsidRPr="4EA0D814">
              <w:rPr>
                <w:rFonts w:eastAsia="Verdana" w:cs="Verdana"/>
                <w:color w:val="000000"/>
                <w:szCs w:val="20"/>
              </w:rPr>
              <w:t>1147.2</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71878F60" w14:textId="01D0616B" w:rsidR="00C431EC" w:rsidRDefault="00C431EC" w:rsidP="009C0F1C">
            <w:pPr>
              <w:spacing w:after="0"/>
              <w:jc w:val="center"/>
              <w:rPr>
                <w:rFonts w:eastAsia="Verdana" w:cs="Verdana"/>
                <w:color w:val="000000"/>
                <w:szCs w:val="20"/>
              </w:rPr>
            </w:pPr>
            <w:r w:rsidRPr="4EA0D814">
              <w:rPr>
                <w:rFonts w:eastAsia="Verdana" w:cs="Verdana"/>
                <w:color w:val="000000"/>
                <w:szCs w:val="20"/>
              </w:rPr>
              <w:t>-263.3</w:t>
            </w:r>
          </w:p>
        </w:tc>
        <w:tc>
          <w:tcPr>
            <w:tcW w:w="51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54E3550A" w14:textId="0EA18254" w:rsidR="00C431EC" w:rsidRDefault="00C431EC" w:rsidP="009C0F1C">
            <w:pPr>
              <w:spacing w:after="0"/>
              <w:jc w:val="center"/>
              <w:rPr>
                <w:rFonts w:eastAsia="Verdana" w:cs="Verdana"/>
                <w:color w:val="000000"/>
                <w:szCs w:val="20"/>
              </w:rPr>
            </w:pPr>
            <w:r w:rsidRPr="4EA0D814">
              <w:rPr>
                <w:rFonts w:eastAsia="Verdana" w:cs="Verdana"/>
                <w:color w:val="000000"/>
                <w:szCs w:val="20"/>
              </w:rPr>
              <w:t>No</w:t>
            </w:r>
          </w:p>
        </w:tc>
      </w:tr>
      <w:tr w:rsidR="00C431EC" w:rsidRPr="002D7D11" w14:paraId="02ED3D7A" w14:textId="77777777" w:rsidTr="005C5B3F">
        <w:trPr>
          <w:trHeight w:val="567"/>
          <w:jc w:val="center"/>
        </w:trPr>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hideMark/>
          </w:tcPr>
          <w:p w14:paraId="4D0DE0CC" w14:textId="6BF3B660" w:rsidR="00C431EC" w:rsidRPr="002D7D11" w:rsidRDefault="00C431EC" w:rsidP="00C431EC">
            <w:pPr>
              <w:spacing w:after="0"/>
              <w:jc w:val="center"/>
              <w:textAlignment w:val="baseline"/>
              <w:rPr>
                <w:rFonts w:eastAsia="Verdana" w:cs="Verdana"/>
                <w:b/>
                <w:szCs w:val="20"/>
                <w:lang w:eastAsia="en-AU"/>
              </w:rPr>
            </w:pPr>
            <w:r w:rsidRPr="4EA0D814">
              <w:rPr>
                <w:rFonts w:eastAsia="Verdana" w:cs="Verdana"/>
                <w:b/>
                <w:color w:val="000000"/>
                <w:szCs w:val="20"/>
                <w:lang w:eastAsia="en-AU"/>
              </w:rPr>
              <w:t>VIC</w:t>
            </w:r>
          </w:p>
        </w:tc>
        <w:tc>
          <w:tcPr>
            <w:tcW w:w="38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hideMark/>
          </w:tcPr>
          <w:p w14:paraId="0289DCB4" w14:textId="22E7F695" w:rsidR="00C431EC" w:rsidRDefault="00C431EC" w:rsidP="009C0F1C">
            <w:pPr>
              <w:spacing w:after="0"/>
              <w:jc w:val="center"/>
              <w:rPr>
                <w:rFonts w:eastAsia="Verdana" w:cs="Verdana"/>
                <w:color w:val="000000"/>
                <w:szCs w:val="20"/>
              </w:rPr>
            </w:pPr>
            <w:r w:rsidRPr="4EA0D814">
              <w:rPr>
                <w:rFonts w:eastAsia="Verdana" w:cs="Verdana"/>
                <w:color w:val="000000"/>
                <w:szCs w:val="20"/>
              </w:rPr>
              <w:t>Kiewa</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hideMark/>
          </w:tcPr>
          <w:p w14:paraId="18035C37" w14:textId="712F0FB0" w:rsidR="00C431EC" w:rsidRDefault="00C431EC" w:rsidP="009C0F1C">
            <w:pPr>
              <w:spacing w:after="0"/>
              <w:jc w:val="center"/>
              <w:rPr>
                <w:rFonts w:eastAsia="Verdana" w:cs="Verdana"/>
                <w:color w:val="000000"/>
                <w:szCs w:val="20"/>
              </w:rPr>
            </w:pPr>
            <w:r w:rsidRPr="4EA0D814">
              <w:rPr>
                <w:rFonts w:eastAsia="Verdana" w:cs="Verdana"/>
                <w:color w:val="000000"/>
                <w:szCs w:val="20"/>
              </w:rPr>
              <w:t>SS3</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6EECF986" w14:textId="20F3804B" w:rsidR="00C431EC" w:rsidRDefault="00C431EC" w:rsidP="009C0F1C">
            <w:pPr>
              <w:spacing w:after="0"/>
              <w:jc w:val="center"/>
              <w:rPr>
                <w:rFonts w:eastAsia="Verdana" w:cs="Verdana"/>
                <w:color w:val="000000"/>
                <w:szCs w:val="20"/>
              </w:rPr>
            </w:pPr>
            <w:r w:rsidRPr="4EA0D814">
              <w:rPr>
                <w:rFonts w:eastAsia="Verdana" w:cs="Verdana"/>
                <w:color w:val="000000"/>
                <w:szCs w:val="20"/>
              </w:rPr>
              <w:t>27.8</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6A426A00" w14:textId="6254D95C" w:rsidR="00C431EC" w:rsidRDefault="00C431EC" w:rsidP="009C0F1C">
            <w:pPr>
              <w:spacing w:after="0"/>
              <w:jc w:val="center"/>
              <w:rPr>
                <w:rFonts w:eastAsia="Verdana" w:cs="Verdana"/>
                <w:color w:val="000000"/>
                <w:szCs w:val="20"/>
              </w:rPr>
            </w:pPr>
            <w:r w:rsidRPr="4EA0D814">
              <w:rPr>
                <w:rFonts w:eastAsia="Verdana" w:cs="Verdana"/>
                <w:color w:val="000000"/>
                <w:szCs w:val="20"/>
              </w:rPr>
              <w:t>28.3</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40852C79" w14:textId="69DCBCC4" w:rsidR="00C431EC" w:rsidRDefault="00C431EC" w:rsidP="009C0F1C">
            <w:pPr>
              <w:spacing w:after="0"/>
              <w:jc w:val="center"/>
              <w:rPr>
                <w:rFonts w:eastAsia="Verdana" w:cs="Verdana"/>
                <w:color w:val="000000"/>
                <w:szCs w:val="20"/>
              </w:rPr>
            </w:pPr>
            <w:r w:rsidRPr="4EA0D814">
              <w:rPr>
                <w:rFonts w:eastAsia="Verdana" w:cs="Verdana"/>
                <w:color w:val="000000"/>
                <w:szCs w:val="20"/>
              </w:rPr>
              <w:t>23.2</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23B1181F" w14:textId="4BBC8E34" w:rsidR="00C431EC" w:rsidRDefault="00C431EC" w:rsidP="009C0F1C">
            <w:pPr>
              <w:spacing w:after="0"/>
              <w:jc w:val="center"/>
              <w:rPr>
                <w:rFonts w:eastAsia="Verdana" w:cs="Verdana"/>
                <w:color w:val="000000"/>
                <w:szCs w:val="20"/>
              </w:rPr>
            </w:pPr>
            <w:r w:rsidRPr="4EA0D814">
              <w:rPr>
                <w:rFonts w:eastAsia="Verdana" w:cs="Verdana"/>
                <w:color w:val="000000"/>
                <w:szCs w:val="20"/>
              </w:rPr>
              <w:t>5.1</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2603877E" w14:textId="133E4042" w:rsidR="00C431EC" w:rsidRDefault="00C431EC" w:rsidP="009C0F1C">
            <w:pPr>
              <w:spacing w:after="0"/>
              <w:jc w:val="center"/>
              <w:rPr>
                <w:rFonts w:eastAsia="Verdana" w:cs="Verdana"/>
                <w:color w:val="000000"/>
                <w:szCs w:val="20"/>
              </w:rPr>
            </w:pPr>
            <w:r w:rsidRPr="4EA0D814">
              <w:rPr>
                <w:rFonts w:eastAsia="Verdana" w:cs="Verdana"/>
                <w:color w:val="000000"/>
                <w:szCs w:val="20"/>
              </w:rPr>
              <w:t>15.9</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1F846868" w14:textId="252DF04B" w:rsidR="00C431EC" w:rsidRDefault="00C431EC" w:rsidP="009C0F1C">
            <w:pPr>
              <w:spacing w:after="0"/>
              <w:jc w:val="center"/>
              <w:rPr>
                <w:rFonts w:eastAsia="Verdana" w:cs="Verdana"/>
                <w:color w:val="000000"/>
                <w:szCs w:val="20"/>
              </w:rPr>
            </w:pPr>
            <w:r w:rsidRPr="4EA0D814">
              <w:rPr>
                <w:rFonts w:eastAsia="Verdana" w:cs="Verdana"/>
                <w:color w:val="000000"/>
                <w:szCs w:val="20"/>
              </w:rPr>
              <w:t>21.0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1D403E57" w14:textId="7FD01570" w:rsidR="00C431EC" w:rsidRDefault="00C431EC" w:rsidP="009C0F1C">
            <w:pPr>
              <w:spacing w:after="0"/>
              <w:jc w:val="center"/>
              <w:rPr>
                <w:rFonts w:eastAsia="Verdana" w:cs="Verdana"/>
                <w:color w:val="000000"/>
                <w:szCs w:val="20"/>
              </w:rPr>
            </w:pPr>
            <w:r w:rsidRPr="4EA0D814">
              <w:rPr>
                <w:rFonts w:eastAsia="Verdana" w:cs="Verdana"/>
                <w:color w:val="000000"/>
                <w:szCs w:val="20"/>
              </w:rPr>
              <w:t>0.0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429E4F5E" w14:textId="525F6A1C" w:rsidR="00C431EC" w:rsidRDefault="00C431EC" w:rsidP="009C0F1C">
            <w:pPr>
              <w:spacing w:after="0"/>
              <w:jc w:val="center"/>
              <w:rPr>
                <w:rFonts w:eastAsia="Verdana" w:cs="Verdana"/>
                <w:color w:val="000000"/>
                <w:szCs w:val="20"/>
              </w:rPr>
            </w:pPr>
            <w:r w:rsidRPr="4EA0D814">
              <w:rPr>
                <w:rFonts w:eastAsia="Verdana" w:cs="Verdana"/>
                <w:color w:val="000000"/>
                <w:szCs w:val="20"/>
              </w:rPr>
              <w:t>6.6</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02FA1BCF" w14:textId="7CB84C30" w:rsidR="00C431EC" w:rsidRDefault="00C431EC" w:rsidP="009C0F1C">
            <w:pPr>
              <w:spacing w:after="0"/>
              <w:jc w:val="center"/>
              <w:rPr>
                <w:rFonts w:eastAsia="Verdana" w:cs="Verdana"/>
                <w:color w:val="000000"/>
                <w:szCs w:val="20"/>
              </w:rPr>
            </w:pPr>
            <w:r w:rsidRPr="4EA0D814">
              <w:rPr>
                <w:rFonts w:eastAsia="Verdana" w:cs="Verdana"/>
                <w:color w:val="000000"/>
                <w:szCs w:val="20"/>
              </w:rPr>
              <w:t>27.5</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7400632C" w14:textId="7A872C6D" w:rsidR="00C431EC" w:rsidRDefault="00C431EC" w:rsidP="009C0F1C">
            <w:pPr>
              <w:spacing w:after="0"/>
              <w:jc w:val="center"/>
              <w:rPr>
                <w:rFonts w:eastAsia="Verdana" w:cs="Verdana"/>
                <w:color w:val="000000"/>
                <w:szCs w:val="20"/>
              </w:rPr>
            </w:pPr>
            <w:r w:rsidRPr="4EA0D814">
              <w:rPr>
                <w:rFonts w:eastAsia="Verdana" w:cs="Verdana"/>
                <w:color w:val="000000"/>
                <w:szCs w:val="20"/>
              </w:rPr>
              <w:t>-5.6</w:t>
            </w:r>
          </w:p>
        </w:tc>
        <w:tc>
          <w:tcPr>
            <w:tcW w:w="51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470695B2" w14:textId="3D73389C" w:rsidR="00C431EC" w:rsidRDefault="00C431EC" w:rsidP="009C0F1C">
            <w:pPr>
              <w:spacing w:after="0"/>
              <w:jc w:val="center"/>
              <w:rPr>
                <w:rFonts w:eastAsia="Verdana" w:cs="Verdana"/>
                <w:color w:val="000000"/>
                <w:szCs w:val="20"/>
              </w:rPr>
            </w:pPr>
            <w:r w:rsidRPr="4EA0D814">
              <w:rPr>
                <w:rFonts w:eastAsia="Verdana" w:cs="Verdana"/>
                <w:color w:val="000000"/>
                <w:szCs w:val="20"/>
              </w:rPr>
              <w:t>No</w:t>
            </w:r>
          </w:p>
        </w:tc>
      </w:tr>
      <w:tr w:rsidR="00C431EC" w:rsidRPr="002D7D11" w14:paraId="68ABB465" w14:textId="77777777" w:rsidTr="005C5B3F">
        <w:trPr>
          <w:trHeight w:val="567"/>
          <w:jc w:val="center"/>
        </w:trPr>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hideMark/>
          </w:tcPr>
          <w:p w14:paraId="625C234C" w14:textId="7FA87D7A" w:rsidR="00C431EC" w:rsidRPr="002D7D11" w:rsidRDefault="00C431EC" w:rsidP="00C431EC">
            <w:pPr>
              <w:spacing w:after="0"/>
              <w:jc w:val="center"/>
              <w:textAlignment w:val="baseline"/>
              <w:rPr>
                <w:rFonts w:eastAsia="Verdana" w:cs="Verdana"/>
                <w:b/>
                <w:szCs w:val="20"/>
                <w:lang w:eastAsia="en-AU"/>
              </w:rPr>
            </w:pPr>
            <w:r w:rsidRPr="4EA0D814">
              <w:rPr>
                <w:rFonts w:eastAsia="Verdana" w:cs="Verdana"/>
                <w:b/>
                <w:color w:val="000000"/>
                <w:szCs w:val="20"/>
                <w:lang w:eastAsia="en-AU"/>
              </w:rPr>
              <w:lastRenderedPageBreak/>
              <w:t>VIC</w:t>
            </w:r>
          </w:p>
        </w:tc>
        <w:tc>
          <w:tcPr>
            <w:tcW w:w="38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hideMark/>
          </w:tcPr>
          <w:p w14:paraId="2B553986" w14:textId="1E9D6926" w:rsidR="00C431EC" w:rsidRDefault="00C431EC" w:rsidP="009C0F1C">
            <w:pPr>
              <w:spacing w:after="0"/>
              <w:jc w:val="center"/>
              <w:rPr>
                <w:rFonts w:eastAsia="Verdana" w:cs="Verdana"/>
                <w:color w:val="000000"/>
                <w:szCs w:val="20"/>
              </w:rPr>
            </w:pPr>
            <w:r w:rsidRPr="4EA0D814">
              <w:rPr>
                <w:rFonts w:eastAsia="Verdana" w:cs="Verdana"/>
                <w:color w:val="000000"/>
                <w:szCs w:val="20"/>
              </w:rPr>
              <w:t>Ovens</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hideMark/>
          </w:tcPr>
          <w:p w14:paraId="4C39FBD6" w14:textId="75375A55" w:rsidR="00C431EC" w:rsidRDefault="00C431EC" w:rsidP="009C0F1C">
            <w:pPr>
              <w:spacing w:after="0"/>
              <w:jc w:val="center"/>
              <w:rPr>
                <w:rFonts w:eastAsia="Verdana" w:cs="Verdana"/>
                <w:color w:val="000000"/>
                <w:szCs w:val="20"/>
              </w:rPr>
            </w:pPr>
            <w:r w:rsidRPr="4EA0D814">
              <w:rPr>
                <w:rFonts w:eastAsia="Verdana" w:cs="Verdana"/>
                <w:color w:val="000000"/>
                <w:szCs w:val="20"/>
              </w:rPr>
              <w:t>SS4</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51D23C10" w14:textId="33CBFFE9" w:rsidR="00C431EC" w:rsidRDefault="00C431EC" w:rsidP="009C0F1C">
            <w:pPr>
              <w:spacing w:after="0"/>
              <w:jc w:val="center"/>
              <w:rPr>
                <w:rFonts w:eastAsia="Verdana" w:cs="Verdana"/>
                <w:color w:val="000000"/>
                <w:szCs w:val="20"/>
              </w:rPr>
            </w:pPr>
            <w:r w:rsidRPr="4EA0D814">
              <w:rPr>
                <w:rFonts w:eastAsia="Verdana" w:cs="Verdana"/>
                <w:color w:val="000000"/>
                <w:szCs w:val="20"/>
              </w:rPr>
              <w:t>85.9</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4A313D71" w14:textId="56F241AC" w:rsidR="00C431EC" w:rsidRDefault="00C431EC" w:rsidP="009C0F1C">
            <w:pPr>
              <w:spacing w:after="0"/>
              <w:jc w:val="center"/>
              <w:rPr>
                <w:rFonts w:eastAsia="Verdana" w:cs="Verdana"/>
                <w:color w:val="000000"/>
                <w:szCs w:val="20"/>
              </w:rPr>
            </w:pPr>
            <w:r w:rsidRPr="4EA0D814">
              <w:rPr>
                <w:rFonts w:eastAsia="Verdana" w:cs="Verdana"/>
                <w:color w:val="000000"/>
                <w:szCs w:val="20"/>
              </w:rPr>
              <w:t>91.7</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2D4953F5" w14:textId="6ACB5EB4" w:rsidR="00C431EC" w:rsidRDefault="00C431EC" w:rsidP="009C0F1C">
            <w:pPr>
              <w:spacing w:after="0"/>
              <w:jc w:val="center"/>
              <w:rPr>
                <w:rFonts w:eastAsia="Verdana" w:cs="Verdana"/>
                <w:color w:val="000000"/>
                <w:szCs w:val="20"/>
              </w:rPr>
            </w:pPr>
            <w:r w:rsidRPr="4EA0D814">
              <w:rPr>
                <w:rFonts w:eastAsia="Verdana" w:cs="Verdana"/>
                <w:color w:val="000000"/>
                <w:szCs w:val="20"/>
              </w:rPr>
              <w:t>77.2</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04F15CC8" w14:textId="182961D1" w:rsidR="00C431EC" w:rsidRDefault="00C431EC" w:rsidP="009C0F1C">
            <w:pPr>
              <w:spacing w:after="0"/>
              <w:jc w:val="center"/>
              <w:rPr>
                <w:rFonts w:eastAsia="Verdana" w:cs="Verdana"/>
                <w:color w:val="000000"/>
                <w:szCs w:val="20"/>
              </w:rPr>
            </w:pPr>
            <w:r w:rsidRPr="4EA0D814">
              <w:rPr>
                <w:rFonts w:eastAsia="Verdana" w:cs="Verdana"/>
                <w:color w:val="000000"/>
                <w:szCs w:val="20"/>
              </w:rPr>
              <w:t>14.6</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49FAE230" w14:textId="1870C60A" w:rsidR="00C431EC" w:rsidRDefault="00C431EC" w:rsidP="009C0F1C">
            <w:pPr>
              <w:spacing w:after="0"/>
              <w:jc w:val="center"/>
              <w:rPr>
                <w:rFonts w:eastAsia="Verdana" w:cs="Verdana"/>
                <w:color w:val="000000"/>
                <w:szCs w:val="20"/>
              </w:rPr>
            </w:pPr>
            <w:r w:rsidRPr="4EA0D814">
              <w:rPr>
                <w:rFonts w:eastAsia="Verdana" w:cs="Verdana"/>
                <w:color w:val="000000"/>
                <w:szCs w:val="20"/>
              </w:rPr>
              <w:t>37.0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2ABD5536" w14:textId="1643F301" w:rsidR="00C431EC" w:rsidRDefault="00C431EC" w:rsidP="009C0F1C">
            <w:pPr>
              <w:spacing w:after="0"/>
              <w:jc w:val="center"/>
              <w:rPr>
                <w:rFonts w:eastAsia="Verdana" w:cs="Verdana"/>
                <w:color w:val="000000"/>
                <w:szCs w:val="20"/>
              </w:rPr>
            </w:pPr>
            <w:r w:rsidRPr="4EA0D814">
              <w:rPr>
                <w:rFonts w:eastAsia="Verdana" w:cs="Verdana"/>
                <w:color w:val="000000"/>
                <w:szCs w:val="20"/>
              </w:rPr>
              <w:t>51.6</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5BFF0BAB" w14:textId="01F67A26" w:rsidR="00C431EC" w:rsidRDefault="00C431EC" w:rsidP="009C0F1C">
            <w:pPr>
              <w:spacing w:after="0"/>
              <w:jc w:val="center"/>
              <w:rPr>
                <w:rFonts w:eastAsia="Verdana" w:cs="Verdana"/>
                <w:color w:val="000000"/>
                <w:szCs w:val="20"/>
              </w:rPr>
            </w:pPr>
            <w:r w:rsidRPr="4EA0D814">
              <w:rPr>
                <w:rFonts w:eastAsia="Verdana" w:cs="Verdana"/>
                <w:color w:val="000000"/>
                <w:szCs w:val="20"/>
              </w:rPr>
              <w:t>-0.1</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505D3C24" w14:textId="05DEEA63" w:rsidR="00C431EC" w:rsidRDefault="00C431EC" w:rsidP="009C0F1C">
            <w:pPr>
              <w:spacing w:after="0"/>
              <w:jc w:val="center"/>
              <w:rPr>
                <w:rFonts w:eastAsia="Verdana" w:cs="Verdana"/>
                <w:color w:val="000000"/>
                <w:szCs w:val="20"/>
              </w:rPr>
            </w:pPr>
            <w:r w:rsidRPr="4EA0D814">
              <w:rPr>
                <w:rFonts w:eastAsia="Verdana" w:cs="Verdana"/>
                <w:color w:val="000000"/>
                <w:szCs w:val="20"/>
              </w:rPr>
              <w:t>21.2</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7FBE56CE" w14:textId="637ACB02" w:rsidR="00C431EC" w:rsidRDefault="00C431EC" w:rsidP="009C0F1C">
            <w:pPr>
              <w:spacing w:after="0"/>
              <w:jc w:val="center"/>
              <w:rPr>
                <w:rFonts w:eastAsia="Verdana" w:cs="Verdana"/>
                <w:color w:val="000000"/>
                <w:szCs w:val="20"/>
              </w:rPr>
            </w:pPr>
            <w:r w:rsidRPr="4EA0D814">
              <w:rPr>
                <w:rFonts w:eastAsia="Verdana" w:cs="Verdana"/>
                <w:color w:val="000000"/>
                <w:szCs w:val="20"/>
              </w:rPr>
              <w:t>72.7</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2DC85515" w14:textId="2849C398" w:rsidR="00C431EC" w:rsidRDefault="00C431EC" w:rsidP="009C0F1C">
            <w:pPr>
              <w:spacing w:after="0"/>
              <w:jc w:val="center"/>
              <w:rPr>
                <w:rFonts w:eastAsia="Verdana" w:cs="Verdana"/>
                <w:color w:val="000000"/>
                <w:szCs w:val="20"/>
              </w:rPr>
            </w:pPr>
            <w:r w:rsidRPr="4EA0D814">
              <w:rPr>
                <w:rFonts w:eastAsia="Verdana" w:cs="Verdana"/>
                <w:color w:val="000000"/>
                <w:szCs w:val="20"/>
              </w:rPr>
              <w:t>-17.2</w:t>
            </w:r>
          </w:p>
        </w:tc>
        <w:tc>
          <w:tcPr>
            <w:tcW w:w="51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65796550" w14:textId="624D93BE" w:rsidR="00C431EC" w:rsidRDefault="00C431EC" w:rsidP="009C0F1C">
            <w:pPr>
              <w:spacing w:after="0"/>
              <w:jc w:val="center"/>
              <w:rPr>
                <w:rFonts w:eastAsia="Verdana" w:cs="Verdana"/>
                <w:color w:val="000000"/>
                <w:szCs w:val="20"/>
              </w:rPr>
            </w:pPr>
            <w:r w:rsidRPr="4EA0D814">
              <w:rPr>
                <w:rFonts w:eastAsia="Verdana" w:cs="Verdana"/>
                <w:color w:val="000000"/>
                <w:szCs w:val="20"/>
              </w:rPr>
              <w:t>No</w:t>
            </w:r>
          </w:p>
        </w:tc>
      </w:tr>
      <w:tr w:rsidR="00C431EC" w:rsidRPr="002D7D11" w14:paraId="56744B23" w14:textId="77777777" w:rsidTr="005C5B3F">
        <w:trPr>
          <w:trHeight w:val="567"/>
          <w:jc w:val="center"/>
        </w:trPr>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hideMark/>
          </w:tcPr>
          <w:p w14:paraId="1E3481F3" w14:textId="7DE2B437" w:rsidR="00C431EC" w:rsidRPr="002D7D11" w:rsidRDefault="00C431EC" w:rsidP="00C431EC">
            <w:pPr>
              <w:spacing w:after="0"/>
              <w:jc w:val="center"/>
              <w:textAlignment w:val="baseline"/>
              <w:rPr>
                <w:rFonts w:eastAsia="Verdana" w:cs="Verdana"/>
                <w:b/>
                <w:szCs w:val="20"/>
                <w:lang w:eastAsia="en-AU"/>
              </w:rPr>
            </w:pPr>
            <w:r w:rsidRPr="4EA0D814">
              <w:rPr>
                <w:rFonts w:eastAsia="Verdana" w:cs="Verdana"/>
                <w:b/>
                <w:color w:val="000000"/>
                <w:szCs w:val="20"/>
                <w:lang w:eastAsia="en-AU"/>
              </w:rPr>
              <w:t>VIC</w:t>
            </w:r>
          </w:p>
        </w:tc>
        <w:tc>
          <w:tcPr>
            <w:tcW w:w="38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hideMark/>
          </w:tcPr>
          <w:p w14:paraId="1501CDD8" w14:textId="19D0B6E8" w:rsidR="00C431EC" w:rsidRDefault="00C431EC" w:rsidP="009C0F1C">
            <w:pPr>
              <w:spacing w:after="0"/>
              <w:jc w:val="center"/>
              <w:rPr>
                <w:rFonts w:eastAsia="Verdana" w:cs="Verdana"/>
                <w:color w:val="000000"/>
                <w:szCs w:val="20"/>
              </w:rPr>
            </w:pPr>
            <w:r w:rsidRPr="4EA0D814">
              <w:rPr>
                <w:rFonts w:eastAsia="Verdana" w:cs="Verdana"/>
                <w:color w:val="000000"/>
                <w:szCs w:val="20"/>
              </w:rPr>
              <w:t>Broken</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hideMark/>
          </w:tcPr>
          <w:p w14:paraId="304EAC89" w14:textId="56A18B75" w:rsidR="00C431EC" w:rsidRDefault="00C431EC" w:rsidP="009C0F1C">
            <w:pPr>
              <w:spacing w:after="0"/>
              <w:jc w:val="center"/>
              <w:rPr>
                <w:rFonts w:eastAsia="Verdana" w:cs="Verdana"/>
                <w:color w:val="000000"/>
                <w:szCs w:val="20"/>
              </w:rPr>
            </w:pPr>
            <w:r w:rsidRPr="4EA0D814">
              <w:rPr>
                <w:rFonts w:eastAsia="Verdana" w:cs="Verdana"/>
                <w:color w:val="000000"/>
                <w:szCs w:val="20"/>
              </w:rPr>
              <w:t>SS5</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0208615F" w14:textId="527D7FD0" w:rsidR="00C431EC" w:rsidRDefault="00C431EC" w:rsidP="009C0F1C">
            <w:pPr>
              <w:spacing w:after="0"/>
              <w:jc w:val="center"/>
              <w:rPr>
                <w:rFonts w:eastAsia="Verdana" w:cs="Verdana"/>
                <w:color w:val="000000"/>
                <w:szCs w:val="20"/>
              </w:rPr>
            </w:pPr>
            <w:r w:rsidRPr="4EA0D814">
              <w:rPr>
                <w:rFonts w:eastAsia="Verdana" w:cs="Verdana"/>
                <w:color w:val="000000"/>
                <w:szCs w:val="20"/>
              </w:rPr>
              <w:t>49.0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4194BF0A" w14:textId="6C13BABB" w:rsidR="00C431EC" w:rsidRDefault="00C431EC" w:rsidP="009C0F1C">
            <w:pPr>
              <w:spacing w:after="0"/>
              <w:jc w:val="center"/>
              <w:rPr>
                <w:rFonts w:eastAsia="Verdana" w:cs="Verdana"/>
                <w:color w:val="000000"/>
                <w:szCs w:val="20"/>
              </w:rPr>
            </w:pPr>
            <w:r w:rsidRPr="4EA0D814">
              <w:rPr>
                <w:rFonts w:eastAsia="Verdana" w:cs="Verdana"/>
                <w:color w:val="000000"/>
                <w:szCs w:val="20"/>
              </w:rPr>
              <w:t>44.5</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0C772868" w14:textId="4321F154" w:rsidR="00C431EC" w:rsidRDefault="00C431EC" w:rsidP="009C0F1C">
            <w:pPr>
              <w:spacing w:after="0"/>
              <w:jc w:val="center"/>
              <w:rPr>
                <w:rFonts w:eastAsia="Verdana" w:cs="Verdana"/>
                <w:color w:val="000000"/>
                <w:szCs w:val="20"/>
              </w:rPr>
            </w:pPr>
            <w:r w:rsidRPr="4EA0D814">
              <w:rPr>
                <w:rFonts w:eastAsia="Verdana" w:cs="Verdana"/>
                <w:color w:val="000000"/>
                <w:szCs w:val="20"/>
              </w:rPr>
              <w:t>43.0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1237DDBC" w14:textId="3D93072F" w:rsidR="00C431EC" w:rsidRDefault="00C431EC" w:rsidP="009C0F1C">
            <w:pPr>
              <w:spacing w:after="0"/>
              <w:jc w:val="center"/>
              <w:rPr>
                <w:rFonts w:eastAsia="Verdana" w:cs="Verdana"/>
                <w:color w:val="000000"/>
                <w:szCs w:val="20"/>
              </w:rPr>
            </w:pPr>
            <w:r w:rsidRPr="4EA0D814">
              <w:rPr>
                <w:rFonts w:eastAsia="Verdana" w:cs="Verdana"/>
                <w:color w:val="000000"/>
                <w:szCs w:val="20"/>
              </w:rPr>
              <w:t>1.4</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391693E2" w14:textId="0B18AEC6" w:rsidR="00C431EC" w:rsidRDefault="00C431EC" w:rsidP="009C0F1C">
            <w:pPr>
              <w:spacing w:after="0"/>
              <w:jc w:val="center"/>
              <w:rPr>
                <w:rFonts w:eastAsia="Verdana" w:cs="Verdana"/>
                <w:color w:val="000000"/>
                <w:szCs w:val="20"/>
              </w:rPr>
            </w:pPr>
            <w:r w:rsidRPr="4EA0D814">
              <w:rPr>
                <w:rFonts w:eastAsia="Verdana" w:cs="Verdana"/>
                <w:color w:val="000000"/>
                <w:szCs w:val="20"/>
              </w:rPr>
              <w:t>4.6</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4C99AE25" w14:textId="5BC5B35F" w:rsidR="00C431EC" w:rsidRDefault="00C431EC" w:rsidP="009C0F1C">
            <w:pPr>
              <w:spacing w:after="0"/>
              <w:jc w:val="center"/>
              <w:rPr>
                <w:rFonts w:eastAsia="Verdana" w:cs="Verdana"/>
                <w:color w:val="000000"/>
                <w:szCs w:val="20"/>
              </w:rPr>
            </w:pPr>
            <w:r w:rsidRPr="4EA0D814">
              <w:rPr>
                <w:rFonts w:eastAsia="Verdana" w:cs="Verdana"/>
                <w:color w:val="000000"/>
                <w:szCs w:val="20"/>
              </w:rPr>
              <w:t>6.1</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39D9F33B" w14:textId="117D2687" w:rsidR="00C431EC" w:rsidRDefault="00C431EC" w:rsidP="009C0F1C">
            <w:pPr>
              <w:spacing w:after="0"/>
              <w:jc w:val="center"/>
              <w:rPr>
                <w:rFonts w:eastAsia="Verdana" w:cs="Verdana"/>
                <w:color w:val="000000"/>
                <w:szCs w:val="20"/>
              </w:rPr>
            </w:pPr>
            <w:r w:rsidRPr="4EA0D814">
              <w:rPr>
                <w:rFonts w:eastAsia="Verdana" w:cs="Verdana"/>
                <w:color w:val="000000"/>
                <w:szCs w:val="20"/>
              </w:rPr>
              <w:t>0.0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335A4792" w14:textId="441E9890" w:rsidR="00C431EC" w:rsidRDefault="00C431EC" w:rsidP="009C0F1C">
            <w:pPr>
              <w:spacing w:after="0"/>
              <w:jc w:val="center"/>
              <w:rPr>
                <w:rFonts w:eastAsia="Verdana" w:cs="Verdana"/>
                <w:color w:val="000000"/>
                <w:szCs w:val="20"/>
              </w:rPr>
            </w:pPr>
            <w:r w:rsidRPr="4EA0D814">
              <w:rPr>
                <w:rFonts w:eastAsia="Verdana" w:cs="Verdana"/>
                <w:color w:val="000000"/>
                <w:szCs w:val="20"/>
              </w:rPr>
              <w:t>4.0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231EB634" w14:textId="67219F0F" w:rsidR="00C431EC" w:rsidRDefault="00C431EC" w:rsidP="009C0F1C">
            <w:pPr>
              <w:spacing w:after="0"/>
              <w:jc w:val="center"/>
              <w:rPr>
                <w:rFonts w:eastAsia="Verdana" w:cs="Verdana"/>
                <w:color w:val="000000"/>
                <w:szCs w:val="20"/>
              </w:rPr>
            </w:pPr>
            <w:r w:rsidRPr="4EA0D814">
              <w:rPr>
                <w:rFonts w:eastAsia="Verdana" w:cs="Verdana"/>
                <w:color w:val="000000"/>
                <w:szCs w:val="20"/>
              </w:rPr>
              <w:t>10.0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6F30C563" w14:textId="740263A7" w:rsidR="00C431EC" w:rsidRDefault="00C431EC" w:rsidP="009C0F1C">
            <w:pPr>
              <w:spacing w:after="0"/>
              <w:jc w:val="center"/>
              <w:rPr>
                <w:rFonts w:eastAsia="Verdana" w:cs="Verdana"/>
                <w:color w:val="000000"/>
                <w:szCs w:val="20"/>
              </w:rPr>
            </w:pPr>
            <w:r w:rsidRPr="4EA0D814">
              <w:rPr>
                <w:rFonts w:eastAsia="Verdana" w:cs="Verdana"/>
                <w:color w:val="000000"/>
                <w:szCs w:val="20"/>
              </w:rPr>
              <w:t>-9.8</w:t>
            </w:r>
          </w:p>
        </w:tc>
        <w:tc>
          <w:tcPr>
            <w:tcW w:w="51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6A6BBA68" w14:textId="12951298" w:rsidR="00C431EC" w:rsidRDefault="00C431EC" w:rsidP="009C0F1C">
            <w:pPr>
              <w:spacing w:after="0"/>
              <w:jc w:val="center"/>
              <w:rPr>
                <w:rFonts w:eastAsia="Verdana" w:cs="Verdana"/>
                <w:color w:val="000000"/>
                <w:szCs w:val="20"/>
              </w:rPr>
            </w:pPr>
            <w:r w:rsidRPr="4EA0D814">
              <w:rPr>
                <w:rFonts w:eastAsia="Verdana" w:cs="Verdana"/>
                <w:color w:val="000000"/>
                <w:szCs w:val="20"/>
              </w:rPr>
              <w:t>No</w:t>
            </w:r>
          </w:p>
        </w:tc>
      </w:tr>
      <w:tr w:rsidR="00C431EC" w:rsidRPr="002D7D11" w14:paraId="4011FA04" w14:textId="77777777" w:rsidTr="005C5B3F">
        <w:trPr>
          <w:trHeight w:val="567"/>
          <w:jc w:val="center"/>
        </w:trPr>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hideMark/>
          </w:tcPr>
          <w:p w14:paraId="46736EA2" w14:textId="7D28AEC4" w:rsidR="00C431EC" w:rsidRPr="002D7D11" w:rsidRDefault="00C431EC" w:rsidP="00C431EC">
            <w:pPr>
              <w:spacing w:after="0"/>
              <w:jc w:val="center"/>
              <w:textAlignment w:val="baseline"/>
              <w:rPr>
                <w:rFonts w:eastAsia="Verdana" w:cs="Verdana"/>
                <w:b/>
                <w:szCs w:val="20"/>
                <w:lang w:eastAsia="en-AU"/>
              </w:rPr>
            </w:pPr>
            <w:r w:rsidRPr="4EA0D814">
              <w:rPr>
                <w:rFonts w:eastAsia="Verdana" w:cs="Verdana"/>
                <w:b/>
                <w:color w:val="000000"/>
                <w:szCs w:val="20"/>
                <w:lang w:eastAsia="en-AU"/>
              </w:rPr>
              <w:t>VIC</w:t>
            </w:r>
          </w:p>
        </w:tc>
        <w:tc>
          <w:tcPr>
            <w:tcW w:w="38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hideMark/>
          </w:tcPr>
          <w:p w14:paraId="0D0F560F" w14:textId="255F27A4" w:rsidR="00C431EC" w:rsidRDefault="00C431EC" w:rsidP="009C0F1C">
            <w:pPr>
              <w:spacing w:after="0"/>
              <w:jc w:val="center"/>
              <w:rPr>
                <w:rFonts w:eastAsia="Verdana" w:cs="Verdana"/>
                <w:color w:val="000000"/>
                <w:szCs w:val="20"/>
              </w:rPr>
            </w:pPr>
            <w:r w:rsidRPr="4EA0D814">
              <w:rPr>
                <w:rFonts w:eastAsia="Verdana" w:cs="Verdana"/>
                <w:color w:val="000000"/>
                <w:szCs w:val="20"/>
              </w:rPr>
              <w:t>Goulburn</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hideMark/>
          </w:tcPr>
          <w:p w14:paraId="355478B8" w14:textId="56F1423F" w:rsidR="00C431EC" w:rsidRDefault="00C431EC" w:rsidP="009C0F1C">
            <w:pPr>
              <w:spacing w:after="0"/>
              <w:jc w:val="center"/>
              <w:rPr>
                <w:rFonts w:eastAsia="Verdana" w:cs="Verdana"/>
                <w:color w:val="000000"/>
                <w:szCs w:val="20"/>
              </w:rPr>
            </w:pPr>
            <w:r w:rsidRPr="4EA0D814">
              <w:rPr>
                <w:rFonts w:eastAsia="Verdana" w:cs="Verdana"/>
                <w:color w:val="000000"/>
                <w:szCs w:val="20"/>
              </w:rPr>
              <w:t>SS6</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32058F19" w14:textId="4FB15FDD" w:rsidR="00C431EC" w:rsidRDefault="00C431EC" w:rsidP="009C0F1C">
            <w:pPr>
              <w:spacing w:after="0"/>
              <w:jc w:val="center"/>
              <w:rPr>
                <w:rFonts w:eastAsia="Verdana" w:cs="Verdana"/>
                <w:color w:val="000000"/>
                <w:szCs w:val="20"/>
              </w:rPr>
            </w:pPr>
            <w:r w:rsidRPr="4EA0D814">
              <w:rPr>
                <w:rFonts w:eastAsia="Verdana" w:cs="Verdana"/>
                <w:color w:val="000000"/>
                <w:szCs w:val="20"/>
              </w:rPr>
              <w:t>1278.4</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6A987AD2" w14:textId="7B3DD482" w:rsidR="00C431EC" w:rsidRDefault="00C431EC" w:rsidP="009C0F1C">
            <w:pPr>
              <w:spacing w:after="0"/>
              <w:jc w:val="center"/>
              <w:rPr>
                <w:rFonts w:eastAsia="Verdana" w:cs="Verdana"/>
                <w:color w:val="000000"/>
                <w:szCs w:val="20"/>
              </w:rPr>
            </w:pPr>
            <w:r w:rsidRPr="4EA0D814">
              <w:rPr>
                <w:rFonts w:eastAsia="Verdana" w:cs="Verdana"/>
                <w:color w:val="000000"/>
                <w:szCs w:val="20"/>
              </w:rPr>
              <w:t>1196.0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5517FE60" w14:textId="195D74F5" w:rsidR="00C431EC" w:rsidRDefault="00C431EC" w:rsidP="009C0F1C">
            <w:pPr>
              <w:spacing w:after="0"/>
              <w:jc w:val="center"/>
              <w:rPr>
                <w:rFonts w:eastAsia="Verdana" w:cs="Verdana"/>
                <w:color w:val="000000"/>
                <w:szCs w:val="20"/>
              </w:rPr>
            </w:pPr>
            <w:r w:rsidRPr="4EA0D814">
              <w:rPr>
                <w:rFonts w:eastAsia="Verdana" w:cs="Verdana"/>
                <w:color w:val="000000"/>
                <w:szCs w:val="20"/>
              </w:rPr>
              <w:t>824.0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77FF1B11" w14:textId="7140D07F" w:rsidR="00C431EC" w:rsidRDefault="00C431EC" w:rsidP="009C0F1C">
            <w:pPr>
              <w:spacing w:after="0"/>
              <w:jc w:val="center"/>
              <w:rPr>
                <w:rFonts w:eastAsia="Verdana" w:cs="Verdana"/>
                <w:color w:val="000000"/>
                <w:szCs w:val="20"/>
              </w:rPr>
            </w:pPr>
            <w:r w:rsidRPr="4EA0D814">
              <w:rPr>
                <w:rFonts w:eastAsia="Verdana" w:cs="Verdana"/>
                <w:color w:val="000000"/>
                <w:szCs w:val="20"/>
              </w:rPr>
              <w:t>372.0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53B769F4" w14:textId="547C89ED" w:rsidR="00C431EC" w:rsidRDefault="00C431EC" w:rsidP="009C0F1C">
            <w:pPr>
              <w:spacing w:after="0"/>
              <w:jc w:val="center"/>
              <w:rPr>
                <w:rFonts w:eastAsia="Verdana" w:cs="Verdana"/>
                <w:color w:val="000000"/>
                <w:szCs w:val="20"/>
              </w:rPr>
            </w:pPr>
            <w:r w:rsidRPr="4EA0D814">
              <w:rPr>
                <w:rFonts w:eastAsia="Verdana" w:cs="Verdana"/>
                <w:color w:val="000000"/>
                <w:szCs w:val="20"/>
              </w:rPr>
              <w:t>1141.2</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290B939D" w14:textId="6C808BD1" w:rsidR="00C431EC" w:rsidRDefault="00C431EC" w:rsidP="009C0F1C">
            <w:pPr>
              <w:spacing w:after="0"/>
              <w:jc w:val="center"/>
              <w:rPr>
                <w:rFonts w:eastAsia="Verdana" w:cs="Verdana"/>
                <w:color w:val="000000"/>
                <w:szCs w:val="20"/>
              </w:rPr>
            </w:pPr>
            <w:r w:rsidRPr="4EA0D814">
              <w:rPr>
                <w:rFonts w:eastAsia="Verdana" w:cs="Verdana"/>
                <w:color w:val="000000"/>
                <w:szCs w:val="20"/>
              </w:rPr>
              <w:t>1513.2</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6C1A3E6D" w14:textId="67855ABD" w:rsidR="00C431EC" w:rsidRDefault="00C431EC" w:rsidP="009C0F1C">
            <w:pPr>
              <w:spacing w:after="0"/>
              <w:jc w:val="center"/>
              <w:rPr>
                <w:rFonts w:eastAsia="Verdana" w:cs="Verdana"/>
                <w:color w:val="000000"/>
                <w:szCs w:val="20"/>
              </w:rPr>
            </w:pPr>
            <w:r w:rsidRPr="4EA0D814">
              <w:rPr>
                <w:rFonts w:eastAsia="Verdana" w:cs="Verdana"/>
                <w:color w:val="000000"/>
                <w:szCs w:val="20"/>
              </w:rPr>
              <w:t>9.0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279357EA" w14:textId="5CABC628" w:rsidR="00C431EC" w:rsidRDefault="00C431EC" w:rsidP="009C0F1C">
            <w:pPr>
              <w:spacing w:after="0"/>
              <w:jc w:val="center"/>
              <w:rPr>
                <w:rFonts w:eastAsia="Verdana" w:cs="Verdana"/>
                <w:color w:val="000000"/>
                <w:szCs w:val="20"/>
              </w:rPr>
            </w:pPr>
            <w:r w:rsidRPr="4EA0D814">
              <w:rPr>
                <w:rFonts w:eastAsia="Verdana" w:cs="Verdana"/>
                <w:color w:val="000000"/>
                <w:szCs w:val="20"/>
              </w:rPr>
              <w:t>325.8</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5E68B9E3" w14:textId="7A9E309C" w:rsidR="00C431EC" w:rsidRDefault="00C431EC" w:rsidP="009C0F1C">
            <w:pPr>
              <w:spacing w:after="0"/>
              <w:jc w:val="center"/>
              <w:rPr>
                <w:rFonts w:eastAsia="Verdana" w:cs="Verdana"/>
                <w:color w:val="000000"/>
                <w:szCs w:val="20"/>
              </w:rPr>
            </w:pPr>
            <w:r w:rsidRPr="4EA0D814">
              <w:rPr>
                <w:rFonts w:eastAsia="Verdana" w:cs="Verdana"/>
                <w:color w:val="000000"/>
                <w:szCs w:val="20"/>
              </w:rPr>
              <w:t>1848.0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10B122CF" w14:textId="4AC10D16" w:rsidR="00C431EC" w:rsidRDefault="00C431EC" w:rsidP="009C0F1C">
            <w:pPr>
              <w:spacing w:after="0"/>
              <w:jc w:val="center"/>
              <w:rPr>
                <w:rFonts w:eastAsia="Verdana" w:cs="Verdana"/>
                <w:color w:val="000000"/>
                <w:szCs w:val="20"/>
              </w:rPr>
            </w:pPr>
            <w:r w:rsidRPr="4EA0D814">
              <w:rPr>
                <w:rFonts w:eastAsia="Verdana" w:cs="Verdana"/>
                <w:color w:val="000000"/>
                <w:szCs w:val="20"/>
              </w:rPr>
              <w:t>-255.7</w:t>
            </w:r>
          </w:p>
        </w:tc>
        <w:tc>
          <w:tcPr>
            <w:tcW w:w="51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74CB4A6E" w14:textId="543E27F7" w:rsidR="00C431EC" w:rsidRDefault="00C431EC" w:rsidP="009C0F1C">
            <w:pPr>
              <w:spacing w:after="0"/>
              <w:jc w:val="center"/>
              <w:rPr>
                <w:rFonts w:eastAsia="Verdana" w:cs="Verdana"/>
                <w:color w:val="000000"/>
                <w:szCs w:val="20"/>
              </w:rPr>
            </w:pPr>
            <w:r w:rsidRPr="4EA0D814">
              <w:rPr>
                <w:rFonts w:eastAsia="Verdana" w:cs="Verdana"/>
                <w:color w:val="000000"/>
                <w:szCs w:val="20"/>
              </w:rPr>
              <w:t>No</w:t>
            </w:r>
          </w:p>
        </w:tc>
      </w:tr>
      <w:tr w:rsidR="00C431EC" w:rsidRPr="002D7D11" w14:paraId="563B5215" w14:textId="77777777" w:rsidTr="005C5B3F">
        <w:trPr>
          <w:trHeight w:val="567"/>
          <w:jc w:val="center"/>
        </w:trPr>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hideMark/>
          </w:tcPr>
          <w:p w14:paraId="0CB153FB" w14:textId="1CC5A119" w:rsidR="00C431EC" w:rsidRPr="002D7D11" w:rsidRDefault="00C431EC" w:rsidP="00C431EC">
            <w:pPr>
              <w:spacing w:after="0"/>
              <w:jc w:val="center"/>
              <w:textAlignment w:val="baseline"/>
              <w:rPr>
                <w:rFonts w:eastAsia="Verdana" w:cs="Verdana"/>
                <w:b/>
                <w:szCs w:val="20"/>
                <w:lang w:eastAsia="en-AU"/>
              </w:rPr>
            </w:pPr>
            <w:r w:rsidRPr="4EA0D814">
              <w:rPr>
                <w:rFonts w:eastAsia="Verdana" w:cs="Verdana"/>
                <w:b/>
                <w:color w:val="000000"/>
                <w:szCs w:val="20"/>
                <w:lang w:eastAsia="en-AU"/>
              </w:rPr>
              <w:t>VIC</w:t>
            </w:r>
          </w:p>
        </w:tc>
        <w:tc>
          <w:tcPr>
            <w:tcW w:w="38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hideMark/>
          </w:tcPr>
          <w:p w14:paraId="1F8810C9" w14:textId="40120F12" w:rsidR="00C431EC" w:rsidRDefault="00C431EC" w:rsidP="009C0F1C">
            <w:pPr>
              <w:spacing w:after="0"/>
              <w:jc w:val="center"/>
              <w:rPr>
                <w:rFonts w:eastAsia="Verdana" w:cs="Verdana"/>
                <w:color w:val="000000"/>
                <w:szCs w:val="20"/>
              </w:rPr>
            </w:pPr>
            <w:r w:rsidRPr="4EA0D814">
              <w:rPr>
                <w:rFonts w:eastAsia="Verdana" w:cs="Verdana"/>
                <w:color w:val="000000"/>
                <w:szCs w:val="20"/>
              </w:rPr>
              <w:t>Campaspe</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hideMark/>
          </w:tcPr>
          <w:p w14:paraId="3AB12E70" w14:textId="7FFC2C82" w:rsidR="00C431EC" w:rsidRDefault="00C431EC" w:rsidP="009C0F1C">
            <w:pPr>
              <w:spacing w:after="0"/>
              <w:jc w:val="center"/>
              <w:rPr>
                <w:rFonts w:eastAsia="Verdana" w:cs="Verdana"/>
                <w:color w:val="000000"/>
                <w:szCs w:val="20"/>
              </w:rPr>
            </w:pPr>
            <w:r w:rsidRPr="4EA0D814">
              <w:rPr>
                <w:rFonts w:eastAsia="Verdana" w:cs="Verdana"/>
                <w:color w:val="000000"/>
                <w:szCs w:val="20"/>
              </w:rPr>
              <w:t>SS7</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5D4A43AA" w14:textId="0403FA1B" w:rsidR="00C431EC" w:rsidRDefault="00C431EC" w:rsidP="009C0F1C">
            <w:pPr>
              <w:spacing w:after="0"/>
              <w:jc w:val="center"/>
              <w:rPr>
                <w:rFonts w:eastAsia="Verdana" w:cs="Verdana"/>
                <w:color w:val="000000"/>
                <w:szCs w:val="20"/>
              </w:rPr>
            </w:pPr>
            <w:r w:rsidRPr="4EA0D814">
              <w:rPr>
                <w:rFonts w:eastAsia="Verdana" w:cs="Verdana"/>
                <w:color w:val="000000"/>
                <w:szCs w:val="20"/>
              </w:rPr>
              <w:t>111.8</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57A19422" w14:textId="33A314E4" w:rsidR="00C431EC" w:rsidRDefault="00C431EC" w:rsidP="009C0F1C">
            <w:pPr>
              <w:spacing w:after="0"/>
              <w:jc w:val="center"/>
              <w:rPr>
                <w:rFonts w:eastAsia="Verdana" w:cs="Verdana"/>
                <w:color w:val="000000"/>
                <w:szCs w:val="20"/>
              </w:rPr>
            </w:pPr>
            <w:r w:rsidRPr="4EA0D814">
              <w:rPr>
                <w:rFonts w:eastAsia="Verdana" w:cs="Verdana"/>
                <w:color w:val="000000"/>
                <w:szCs w:val="20"/>
              </w:rPr>
              <w:t>95.8</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5120F698" w14:textId="596D460F" w:rsidR="00C431EC" w:rsidRDefault="00C431EC" w:rsidP="009C0F1C">
            <w:pPr>
              <w:spacing w:after="0"/>
              <w:jc w:val="center"/>
              <w:rPr>
                <w:rFonts w:eastAsia="Verdana" w:cs="Verdana"/>
                <w:color w:val="000000"/>
                <w:szCs w:val="20"/>
              </w:rPr>
            </w:pPr>
            <w:r w:rsidRPr="4EA0D814">
              <w:rPr>
                <w:rFonts w:eastAsia="Verdana" w:cs="Verdana"/>
                <w:color w:val="000000"/>
                <w:szCs w:val="20"/>
              </w:rPr>
              <w:t>75.1</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008C0BFF" w14:textId="07E58978" w:rsidR="00C431EC" w:rsidRDefault="00C431EC" w:rsidP="009C0F1C">
            <w:pPr>
              <w:spacing w:after="0"/>
              <w:jc w:val="center"/>
              <w:rPr>
                <w:rFonts w:eastAsia="Verdana" w:cs="Verdana"/>
                <w:color w:val="000000"/>
                <w:szCs w:val="20"/>
              </w:rPr>
            </w:pPr>
            <w:r w:rsidRPr="4EA0D814">
              <w:rPr>
                <w:rFonts w:eastAsia="Verdana" w:cs="Verdana"/>
                <w:color w:val="000000"/>
                <w:szCs w:val="20"/>
              </w:rPr>
              <w:t>20.6</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26300EF7" w14:textId="374A0AEF" w:rsidR="00C431EC" w:rsidRDefault="00C431EC" w:rsidP="009C0F1C">
            <w:pPr>
              <w:spacing w:after="0"/>
              <w:jc w:val="center"/>
              <w:rPr>
                <w:rFonts w:eastAsia="Verdana" w:cs="Verdana"/>
                <w:color w:val="000000"/>
                <w:szCs w:val="20"/>
              </w:rPr>
            </w:pPr>
            <w:r w:rsidRPr="4EA0D814">
              <w:rPr>
                <w:rFonts w:eastAsia="Verdana" w:cs="Verdana"/>
                <w:color w:val="000000"/>
                <w:szCs w:val="20"/>
              </w:rPr>
              <w:t>60.2</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4C422F2D" w14:textId="4C97E843" w:rsidR="00C431EC" w:rsidRDefault="00C431EC" w:rsidP="009C0F1C">
            <w:pPr>
              <w:spacing w:after="0"/>
              <w:jc w:val="center"/>
              <w:rPr>
                <w:rFonts w:eastAsia="Verdana" w:cs="Verdana"/>
                <w:color w:val="000000"/>
                <w:szCs w:val="20"/>
              </w:rPr>
            </w:pPr>
            <w:r w:rsidRPr="4EA0D814">
              <w:rPr>
                <w:rFonts w:eastAsia="Verdana" w:cs="Verdana"/>
                <w:color w:val="000000"/>
                <w:szCs w:val="20"/>
              </w:rPr>
              <w:t>80.9</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6B3963B2" w14:textId="12650448" w:rsidR="00C431EC" w:rsidRDefault="00C431EC" w:rsidP="009C0F1C">
            <w:pPr>
              <w:spacing w:after="0"/>
              <w:jc w:val="center"/>
              <w:rPr>
                <w:rFonts w:eastAsia="Verdana" w:cs="Verdana"/>
                <w:color w:val="000000"/>
                <w:szCs w:val="20"/>
              </w:rPr>
            </w:pPr>
            <w:r w:rsidRPr="4EA0D814">
              <w:rPr>
                <w:rFonts w:eastAsia="Verdana" w:cs="Verdana"/>
                <w:color w:val="000000"/>
                <w:szCs w:val="20"/>
              </w:rPr>
              <w:t>0.8</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0D59CD81" w14:textId="1AB1D695" w:rsidR="00C431EC" w:rsidRDefault="00C431EC" w:rsidP="009C0F1C">
            <w:pPr>
              <w:spacing w:after="0"/>
              <w:jc w:val="center"/>
              <w:rPr>
                <w:rFonts w:eastAsia="Verdana" w:cs="Verdana"/>
                <w:color w:val="000000"/>
                <w:szCs w:val="20"/>
              </w:rPr>
            </w:pPr>
            <w:r w:rsidRPr="4EA0D814">
              <w:rPr>
                <w:rFonts w:eastAsia="Verdana" w:cs="Verdana"/>
                <w:color w:val="000000"/>
                <w:szCs w:val="20"/>
              </w:rPr>
              <w:t>22.5</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1F2F9FF5" w14:textId="3603B151" w:rsidR="00C431EC" w:rsidRDefault="00C431EC" w:rsidP="009C0F1C">
            <w:pPr>
              <w:spacing w:after="0"/>
              <w:jc w:val="center"/>
              <w:rPr>
                <w:rFonts w:eastAsia="Verdana" w:cs="Verdana"/>
                <w:color w:val="000000"/>
                <w:szCs w:val="20"/>
              </w:rPr>
            </w:pPr>
            <w:r w:rsidRPr="4EA0D814">
              <w:rPr>
                <w:rFonts w:eastAsia="Verdana" w:cs="Verdana"/>
                <w:color w:val="000000"/>
                <w:szCs w:val="20"/>
              </w:rPr>
              <w:t>104.2</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274379B7" w14:textId="55C2782E" w:rsidR="00C431EC" w:rsidRDefault="00C431EC" w:rsidP="009C0F1C">
            <w:pPr>
              <w:spacing w:after="0"/>
              <w:jc w:val="center"/>
              <w:rPr>
                <w:rFonts w:eastAsia="Verdana" w:cs="Verdana"/>
                <w:color w:val="000000"/>
                <w:szCs w:val="20"/>
              </w:rPr>
            </w:pPr>
            <w:r w:rsidRPr="4EA0D814">
              <w:rPr>
                <w:rFonts w:eastAsia="Verdana" w:cs="Verdana"/>
                <w:color w:val="000000"/>
                <w:szCs w:val="20"/>
              </w:rPr>
              <w:t>-22.4</w:t>
            </w:r>
          </w:p>
        </w:tc>
        <w:tc>
          <w:tcPr>
            <w:tcW w:w="51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6CE18668" w14:textId="6B9B2A17" w:rsidR="00C431EC" w:rsidRDefault="00C431EC" w:rsidP="009C0F1C">
            <w:pPr>
              <w:spacing w:after="0"/>
              <w:jc w:val="center"/>
              <w:rPr>
                <w:rFonts w:eastAsia="Verdana" w:cs="Verdana"/>
                <w:color w:val="000000"/>
                <w:szCs w:val="20"/>
              </w:rPr>
            </w:pPr>
            <w:r w:rsidRPr="4EA0D814">
              <w:rPr>
                <w:rFonts w:eastAsia="Verdana" w:cs="Verdana"/>
                <w:color w:val="000000"/>
                <w:szCs w:val="20"/>
              </w:rPr>
              <w:t>No</w:t>
            </w:r>
          </w:p>
        </w:tc>
      </w:tr>
      <w:tr w:rsidR="00C431EC" w:rsidRPr="002D7D11" w14:paraId="3E34AF48" w14:textId="77777777" w:rsidTr="005C5B3F">
        <w:trPr>
          <w:trHeight w:val="567"/>
          <w:jc w:val="center"/>
        </w:trPr>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hideMark/>
          </w:tcPr>
          <w:p w14:paraId="3CC8D3F5" w14:textId="64C1F45A" w:rsidR="00C431EC" w:rsidRPr="002D7D11" w:rsidRDefault="00C431EC" w:rsidP="00C431EC">
            <w:pPr>
              <w:spacing w:after="0"/>
              <w:jc w:val="center"/>
              <w:textAlignment w:val="baseline"/>
              <w:rPr>
                <w:rFonts w:eastAsia="Verdana" w:cs="Verdana"/>
                <w:b/>
                <w:szCs w:val="20"/>
                <w:lang w:eastAsia="en-AU"/>
              </w:rPr>
            </w:pPr>
            <w:r w:rsidRPr="4EA0D814">
              <w:rPr>
                <w:rFonts w:eastAsia="Verdana" w:cs="Verdana"/>
                <w:b/>
                <w:color w:val="000000"/>
                <w:szCs w:val="20"/>
                <w:lang w:eastAsia="en-AU"/>
              </w:rPr>
              <w:t>VIC</w:t>
            </w:r>
          </w:p>
        </w:tc>
        <w:tc>
          <w:tcPr>
            <w:tcW w:w="38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hideMark/>
          </w:tcPr>
          <w:p w14:paraId="54D8C390" w14:textId="3D24E622" w:rsidR="00C431EC" w:rsidRDefault="00C431EC" w:rsidP="009C0F1C">
            <w:pPr>
              <w:spacing w:after="0"/>
              <w:jc w:val="center"/>
              <w:rPr>
                <w:rFonts w:eastAsia="Verdana" w:cs="Verdana"/>
                <w:color w:val="000000"/>
                <w:szCs w:val="20"/>
              </w:rPr>
            </w:pPr>
            <w:r w:rsidRPr="4EA0D814">
              <w:rPr>
                <w:rFonts w:eastAsia="Verdana" w:cs="Verdana"/>
                <w:color w:val="000000"/>
                <w:szCs w:val="20"/>
              </w:rPr>
              <w:t>Loddon</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hideMark/>
          </w:tcPr>
          <w:p w14:paraId="3FE9AC87" w14:textId="0D7A2060" w:rsidR="00C431EC" w:rsidRDefault="00C431EC" w:rsidP="009C0F1C">
            <w:pPr>
              <w:spacing w:after="0"/>
              <w:jc w:val="center"/>
              <w:rPr>
                <w:rFonts w:eastAsia="Verdana" w:cs="Verdana"/>
                <w:color w:val="000000"/>
                <w:szCs w:val="20"/>
              </w:rPr>
            </w:pPr>
            <w:r w:rsidRPr="4EA0D814">
              <w:rPr>
                <w:rFonts w:eastAsia="Verdana" w:cs="Verdana"/>
                <w:color w:val="000000"/>
                <w:szCs w:val="20"/>
              </w:rPr>
              <w:t>SS8</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2F6661D7" w14:textId="4BD7D39E" w:rsidR="00C431EC" w:rsidRDefault="00C431EC" w:rsidP="009C0F1C">
            <w:pPr>
              <w:spacing w:after="0"/>
              <w:jc w:val="center"/>
              <w:rPr>
                <w:rFonts w:eastAsia="Verdana" w:cs="Verdana"/>
                <w:color w:val="000000"/>
                <w:szCs w:val="20"/>
              </w:rPr>
            </w:pPr>
            <w:r w:rsidRPr="4EA0D814">
              <w:rPr>
                <w:rFonts w:eastAsia="Verdana" w:cs="Verdana"/>
                <w:color w:val="000000"/>
                <w:szCs w:val="20"/>
              </w:rPr>
              <w:t>127.9</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4EF93D8A" w14:textId="6963A2DD" w:rsidR="00C431EC" w:rsidRDefault="00C431EC" w:rsidP="009C0F1C">
            <w:pPr>
              <w:spacing w:after="0"/>
              <w:jc w:val="center"/>
              <w:rPr>
                <w:rFonts w:eastAsia="Verdana" w:cs="Verdana"/>
                <w:color w:val="000000"/>
                <w:szCs w:val="20"/>
              </w:rPr>
            </w:pPr>
            <w:r w:rsidRPr="4EA0D814">
              <w:rPr>
                <w:rFonts w:eastAsia="Verdana" w:cs="Verdana"/>
                <w:color w:val="000000"/>
                <w:szCs w:val="20"/>
              </w:rPr>
              <w:t>128.7</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7E737C49" w14:textId="250FF1EA" w:rsidR="00C431EC" w:rsidRDefault="00C431EC" w:rsidP="009C0F1C">
            <w:pPr>
              <w:spacing w:after="0"/>
              <w:jc w:val="center"/>
              <w:rPr>
                <w:rFonts w:eastAsia="Verdana" w:cs="Verdana"/>
                <w:color w:val="000000"/>
                <w:szCs w:val="20"/>
              </w:rPr>
            </w:pPr>
            <w:r w:rsidRPr="4EA0D814">
              <w:rPr>
                <w:rFonts w:eastAsia="Verdana" w:cs="Verdana"/>
                <w:color w:val="000000"/>
                <w:szCs w:val="20"/>
              </w:rPr>
              <w:t>88.3</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1A9CDDFA" w14:textId="590DFFAC" w:rsidR="00C431EC" w:rsidRDefault="00C431EC" w:rsidP="009C0F1C">
            <w:pPr>
              <w:spacing w:after="0"/>
              <w:jc w:val="center"/>
              <w:rPr>
                <w:rFonts w:eastAsia="Verdana" w:cs="Verdana"/>
                <w:color w:val="000000"/>
                <w:szCs w:val="20"/>
              </w:rPr>
            </w:pPr>
            <w:r w:rsidRPr="4EA0D814">
              <w:rPr>
                <w:rFonts w:eastAsia="Verdana" w:cs="Verdana"/>
                <w:color w:val="000000"/>
                <w:szCs w:val="20"/>
              </w:rPr>
              <w:t>40.4</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5B0524EB" w14:textId="71B8A785" w:rsidR="00C431EC" w:rsidRDefault="00C431EC" w:rsidP="009C0F1C">
            <w:pPr>
              <w:spacing w:after="0"/>
              <w:jc w:val="center"/>
              <w:rPr>
                <w:rFonts w:eastAsia="Verdana" w:cs="Verdana"/>
                <w:color w:val="000000"/>
                <w:szCs w:val="20"/>
              </w:rPr>
            </w:pPr>
            <w:r w:rsidRPr="4EA0D814">
              <w:rPr>
                <w:rFonts w:eastAsia="Verdana" w:cs="Verdana"/>
                <w:color w:val="000000"/>
                <w:szCs w:val="20"/>
              </w:rPr>
              <w:t>71.6</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2DD5A7D3" w14:textId="02E7C8C4" w:rsidR="00C431EC" w:rsidRDefault="00C431EC" w:rsidP="009C0F1C">
            <w:pPr>
              <w:spacing w:after="0"/>
              <w:jc w:val="center"/>
              <w:rPr>
                <w:rFonts w:eastAsia="Verdana" w:cs="Verdana"/>
                <w:color w:val="000000"/>
                <w:szCs w:val="20"/>
              </w:rPr>
            </w:pPr>
            <w:r w:rsidRPr="4EA0D814">
              <w:rPr>
                <w:rFonts w:eastAsia="Verdana" w:cs="Verdana"/>
                <w:color w:val="000000"/>
                <w:szCs w:val="20"/>
              </w:rPr>
              <w:t>112.0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6E820FB2" w14:textId="348D2653" w:rsidR="00C431EC" w:rsidRDefault="00C431EC" w:rsidP="009C0F1C">
            <w:pPr>
              <w:spacing w:after="0"/>
              <w:jc w:val="center"/>
              <w:rPr>
                <w:rFonts w:eastAsia="Verdana" w:cs="Verdana"/>
                <w:color w:val="000000"/>
                <w:szCs w:val="20"/>
              </w:rPr>
            </w:pPr>
            <w:r w:rsidRPr="4EA0D814">
              <w:rPr>
                <w:rFonts w:eastAsia="Verdana" w:cs="Verdana"/>
                <w:color w:val="000000"/>
                <w:szCs w:val="20"/>
              </w:rPr>
              <w:t>0.0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6E996037" w14:textId="6A7EDF98" w:rsidR="00C431EC" w:rsidRDefault="00C431EC" w:rsidP="009C0F1C">
            <w:pPr>
              <w:spacing w:after="0"/>
              <w:jc w:val="center"/>
              <w:rPr>
                <w:rFonts w:eastAsia="Verdana" w:cs="Verdana"/>
                <w:color w:val="000000"/>
                <w:szCs w:val="20"/>
              </w:rPr>
            </w:pPr>
            <w:r w:rsidRPr="4EA0D814">
              <w:rPr>
                <w:rFonts w:eastAsia="Verdana" w:cs="Verdana"/>
                <w:color w:val="000000"/>
                <w:szCs w:val="20"/>
              </w:rPr>
              <w:t>54.6</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598296C9" w14:textId="4CA7185B" w:rsidR="00C431EC" w:rsidRDefault="00C431EC" w:rsidP="009C0F1C">
            <w:pPr>
              <w:spacing w:after="0"/>
              <w:jc w:val="center"/>
              <w:rPr>
                <w:rFonts w:eastAsia="Verdana" w:cs="Verdana"/>
                <w:color w:val="000000"/>
                <w:szCs w:val="20"/>
              </w:rPr>
            </w:pPr>
            <w:r w:rsidRPr="4EA0D814">
              <w:rPr>
                <w:rFonts w:eastAsia="Verdana" w:cs="Verdana"/>
                <w:color w:val="000000"/>
                <w:szCs w:val="20"/>
              </w:rPr>
              <w:t>166.6</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211C4B63" w14:textId="4A3E21B5" w:rsidR="00C431EC" w:rsidRDefault="00C431EC" w:rsidP="009C0F1C">
            <w:pPr>
              <w:spacing w:after="0"/>
              <w:jc w:val="center"/>
              <w:rPr>
                <w:rFonts w:eastAsia="Verdana" w:cs="Verdana"/>
                <w:color w:val="000000"/>
                <w:szCs w:val="20"/>
              </w:rPr>
            </w:pPr>
            <w:r w:rsidRPr="4EA0D814">
              <w:rPr>
                <w:rFonts w:eastAsia="Verdana" w:cs="Verdana"/>
                <w:color w:val="000000"/>
                <w:szCs w:val="20"/>
              </w:rPr>
              <w:t>-25.6</w:t>
            </w:r>
          </w:p>
        </w:tc>
        <w:tc>
          <w:tcPr>
            <w:tcW w:w="51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7E01AAC9" w14:textId="54030D98" w:rsidR="00C431EC" w:rsidRDefault="00C431EC" w:rsidP="009C0F1C">
            <w:pPr>
              <w:spacing w:after="0"/>
              <w:jc w:val="center"/>
              <w:rPr>
                <w:rFonts w:eastAsia="Verdana" w:cs="Verdana"/>
                <w:color w:val="000000"/>
                <w:szCs w:val="20"/>
              </w:rPr>
            </w:pPr>
            <w:r w:rsidRPr="4EA0D814">
              <w:rPr>
                <w:rFonts w:eastAsia="Verdana" w:cs="Verdana"/>
                <w:color w:val="000000"/>
                <w:szCs w:val="20"/>
              </w:rPr>
              <w:t>No</w:t>
            </w:r>
          </w:p>
        </w:tc>
      </w:tr>
      <w:tr w:rsidR="00C431EC" w:rsidRPr="002D7D11" w14:paraId="3626B446" w14:textId="77777777" w:rsidTr="005C5B3F">
        <w:trPr>
          <w:trHeight w:val="567"/>
          <w:jc w:val="center"/>
        </w:trPr>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hideMark/>
          </w:tcPr>
          <w:p w14:paraId="063527F0" w14:textId="7FC80A57" w:rsidR="00C431EC" w:rsidRPr="002D7D11" w:rsidRDefault="00C431EC" w:rsidP="00C431EC">
            <w:pPr>
              <w:spacing w:after="0"/>
              <w:jc w:val="center"/>
              <w:textAlignment w:val="baseline"/>
              <w:rPr>
                <w:rFonts w:eastAsia="Verdana" w:cs="Verdana"/>
                <w:b/>
                <w:szCs w:val="20"/>
                <w:lang w:eastAsia="en-AU"/>
              </w:rPr>
            </w:pPr>
            <w:r w:rsidRPr="4EA0D814">
              <w:rPr>
                <w:rFonts w:eastAsia="Verdana" w:cs="Verdana"/>
                <w:b/>
                <w:color w:val="000000"/>
                <w:szCs w:val="20"/>
                <w:lang w:eastAsia="en-AU"/>
              </w:rPr>
              <w:t>VIC</w:t>
            </w:r>
          </w:p>
        </w:tc>
        <w:tc>
          <w:tcPr>
            <w:tcW w:w="38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hideMark/>
          </w:tcPr>
          <w:p w14:paraId="1405606D" w14:textId="43F5CBD7" w:rsidR="00C431EC" w:rsidRDefault="00C431EC" w:rsidP="009C0F1C">
            <w:pPr>
              <w:spacing w:after="0"/>
              <w:jc w:val="center"/>
              <w:rPr>
                <w:rFonts w:eastAsia="Verdana" w:cs="Verdana"/>
                <w:color w:val="000000"/>
                <w:szCs w:val="20"/>
              </w:rPr>
            </w:pPr>
            <w:r w:rsidRPr="4EA0D814">
              <w:rPr>
                <w:rFonts w:eastAsia="Verdana" w:cs="Verdana"/>
                <w:color w:val="000000"/>
                <w:szCs w:val="20"/>
              </w:rPr>
              <w:t>Wimmera-Mallee (surface water)</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hideMark/>
          </w:tcPr>
          <w:p w14:paraId="76C735D0" w14:textId="78AC2FE5" w:rsidR="00C431EC" w:rsidRDefault="00C431EC" w:rsidP="009C0F1C">
            <w:pPr>
              <w:spacing w:after="0"/>
              <w:jc w:val="center"/>
              <w:rPr>
                <w:rFonts w:eastAsia="Verdana" w:cs="Verdana"/>
                <w:color w:val="000000"/>
                <w:szCs w:val="20"/>
              </w:rPr>
            </w:pPr>
            <w:r w:rsidRPr="4EA0D814">
              <w:rPr>
                <w:rFonts w:eastAsia="Verdana" w:cs="Verdana"/>
                <w:color w:val="000000"/>
                <w:szCs w:val="20"/>
              </w:rPr>
              <w:t>SS9</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55C023F7" w14:textId="40B70DC5" w:rsidR="00C431EC" w:rsidRDefault="00C431EC" w:rsidP="009C0F1C">
            <w:pPr>
              <w:spacing w:after="0"/>
              <w:jc w:val="center"/>
              <w:rPr>
                <w:rFonts w:eastAsia="Verdana" w:cs="Verdana"/>
                <w:color w:val="000000"/>
                <w:szCs w:val="20"/>
              </w:rPr>
            </w:pPr>
            <w:r w:rsidRPr="4EA0D814">
              <w:rPr>
                <w:rFonts w:eastAsia="Verdana" w:cs="Verdana"/>
                <w:color w:val="000000"/>
                <w:szCs w:val="20"/>
              </w:rPr>
              <w:t>76.1</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62F370D2" w14:textId="3BDC0C35" w:rsidR="00C431EC" w:rsidRDefault="00C431EC" w:rsidP="009C0F1C">
            <w:pPr>
              <w:spacing w:after="0"/>
              <w:jc w:val="center"/>
              <w:rPr>
                <w:rFonts w:eastAsia="Verdana" w:cs="Verdana"/>
                <w:color w:val="000000"/>
                <w:szCs w:val="20"/>
              </w:rPr>
            </w:pPr>
            <w:r w:rsidRPr="4EA0D814">
              <w:rPr>
                <w:rFonts w:eastAsia="Verdana" w:cs="Verdana"/>
                <w:color w:val="000000"/>
                <w:szCs w:val="20"/>
              </w:rPr>
              <w:t>77.6</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26232FD3" w14:textId="77644FCF" w:rsidR="00C431EC" w:rsidRDefault="00C431EC" w:rsidP="009C0F1C">
            <w:pPr>
              <w:spacing w:after="0"/>
              <w:jc w:val="center"/>
              <w:rPr>
                <w:rFonts w:eastAsia="Verdana" w:cs="Verdana"/>
                <w:color w:val="000000"/>
                <w:szCs w:val="20"/>
              </w:rPr>
            </w:pPr>
            <w:r w:rsidRPr="4EA0D814">
              <w:rPr>
                <w:rFonts w:eastAsia="Verdana" w:cs="Verdana"/>
                <w:color w:val="000000"/>
                <w:szCs w:val="20"/>
              </w:rPr>
              <w:t>47.9</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1EECC575" w14:textId="2273BD28" w:rsidR="00C431EC" w:rsidRDefault="00C431EC" w:rsidP="009C0F1C">
            <w:pPr>
              <w:spacing w:after="0"/>
              <w:jc w:val="center"/>
              <w:rPr>
                <w:rFonts w:eastAsia="Verdana" w:cs="Verdana"/>
                <w:color w:val="000000"/>
                <w:szCs w:val="20"/>
              </w:rPr>
            </w:pPr>
            <w:r w:rsidRPr="4EA0D814">
              <w:rPr>
                <w:rFonts w:eastAsia="Verdana" w:cs="Verdana"/>
                <w:color w:val="000000"/>
                <w:szCs w:val="20"/>
              </w:rPr>
              <w:t>29.8</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1033FA00" w14:textId="691B37EE" w:rsidR="00C431EC" w:rsidRDefault="00C431EC" w:rsidP="009C0F1C">
            <w:pPr>
              <w:spacing w:after="0"/>
              <w:jc w:val="center"/>
              <w:rPr>
                <w:rFonts w:eastAsia="Verdana" w:cs="Verdana"/>
                <w:color w:val="000000"/>
                <w:szCs w:val="20"/>
              </w:rPr>
            </w:pPr>
            <w:r w:rsidRPr="4EA0D814">
              <w:rPr>
                <w:rFonts w:eastAsia="Verdana" w:cs="Verdana"/>
                <w:color w:val="000000"/>
                <w:szCs w:val="20"/>
              </w:rPr>
              <w:t>78.9</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2BC255F9" w14:textId="563B34BB" w:rsidR="00C431EC" w:rsidRDefault="00C431EC" w:rsidP="009C0F1C">
            <w:pPr>
              <w:spacing w:after="0"/>
              <w:jc w:val="center"/>
              <w:rPr>
                <w:rFonts w:eastAsia="Verdana" w:cs="Verdana"/>
                <w:color w:val="000000"/>
                <w:szCs w:val="20"/>
              </w:rPr>
            </w:pPr>
            <w:r w:rsidRPr="4EA0D814">
              <w:rPr>
                <w:rFonts w:eastAsia="Verdana" w:cs="Verdana"/>
                <w:color w:val="000000"/>
                <w:szCs w:val="20"/>
              </w:rPr>
              <w:t>108.7</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334678A6" w14:textId="7A76EEF5" w:rsidR="00C431EC" w:rsidRDefault="00C431EC" w:rsidP="009C0F1C">
            <w:pPr>
              <w:spacing w:after="0"/>
              <w:jc w:val="center"/>
              <w:rPr>
                <w:rFonts w:eastAsia="Verdana" w:cs="Verdana"/>
                <w:color w:val="000000"/>
                <w:szCs w:val="20"/>
              </w:rPr>
            </w:pPr>
            <w:r w:rsidRPr="4EA0D814">
              <w:rPr>
                <w:rFonts w:eastAsia="Verdana" w:cs="Verdana"/>
                <w:color w:val="000000"/>
                <w:szCs w:val="20"/>
              </w:rPr>
              <w:t>0.0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4521026C" w14:textId="08F46078" w:rsidR="00C431EC" w:rsidRDefault="00C431EC" w:rsidP="009C0F1C">
            <w:pPr>
              <w:spacing w:after="0"/>
              <w:jc w:val="center"/>
              <w:rPr>
                <w:rFonts w:eastAsia="Verdana" w:cs="Verdana"/>
                <w:color w:val="000000"/>
                <w:szCs w:val="20"/>
              </w:rPr>
            </w:pPr>
            <w:r w:rsidRPr="4EA0D814">
              <w:rPr>
                <w:rFonts w:eastAsia="Verdana" w:cs="Verdana"/>
                <w:color w:val="000000"/>
                <w:szCs w:val="20"/>
              </w:rPr>
              <w:t>26.7</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0C9CC7D8" w14:textId="55588677" w:rsidR="00C431EC" w:rsidRDefault="00C431EC" w:rsidP="009C0F1C">
            <w:pPr>
              <w:spacing w:after="0"/>
              <w:jc w:val="center"/>
              <w:rPr>
                <w:rFonts w:eastAsia="Verdana" w:cs="Verdana"/>
                <w:color w:val="000000"/>
                <w:szCs w:val="20"/>
              </w:rPr>
            </w:pPr>
            <w:r w:rsidRPr="4EA0D814">
              <w:rPr>
                <w:rFonts w:eastAsia="Verdana" w:cs="Verdana"/>
                <w:color w:val="000000"/>
                <w:szCs w:val="20"/>
              </w:rPr>
              <w:t>135.4</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75B66E18" w14:textId="36EE9F71" w:rsidR="00C431EC" w:rsidRDefault="00C431EC" w:rsidP="009C0F1C">
            <w:pPr>
              <w:spacing w:after="0"/>
              <w:jc w:val="center"/>
              <w:rPr>
                <w:rFonts w:eastAsia="Verdana" w:cs="Verdana"/>
                <w:color w:val="000000"/>
                <w:szCs w:val="20"/>
              </w:rPr>
            </w:pPr>
            <w:r w:rsidRPr="4EA0D814">
              <w:rPr>
                <w:rFonts w:eastAsia="Verdana" w:cs="Verdana"/>
                <w:color w:val="000000"/>
                <w:szCs w:val="20"/>
              </w:rPr>
              <w:t>-15.2</w:t>
            </w:r>
          </w:p>
        </w:tc>
        <w:tc>
          <w:tcPr>
            <w:tcW w:w="51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76837863" w14:textId="4A96C5F7" w:rsidR="00C431EC" w:rsidRDefault="00C431EC" w:rsidP="009C0F1C">
            <w:pPr>
              <w:spacing w:after="0"/>
              <w:jc w:val="center"/>
              <w:rPr>
                <w:rFonts w:eastAsia="Verdana" w:cs="Verdana"/>
                <w:color w:val="000000"/>
                <w:szCs w:val="20"/>
              </w:rPr>
            </w:pPr>
            <w:r w:rsidRPr="4EA0D814">
              <w:rPr>
                <w:rFonts w:eastAsia="Verdana" w:cs="Verdana"/>
                <w:color w:val="000000"/>
                <w:szCs w:val="20"/>
              </w:rPr>
              <w:t>No</w:t>
            </w:r>
          </w:p>
        </w:tc>
      </w:tr>
      <w:tr w:rsidR="00200336" w14:paraId="0218B65B" w14:textId="77777777" w:rsidTr="00E07E59">
        <w:trPr>
          <w:trHeight w:val="567"/>
          <w:jc w:val="center"/>
        </w:trPr>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hideMark/>
          </w:tcPr>
          <w:p w14:paraId="2DDEE290" w14:textId="3841B028" w:rsidR="00C431EC" w:rsidRDefault="00C431EC" w:rsidP="00C431EC">
            <w:pPr>
              <w:spacing w:after="0"/>
              <w:jc w:val="center"/>
              <w:rPr>
                <w:rFonts w:eastAsia="Verdana" w:cs="Verdana"/>
                <w:b/>
                <w:szCs w:val="20"/>
                <w:lang w:eastAsia="en-AU"/>
              </w:rPr>
            </w:pPr>
            <w:r w:rsidRPr="4EA0D814">
              <w:rPr>
                <w:rFonts w:eastAsia="Verdana" w:cs="Verdana"/>
                <w:b/>
                <w:color w:val="000000"/>
                <w:szCs w:val="20"/>
                <w:lang w:eastAsia="en-AU"/>
              </w:rPr>
              <w:t>VIC</w:t>
            </w:r>
          </w:p>
        </w:tc>
        <w:tc>
          <w:tcPr>
            <w:tcW w:w="38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hideMark/>
          </w:tcPr>
          <w:p w14:paraId="1D046642" w14:textId="250D8E95" w:rsidR="00C431EC" w:rsidRDefault="00C431EC" w:rsidP="009C0F1C">
            <w:pPr>
              <w:spacing w:after="0"/>
              <w:jc w:val="center"/>
              <w:rPr>
                <w:rFonts w:eastAsia="Verdana" w:cs="Verdana"/>
                <w:color w:val="000000"/>
                <w:szCs w:val="20"/>
              </w:rPr>
            </w:pPr>
            <w:r w:rsidRPr="4EA0D814">
              <w:rPr>
                <w:rFonts w:eastAsia="Verdana" w:cs="Verdana"/>
                <w:color w:val="000000"/>
                <w:szCs w:val="20"/>
              </w:rPr>
              <w:t>Goulburn-Broken-Campaspe-Loddon^</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hideMark/>
          </w:tcPr>
          <w:p w14:paraId="5B2CE9C0" w14:textId="5ACF3751" w:rsidR="00C431EC" w:rsidRDefault="00C431EC" w:rsidP="009C0F1C">
            <w:pPr>
              <w:spacing w:after="0"/>
              <w:jc w:val="center"/>
              <w:rPr>
                <w:rFonts w:eastAsia="Verdana" w:cs="Verdana"/>
                <w:color w:val="000000"/>
                <w:szCs w:val="20"/>
              </w:rPr>
            </w:pP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cPr>
          <w:p w14:paraId="05E8E684" w14:textId="556338FB" w:rsidR="00C431EC" w:rsidRDefault="00C431EC" w:rsidP="009C0F1C">
            <w:pPr>
              <w:spacing w:after="0"/>
              <w:jc w:val="center"/>
              <w:rPr>
                <w:rFonts w:eastAsia="Verdana" w:cs="Verdana"/>
                <w:color w:val="000000"/>
                <w:szCs w:val="20"/>
              </w:rPr>
            </w:pPr>
            <w:r w:rsidRPr="4EA0D814">
              <w:rPr>
                <w:rFonts w:eastAsia="Verdana" w:cs="Verdana"/>
                <w:color w:val="000000"/>
                <w:szCs w:val="20"/>
              </w:rPr>
              <w:t>1567.1</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cPr>
          <w:p w14:paraId="7C81A172" w14:textId="2EC9F09C" w:rsidR="00C431EC" w:rsidRDefault="00C431EC" w:rsidP="009C0F1C">
            <w:pPr>
              <w:spacing w:after="0"/>
              <w:jc w:val="center"/>
              <w:rPr>
                <w:rFonts w:eastAsia="Verdana" w:cs="Verdana"/>
                <w:color w:val="000000"/>
                <w:szCs w:val="20"/>
              </w:rPr>
            </w:pPr>
            <w:r w:rsidRPr="4EA0D814">
              <w:rPr>
                <w:rFonts w:eastAsia="Verdana" w:cs="Verdana"/>
                <w:color w:val="000000"/>
                <w:szCs w:val="20"/>
              </w:rPr>
              <w:t>1465.0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cPr>
          <w:p w14:paraId="5E6942C3" w14:textId="6EC74F93" w:rsidR="00C431EC" w:rsidRDefault="00C431EC" w:rsidP="009C0F1C">
            <w:pPr>
              <w:spacing w:after="0"/>
              <w:jc w:val="center"/>
              <w:rPr>
                <w:rFonts w:eastAsia="Verdana" w:cs="Verdana"/>
                <w:color w:val="000000"/>
                <w:szCs w:val="20"/>
              </w:rPr>
            </w:pPr>
            <w:r w:rsidRPr="4EA0D814">
              <w:rPr>
                <w:rFonts w:eastAsia="Verdana" w:cs="Verdana"/>
                <w:color w:val="000000"/>
                <w:szCs w:val="20"/>
              </w:rPr>
              <w:t>1030.5</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cPr>
          <w:p w14:paraId="38735999" w14:textId="5E78BC25" w:rsidR="00C431EC" w:rsidRDefault="00C431EC" w:rsidP="009C0F1C">
            <w:pPr>
              <w:spacing w:after="0"/>
              <w:jc w:val="center"/>
              <w:rPr>
                <w:rFonts w:eastAsia="Verdana" w:cs="Verdana"/>
                <w:color w:val="000000"/>
                <w:szCs w:val="20"/>
              </w:rPr>
            </w:pPr>
            <w:r w:rsidRPr="4EA0D814">
              <w:rPr>
                <w:rFonts w:eastAsia="Verdana" w:cs="Verdana"/>
                <w:color w:val="000000"/>
                <w:szCs w:val="20"/>
              </w:rPr>
              <w:t>434.5</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cPr>
          <w:p w14:paraId="5EDC531C" w14:textId="43965BF4" w:rsidR="00C431EC" w:rsidRDefault="00C431EC" w:rsidP="009C0F1C">
            <w:pPr>
              <w:spacing w:after="0"/>
              <w:jc w:val="center"/>
              <w:rPr>
                <w:rFonts w:eastAsia="Verdana" w:cs="Verdana"/>
                <w:color w:val="000000"/>
                <w:szCs w:val="20"/>
              </w:rPr>
            </w:pPr>
            <w:r w:rsidRPr="4EA0D814">
              <w:rPr>
                <w:rFonts w:eastAsia="Verdana" w:cs="Verdana"/>
                <w:color w:val="000000"/>
                <w:szCs w:val="20"/>
              </w:rPr>
              <w:t>1277.8</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cPr>
          <w:p w14:paraId="7BD10212" w14:textId="27C302A4" w:rsidR="00C431EC" w:rsidRDefault="00C431EC" w:rsidP="009C0F1C">
            <w:pPr>
              <w:spacing w:after="0"/>
              <w:jc w:val="center"/>
              <w:rPr>
                <w:rFonts w:eastAsia="Verdana" w:cs="Verdana"/>
                <w:color w:val="000000"/>
                <w:szCs w:val="20"/>
              </w:rPr>
            </w:pPr>
            <w:r w:rsidRPr="4EA0D814">
              <w:rPr>
                <w:rFonts w:eastAsia="Verdana" w:cs="Verdana"/>
                <w:color w:val="000000"/>
                <w:szCs w:val="20"/>
              </w:rPr>
              <w:t>1712.3</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cPr>
          <w:p w14:paraId="46FFECB6" w14:textId="59D80C8F" w:rsidR="00C431EC" w:rsidRDefault="00C431EC" w:rsidP="009C0F1C">
            <w:pPr>
              <w:spacing w:after="0"/>
              <w:jc w:val="center"/>
              <w:rPr>
                <w:rFonts w:eastAsia="Verdana" w:cs="Verdana"/>
                <w:color w:val="000000"/>
                <w:szCs w:val="20"/>
              </w:rPr>
            </w:pPr>
            <w:r w:rsidRPr="4EA0D814">
              <w:rPr>
                <w:rFonts w:eastAsia="Verdana" w:cs="Verdana"/>
                <w:color w:val="000000"/>
                <w:szCs w:val="20"/>
              </w:rPr>
              <w:t>9.8</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cPr>
          <w:p w14:paraId="28B20E23" w14:textId="6EE6F54C" w:rsidR="00C431EC" w:rsidRDefault="00C431EC" w:rsidP="009C0F1C">
            <w:pPr>
              <w:spacing w:after="0"/>
              <w:jc w:val="center"/>
              <w:rPr>
                <w:rFonts w:eastAsia="Verdana" w:cs="Verdana"/>
                <w:color w:val="000000"/>
                <w:szCs w:val="20"/>
              </w:rPr>
            </w:pPr>
            <w:r w:rsidRPr="4EA0D814">
              <w:rPr>
                <w:rFonts w:eastAsia="Verdana" w:cs="Verdana"/>
                <w:color w:val="000000"/>
                <w:szCs w:val="20"/>
              </w:rPr>
              <w:t>406.8</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cPr>
          <w:p w14:paraId="233DBB55" w14:textId="372C878E" w:rsidR="00C431EC" w:rsidRDefault="00C431EC" w:rsidP="009C0F1C">
            <w:pPr>
              <w:spacing w:after="0"/>
              <w:jc w:val="center"/>
              <w:rPr>
                <w:rFonts w:eastAsia="Verdana" w:cs="Verdana"/>
                <w:color w:val="000000"/>
                <w:szCs w:val="20"/>
              </w:rPr>
            </w:pPr>
            <w:r w:rsidRPr="4EA0D814">
              <w:rPr>
                <w:rFonts w:eastAsia="Verdana" w:cs="Verdana"/>
                <w:color w:val="000000"/>
                <w:szCs w:val="20"/>
              </w:rPr>
              <w:t>2128.9</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cPr>
          <w:p w14:paraId="20368F9B" w14:textId="0C21C997" w:rsidR="00C431EC" w:rsidRDefault="00C431EC" w:rsidP="009C0F1C">
            <w:pPr>
              <w:spacing w:after="0"/>
              <w:jc w:val="center"/>
              <w:rPr>
                <w:rFonts w:eastAsia="Verdana" w:cs="Verdana"/>
                <w:color w:val="000000"/>
                <w:szCs w:val="20"/>
              </w:rPr>
            </w:pPr>
            <w:r w:rsidRPr="4EA0D814">
              <w:rPr>
                <w:rFonts w:eastAsia="Verdana" w:cs="Verdana"/>
                <w:color w:val="000000"/>
                <w:szCs w:val="20"/>
              </w:rPr>
              <w:t>-313.4</w:t>
            </w:r>
          </w:p>
        </w:tc>
        <w:tc>
          <w:tcPr>
            <w:tcW w:w="51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cPr>
          <w:p w14:paraId="4DDBD8C1" w14:textId="683AA5C7" w:rsidR="00C431EC" w:rsidRDefault="00C431EC" w:rsidP="009C0F1C">
            <w:pPr>
              <w:spacing w:after="0"/>
              <w:jc w:val="center"/>
              <w:rPr>
                <w:rFonts w:eastAsia="Verdana" w:cs="Verdana"/>
                <w:color w:val="000000"/>
                <w:szCs w:val="20"/>
              </w:rPr>
            </w:pPr>
            <w:r w:rsidRPr="4EA0D814">
              <w:rPr>
                <w:rFonts w:eastAsia="Verdana" w:cs="Verdana"/>
                <w:color w:val="000000"/>
                <w:szCs w:val="20"/>
              </w:rPr>
              <w:t>No</w:t>
            </w:r>
          </w:p>
        </w:tc>
      </w:tr>
      <w:tr w:rsidR="00C431EC" w14:paraId="5F119F47" w14:textId="77777777" w:rsidTr="005C5B3F">
        <w:trPr>
          <w:trHeight w:val="567"/>
          <w:jc w:val="center"/>
        </w:trPr>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hideMark/>
          </w:tcPr>
          <w:p w14:paraId="362F3951" w14:textId="4B0FAE72" w:rsidR="00C431EC" w:rsidRDefault="00C431EC" w:rsidP="00C431EC">
            <w:pPr>
              <w:spacing w:after="0"/>
              <w:jc w:val="center"/>
              <w:rPr>
                <w:rFonts w:eastAsia="Verdana" w:cs="Verdana"/>
                <w:b/>
                <w:szCs w:val="20"/>
                <w:lang w:eastAsia="en-AU"/>
              </w:rPr>
            </w:pPr>
            <w:r w:rsidRPr="4EA0D814">
              <w:rPr>
                <w:rFonts w:eastAsia="Verdana" w:cs="Verdana"/>
                <w:b/>
                <w:color w:val="000000"/>
                <w:szCs w:val="20"/>
                <w:lang w:eastAsia="en-AU"/>
              </w:rPr>
              <w:t>VIC</w:t>
            </w:r>
          </w:p>
        </w:tc>
        <w:tc>
          <w:tcPr>
            <w:tcW w:w="38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hideMark/>
          </w:tcPr>
          <w:p w14:paraId="2669E1E4" w14:textId="76F3E0C6" w:rsidR="00C431EC" w:rsidRDefault="00C431EC" w:rsidP="009C0F1C">
            <w:pPr>
              <w:spacing w:after="0"/>
              <w:jc w:val="center"/>
              <w:rPr>
                <w:rFonts w:eastAsia="Verdana" w:cs="Verdana"/>
                <w:color w:val="000000"/>
                <w:szCs w:val="20"/>
              </w:rPr>
            </w:pPr>
            <w:r w:rsidRPr="4EA0D814">
              <w:rPr>
                <w:rFonts w:eastAsia="Verdana" w:cs="Verdana"/>
                <w:color w:val="000000"/>
                <w:szCs w:val="20"/>
              </w:rPr>
              <w:t>Victorian Murray-Kiewa-Ovens*</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hideMark/>
          </w:tcPr>
          <w:p w14:paraId="1E9A4B8A" w14:textId="09956D7E" w:rsidR="00C431EC" w:rsidRDefault="00C431EC" w:rsidP="009C0F1C">
            <w:pPr>
              <w:spacing w:after="0"/>
              <w:jc w:val="center"/>
              <w:rPr>
                <w:rFonts w:eastAsia="Verdana" w:cs="Verdana"/>
                <w:color w:val="000000"/>
                <w:szCs w:val="20"/>
              </w:rPr>
            </w:pP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6A510F63" w14:textId="2385D6CB" w:rsidR="00C431EC" w:rsidRDefault="00C431EC" w:rsidP="009C0F1C">
            <w:pPr>
              <w:spacing w:after="0"/>
              <w:jc w:val="center"/>
              <w:rPr>
                <w:rFonts w:eastAsia="Verdana" w:cs="Verdana"/>
                <w:color w:val="000000"/>
                <w:szCs w:val="20"/>
              </w:rPr>
            </w:pPr>
            <w:r w:rsidRPr="4EA0D814">
              <w:rPr>
                <w:rFonts w:eastAsia="Verdana" w:cs="Verdana"/>
                <w:color w:val="000000"/>
                <w:szCs w:val="20"/>
              </w:rPr>
              <w:t>1430.1</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275991B3" w14:textId="1AE8890F" w:rsidR="00C431EC" w:rsidRDefault="00C431EC" w:rsidP="009C0F1C">
            <w:pPr>
              <w:spacing w:after="0"/>
              <w:jc w:val="center"/>
              <w:rPr>
                <w:rFonts w:eastAsia="Verdana" w:cs="Verdana"/>
                <w:color w:val="000000"/>
                <w:szCs w:val="20"/>
              </w:rPr>
            </w:pPr>
            <w:r w:rsidRPr="4EA0D814">
              <w:rPr>
                <w:rFonts w:eastAsia="Verdana" w:cs="Verdana"/>
                <w:color w:val="000000"/>
                <w:szCs w:val="20"/>
              </w:rPr>
              <w:t>1618.8</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2BBCC50D" w14:textId="64264104" w:rsidR="00C431EC" w:rsidRDefault="00C431EC" w:rsidP="009C0F1C">
            <w:pPr>
              <w:spacing w:after="0"/>
              <w:jc w:val="center"/>
              <w:rPr>
                <w:rFonts w:eastAsia="Verdana" w:cs="Verdana"/>
                <w:color w:val="000000"/>
                <w:szCs w:val="20"/>
              </w:rPr>
            </w:pPr>
            <w:r w:rsidRPr="4EA0D814">
              <w:rPr>
                <w:rFonts w:eastAsia="Verdana" w:cs="Verdana"/>
                <w:color w:val="000000"/>
                <w:szCs w:val="20"/>
              </w:rPr>
              <w:t>1350.7</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5A7B7016" w14:textId="0202BEB5" w:rsidR="00C431EC" w:rsidRDefault="00C431EC" w:rsidP="009C0F1C">
            <w:pPr>
              <w:spacing w:after="0"/>
              <w:jc w:val="center"/>
              <w:rPr>
                <w:rFonts w:eastAsia="Verdana" w:cs="Verdana"/>
                <w:color w:val="000000"/>
                <w:szCs w:val="20"/>
              </w:rPr>
            </w:pPr>
            <w:r w:rsidRPr="4EA0D814">
              <w:rPr>
                <w:rFonts w:eastAsia="Verdana" w:cs="Verdana"/>
                <w:color w:val="000000"/>
                <w:szCs w:val="20"/>
              </w:rPr>
              <w:t>268.1</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3E811878" w14:textId="1828D9FC" w:rsidR="00C431EC" w:rsidRDefault="00C431EC" w:rsidP="009C0F1C">
            <w:pPr>
              <w:spacing w:after="0"/>
              <w:jc w:val="center"/>
              <w:rPr>
                <w:rFonts w:eastAsia="Verdana" w:cs="Verdana"/>
                <w:color w:val="000000"/>
                <w:szCs w:val="20"/>
              </w:rPr>
            </w:pPr>
            <w:r w:rsidRPr="4EA0D814">
              <w:rPr>
                <w:rFonts w:eastAsia="Verdana" w:cs="Verdana"/>
                <w:color w:val="000000"/>
                <w:szCs w:val="20"/>
              </w:rPr>
              <w:t>606.6</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678BE1A4" w14:textId="254FAE81" w:rsidR="00C431EC" w:rsidRDefault="00C431EC" w:rsidP="009C0F1C">
            <w:pPr>
              <w:spacing w:after="0"/>
              <w:jc w:val="center"/>
              <w:rPr>
                <w:rFonts w:eastAsia="Verdana" w:cs="Verdana"/>
                <w:color w:val="000000"/>
                <w:szCs w:val="20"/>
              </w:rPr>
            </w:pPr>
            <w:r w:rsidRPr="4EA0D814">
              <w:rPr>
                <w:rFonts w:eastAsia="Verdana" w:cs="Verdana"/>
                <w:color w:val="000000"/>
                <w:szCs w:val="20"/>
              </w:rPr>
              <w:t>874.7</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4EA1BBC9" w14:textId="53EFBB6C" w:rsidR="00C431EC" w:rsidRDefault="00C431EC" w:rsidP="009C0F1C">
            <w:pPr>
              <w:spacing w:after="0"/>
              <w:jc w:val="center"/>
              <w:rPr>
                <w:rFonts w:eastAsia="Verdana" w:cs="Verdana"/>
                <w:color w:val="000000"/>
                <w:szCs w:val="20"/>
              </w:rPr>
            </w:pPr>
            <w:r w:rsidRPr="4EA0D814">
              <w:rPr>
                <w:rFonts w:eastAsia="Verdana" w:cs="Verdana"/>
                <w:color w:val="000000"/>
                <w:szCs w:val="20"/>
              </w:rPr>
              <w:t>26.0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488EA2CE" w14:textId="555D7331" w:rsidR="00C431EC" w:rsidRDefault="00C431EC" w:rsidP="009C0F1C">
            <w:pPr>
              <w:spacing w:after="0"/>
              <w:jc w:val="center"/>
              <w:rPr>
                <w:rFonts w:eastAsia="Verdana" w:cs="Verdana"/>
                <w:color w:val="000000"/>
                <w:szCs w:val="20"/>
              </w:rPr>
            </w:pPr>
            <w:r w:rsidRPr="4EA0D814">
              <w:rPr>
                <w:rFonts w:eastAsia="Verdana" w:cs="Verdana"/>
                <w:color w:val="000000"/>
                <w:szCs w:val="20"/>
              </w:rPr>
              <w:t>346.9</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5E5FD5D9" w14:textId="79574CDC" w:rsidR="00C431EC" w:rsidRDefault="00C431EC" w:rsidP="009C0F1C">
            <w:pPr>
              <w:spacing w:after="0"/>
              <w:jc w:val="center"/>
              <w:rPr>
                <w:rFonts w:eastAsia="Verdana" w:cs="Verdana"/>
                <w:color w:val="000000"/>
                <w:szCs w:val="20"/>
              </w:rPr>
            </w:pPr>
            <w:r w:rsidRPr="4EA0D814">
              <w:rPr>
                <w:rFonts w:eastAsia="Verdana" w:cs="Verdana"/>
                <w:color w:val="000000"/>
                <w:szCs w:val="20"/>
              </w:rPr>
              <w:t>1247.5</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2D09FAD3" w14:textId="348C6115" w:rsidR="00C431EC" w:rsidRDefault="00C431EC" w:rsidP="009C0F1C">
            <w:pPr>
              <w:spacing w:after="0"/>
              <w:jc w:val="center"/>
              <w:rPr>
                <w:rFonts w:eastAsia="Verdana" w:cs="Verdana"/>
                <w:color w:val="000000"/>
                <w:szCs w:val="20"/>
              </w:rPr>
            </w:pPr>
            <w:r w:rsidRPr="4EA0D814">
              <w:rPr>
                <w:rFonts w:eastAsia="Verdana" w:cs="Verdana"/>
                <w:color w:val="000000"/>
                <w:szCs w:val="20"/>
              </w:rPr>
              <w:t>-286.0</w:t>
            </w:r>
          </w:p>
        </w:tc>
        <w:tc>
          <w:tcPr>
            <w:tcW w:w="51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4E81E5FD" w14:textId="5341DD30" w:rsidR="00C431EC" w:rsidRDefault="00C431EC" w:rsidP="009C0F1C">
            <w:pPr>
              <w:spacing w:after="0"/>
              <w:jc w:val="center"/>
              <w:rPr>
                <w:rFonts w:eastAsia="Verdana" w:cs="Verdana"/>
                <w:color w:val="000000"/>
                <w:szCs w:val="20"/>
              </w:rPr>
            </w:pPr>
            <w:r w:rsidRPr="4EA0D814">
              <w:rPr>
                <w:rFonts w:eastAsia="Verdana" w:cs="Verdana"/>
                <w:color w:val="000000"/>
                <w:szCs w:val="20"/>
              </w:rPr>
              <w:t>No</w:t>
            </w:r>
          </w:p>
        </w:tc>
      </w:tr>
      <w:tr w:rsidR="00C431EC" w:rsidRPr="002D7D11" w14:paraId="2B968876" w14:textId="77777777" w:rsidTr="004E28CB">
        <w:tblPrEx>
          <w:jc w:val="left"/>
        </w:tblPrEx>
        <w:trPr>
          <w:trHeight w:val="567"/>
        </w:trPr>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hideMark/>
          </w:tcPr>
          <w:p w14:paraId="05DEAAB7" w14:textId="33A422EE" w:rsidR="00C431EC" w:rsidRPr="002D7D11" w:rsidRDefault="00C431EC" w:rsidP="00C431EC">
            <w:pPr>
              <w:spacing w:after="0"/>
              <w:jc w:val="center"/>
              <w:textAlignment w:val="baseline"/>
              <w:rPr>
                <w:rFonts w:eastAsia="Verdana" w:cs="Verdana"/>
                <w:b/>
                <w:szCs w:val="20"/>
                <w:lang w:eastAsia="en-AU"/>
              </w:rPr>
            </w:pPr>
            <w:r w:rsidRPr="4EA0D814">
              <w:rPr>
                <w:rFonts w:eastAsia="Verdana" w:cs="Verdana"/>
                <w:b/>
                <w:color w:val="000000"/>
                <w:szCs w:val="20"/>
                <w:lang w:eastAsia="en-AU"/>
              </w:rPr>
              <w:t>SA</w:t>
            </w:r>
          </w:p>
        </w:tc>
        <w:tc>
          <w:tcPr>
            <w:tcW w:w="38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hideMark/>
          </w:tcPr>
          <w:p w14:paraId="6E3D5264" w14:textId="183D4CF3" w:rsidR="00C431EC" w:rsidRDefault="00C431EC" w:rsidP="009C0F1C">
            <w:pPr>
              <w:spacing w:after="0"/>
              <w:jc w:val="center"/>
              <w:rPr>
                <w:rFonts w:eastAsia="Verdana" w:cs="Verdana"/>
                <w:color w:val="000000"/>
                <w:szCs w:val="20"/>
              </w:rPr>
            </w:pPr>
            <w:r w:rsidRPr="4EA0D814">
              <w:rPr>
                <w:rFonts w:eastAsia="Verdana" w:cs="Verdana"/>
                <w:color w:val="000000"/>
                <w:szCs w:val="20"/>
              </w:rPr>
              <w:t>South Australian Non-Prescribed Areas</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hideMark/>
          </w:tcPr>
          <w:p w14:paraId="7A138A10" w14:textId="5C4995B1" w:rsidR="00C431EC" w:rsidRDefault="00C431EC" w:rsidP="009C0F1C">
            <w:pPr>
              <w:spacing w:after="0"/>
              <w:jc w:val="center"/>
              <w:rPr>
                <w:rFonts w:eastAsia="Verdana" w:cs="Verdana"/>
                <w:color w:val="000000"/>
                <w:szCs w:val="20"/>
              </w:rPr>
            </w:pPr>
            <w:r w:rsidRPr="4EA0D814">
              <w:rPr>
                <w:rFonts w:eastAsia="Verdana" w:cs="Verdana"/>
                <w:color w:val="000000"/>
                <w:szCs w:val="20"/>
              </w:rPr>
              <w:t>SS10</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729EB578" w14:textId="645AE4BA" w:rsidR="00C431EC" w:rsidRDefault="00C431EC" w:rsidP="009C0F1C">
            <w:pPr>
              <w:spacing w:after="0"/>
              <w:jc w:val="center"/>
              <w:rPr>
                <w:rFonts w:eastAsia="Verdana" w:cs="Verdana"/>
                <w:color w:val="000000"/>
                <w:szCs w:val="20"/>
              </w:rPr>
            </w:pPr>
            <w:r w:rsidRPr="4EA0D814">
              <w:rPr>
                <w:rFonts w:eastAsia="Verdana" w:cs="Verdana"/>
                <w:color w:val="000000"/>
                <w:szCs w:val="20"/>
              </w:rPr>
              <w:t>55.2</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2526CE9C" w14:textId="2013F125" w:rsidR="00C431EC" w:rsidRDefault="00C431EC" w:rsidP="009C0F1C">
            <w:pPr>
              <w:spacing w:after="0"/>
              <w:jc w:val="center"/>
              <w:rPr>
                <w:rFonts w:eastAsia="Verdana" w:cs="Verdana"/>
                <w:color w:val="000000"/>
                <w:szCs w:val="20"/>
              </w:rPr>
            </w:pPr>
            <w:r w:rsidRPr="4EA0D814">
              <w:rPr>
                <w:rFonts w:eastAsia="Verdana" w:cs="Verdana"/>
                <w:color w:val="000000"/>
                <w:szCs w:val="20"/>
              </w:rPr>
              <w:t>55.2</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16C79B15" w14:textId="1A494F01" w:rsidR="00C431EC" w:rsidRDefault="00C431EC" w:rsidP="009C0F1C">
            <w:pPr>
              <w:spacing w:after="0"/>
              <w:jc w:val="center"/>
              <w:rPr>
                <w:rFonts w:eastAsia="Verdana" w:cs="Verdana"/>
                <w:color w:val="000000"/>
                <w:szCs w:val="20"/>
              </w:rPr>
            </w:pPr>
            <w:r w:rsidRPr="4EA0D814">
              <w:rPr>
                <w:rFonts w:eastAsia="Verdana" w:cs="Verdana"/>
                <w:color w:val="000000"/>
                <w:szCs w:val="20"/>
              </w:rPr>
              <w:t>23.3</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1F911C6C" w14:textId="7B9D3EFC" w:rsidR="00C431EC" w:rsidRDefault="00C431EC" w:rsidP="009C0F1C">
            <w:pPr>
              <w:spacing w:after="0"/>
              <w:jc w:val="center"/>
              <w:rPr>
                <w:rFonts w:eastAsia="Verdana" w:cs="Verdana"/>
                <w:color w:val="000000"/>
                <w:szCs w:val="20"/>
              </w:rPr>
            </w:pPr>
            <w:r w:rsidRPr="4EA0D814">
              <w:rPr>
                <w:rFonts w:eastAsia="Verdana" w:cs="Verdana"/>
                <w:color w:val="000000"/>
                <w:szCs w:val="20"/>
              </w:rPr>
              <w:t>31.9</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692AB36F" w14:textId="78615F89" w:rsidR="00C431EC" w:rsidRDefault="00C431EC" w:rsidP="009C0F1C">
            <w:pPr>
              <w:spacing w:after="0"/>
              <w:jc w:val="center"/>
              <w:rPr>
                <w:rFonts w:eastAsia="Verdana" w:cs="Verdana"/>
                <w:color w:val="000000"/>
                <w:szCs w:val="20"/>
              </w:rPr>
            </w:pPr>
            <w:r w:rsidRPr="4EA0D814">
              <w:rPr>
                <w:rFonts w:eastAsia="Verdana" w:cs="Verdana"/>
                <w:color w:val="000000"/>
                <w:szCs w:val="20"/>
              </w:rPr>
              <w:t>95.6</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6D1E2DC2" w14:textId="09CBC052" w:rsidR="00C431EC" w:rsidRDefault="00C431EC" w:rsidP="009C0F1C">
            <w:pPr>
              <w:spacing w:after="0"/>
              <w:jc w:val="center"/>
              <w:rPr>
                <w:rFonts w:eastAsia="Verdana" w:cs="Verdana"/>
                <w:color w:val="000000"/>
                <w:szCs w:val="20"/>
              </w:rPr>
            </w:pPr>
            <w:r w:rsidRPr="4EA0D814">
              <w:rPr>
                <w:rFonts w:eastAsia="Verdana" w:cs="Verdana"/>
                <w:color w:val="000000"/>
                <w:szCs w:val="20"/>
              </w:rPr>
              <w:t>127.4</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2F208586" w14:textId="1822B798" w:rsidR="00C431EC" w:rsidRDefault="00C431EC" w:rsidP="009C0F1C">
            <w:pPr>
              <w:spacing w:after="0"/>
              <w:jc w:val="center"/>
              <w:rPr>
                <w:rFonts w:eastAsia="Verdana" w:cs="Verdana"/>
                <w:color w:val="000000"/>
                <w:szCs w:val="20"/>
              </w:rPr>
            </w:pPr>
            <w:r w:rsidRPr="4EA0D814">
              <w:rPr>
                <w:rFonts w:eastAsia="Verdana" w:cs="Verdana"/>
                <w:color w:val="000000"/>
                <w:szCs w:val="20"/>
              </w:rPr>
              <w:t>0.0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1F8F9030" w14:textId="3E821ED5" w:rsidR="00C431EC" w:rsidRDefault="00C431EC" w:rsidP="009C0F1C">
            <w:pPr>
              <w:spacing w:after="0"/>
              <w:jc w:val="center"/>
              <w:rPr>
                <w:rFonts w:eastAsia="Verdana" w:cs="Verdana"/>
                <w:color w:val="000000"/>
                <w:szCs w:val="20"/>
              </w:rPr>
            </w:pPr>
            <w:r w:rsidRPr="4EA0D814">
              <w:rPr>
                <w:rFonts w:eastAsia="Verdana" w:cs="Verdana"/>
                <w:color w:val="000000"/>
                <w:szCs w:val="20"/>
              </w:rPr>
              <w:t>31.9</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5DD92360" w14:textId="12A9D759" w:rsidR="00C431EC" w:rsidRDefault="00C431EC" w:rsidP="009C0F1C">
            <w:pPr>
              <w:spacing w:after="0"/>
              <w:jc w:val="center"/>
              <w:rPr>
                <w:rFonts w:eastAsia="Verdana" w:cs="Verdana"/>
                <w:color w:val="000000"/>
                <w:szCs w:val="20"/>
              </w:rPr>
            </w:pPr>
            <w:r w:rsidRPr="4EA0D814">
              <w:rPr>
                <w:rFonts w:eastAsia="Verdana" w:cs="Verdana"/>
                <w:color w:val="000000"/>
                <w:szCs w:val="20"/>
              </w:rPr>
              <w:t>159.3</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581900AD" w14:textId="4CC57891" w:rsidR="00C431EC" w:rsidRDefault="00C431EC" w:rsidP="009C0F1C">
            <w:pPr>
              <w:spacing w:after="0"/>
              <w:jc w:val="center"/>
              <w:rPr>
                <w:rFonts w:eastAsia="Verdana" w:cs="Verdana"/>
                <w:color w:val="000000"/>
                <w:szCs w:val="20"/>
              </w:rPr>
            </w:pPr>
            <w:r w:rsidRPr="4EA0D814">
              <w:rPr>
                <w:rFonts w:eastAsia="Verdana" w:cs="Verdana"/>
                <w:color w:val="000000"/>
                <w:szCs w:val="20"/>
              </w:rPr>
              <w:t>-11.0</w:t>
            </w:r>
          </w:p>
        </w:tc>
        <w:tc>
          <w:tcPr>
            <w:tcW w:w="51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1B221F43" w14:textId="54DD7849" w:rsidR="00C431EC" w:rsidRDefault="00C431EC" w:rsidP="009C0F1C">
            <w:pPr>
              <w:spacing w:after="0"/>
              <w:jc w:val="center"/>
              <w:rPr>
                <w:rFonts w:eastAsia="Verdana" w:cs="Verdana"/>
                <w:color w:val="000000"/>
                <w:szCs w:val="20"/>
              </w:rPr>
            </w:pPr>
            <w:r w:rsidRPr="4EA0D814">
              <w:rPr>
                <w:rFonts w:eastAsia="Verdana" w:cs="Verdana"/>
                <w:color w:val="000000"/>
                <w:szCs w:val="20"/>
              </w:rPr>
              <w:t>No</w:t>
            </w:r>
          </w:p>
        </w:tc>
      </w:tr>
      <w:tr w:rsidR="00C431EC" w:rsidRPr="002D7D11" w14:paraId="04C34397" w14:textId="77777777" w:rsidTr="005C5B3F">
        <w:trPr>
          <w:trHeight w:val="567"/>
          <w:jc w:val="center"/>
        </w:trPr>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hideMark/>
          </w:tcPr>
          <w:p w14:paraId="48FDEE02" w14:textId="3ADCE44B" w:rsidR="00C431EC" w:rsidRPr="002D7D11" w:rsidRDefault="00C431EC" w:rsidP="00C431EC">
            <w:pPr>
              <w:spacing w:after="0"/>
              <w:jc w:val="center"/>
              <w:textAlignment w:val="baseline"/>
              <w:rPr>
                <w:rFonts w:eastAsia="Verdana" w:cs="Verdana"/>
                <w:b/>
                <w:szCs w:val="20"/>
                <w:lang w:eastAsia="en-AU"/>
              </w:rPr>
            </w:pPr>
            <w:r w:rsidRPr="4EA0D814">
              <w:rPr>
                <w:rFonts w:eastAsia="Verdana" w:cs="Verdana"/>
                <w:b/>
                <w:color w:val="000000"/>
                <w:szCs w:val="20"/>
                <w:lang w:eastAsia="en-AU"/>
              </w:rPr>
              <w:t>SA</w:t>
            </w:r>
          </w:p>
        </w:tc>
        <w:tc>
          <w:tcPr>
            <w:tcW w:w="38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hideMark/>
          </w:tcPr>
          <w:p w14:paraId="6747F51F" w14:textId="00F03E49" w:rsidR="00C431EC" w:rsidRDefault="00C431EC" w:rsidP="009C0F1C">
            <w:pPr>
              <w:spacing w:after="0"/>
              <w:jc w:val="center"/>
              <w:rPr>
                <w:rFonts w:eastAsia="Verdana" w:cs="Verdana"/>
                <w:color w:val="000000"/>
                <w:szCs w:val="20"/>
              </w:rPr>
            </w:pPr>
            <w:r w:rsidRPr="4EA0D814">
              <w:rPr>
                <w:rFonts w:eastAsia="Verdana" w:cs="Verdana"/>
                <w:color w:val="000000"/>
                <w:szCs w:val="20"/>
              </w:rPr>
              <w:t>South Australian Murray</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hideMark/>
          </w:tcPr>
          <w:p w14:paraId="3087A7F0" w14:textId="2068B9CC" w:rsidR="00C431EC" w:rsidRDefault="00C431EC" w:rsidP="009C0F1C">
            <w:pPr>
              <w:spacing w:after="0"/>
              <w:jc w:val="center"/>
              <w:rPr>
                <w:rFonts w:eastAsia="Verdana" w:cs="Verdana"/>
                <w:color w:val="000000"/>
                <w:szCs w:val="20"/>
              </w:rPr>
            </w:pPr>
            <w:r w:rsidRPr="4EA0D814">
              <w:rPr>
                <w:rFonts w:eastAsia="Verdana" w:cs="Verdana"/>
                <w:color w:val="000000"/>
                <w:szCs w:val="20"/>
              </w:rPr>
              <w:t>SS11</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1BA117C6" w14:textId="35ED9B26" w:rsidR="00C431EC" w:rsidRDefault="00C431EC" w:rsidP="009C0F1C">
            <w:pPr>
              <w:spacing w:after="0"/>
              <w:jc w:val="center"/>
              <w:rPr>
                <w:rFonts w:eastAsia="Verdana" w:cs="Verdana"/>
                <w:color w:val="000000"/>
                <w:szCs w:val="20"/>
              </w:rPr>
            </w:pPr>
            <w:r w:rsidRPr="4EA0D814">
              <w:rPr>
                <w:rFonts w:eastAsia="Verdana" w:cs="Verdana"/>
                <w:color w:val="000000"/>
                <w:szCs w:val="20"/>
              </w:rPr>
              <w:t>542.3</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04D06DA6" w14:textId="1A3F069D" w:rsidR="00C431EC" w:rsidRDefault="00C431EC" w:rsidP="009C0F1C">
            <w:pPr>
              <w:spacing w:after="0"/>
              <w:jc w:val="center"/>
              <w:rPr>
                <w:rFonts w:eastAsia="Verdana" w:cs="Verdana"/>
                <w:color w:val="000000"/>
                <w:szCs w:val="20"/>
              </w:rPr>
            </w:pPr>
            <w:r w:rsidRPr="4EA0D814">
              <w:rPr>
                <w:rFonts w:eastAsia="Verdana" w:cs="Verdana"/>
                <w:color w:val="000000"/>
                <w:szCs w:val="20"/>
              </w:rPr>
              <w:t>712.7</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3DA2FF0F" w14:textId="2B5F2BA3" w:rsidR="00C431EC" w:rsidRDefault="00C431EC" w:rsidP="009C0F1C">
            <w:pPr>
              <w:spacing w:after="0"/>
              <w:jc w:val="center"/>
              <w:rPr>
                <w:rFonts w:eastAsia="Verdana" w:cs="Verdana"/>
                <w:color w:val="000000"/>
                <w:szCs w:val="20"/>
              </w:rPr>
            </w:pPr>
            <w:r w:rsidRPr="4EA0D814">
              <w:rPr>
                <w:rFonts w:eastAsia="Verdana" w:cs="Verdana"/>
                <w:color w:val="000000"/>
                <w:szCs w:val="20"/>
              </w:rPr>
              <w:t>643.2</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18A0B84C" w14:textId="4BFF3E6C" w:rsidR="00C431EC" w:rsidRDefault="00C431EC" w:rsidP="009C0F1C">
            <w:pPr>
              <w:spacing w:after="0"/>
              <w:jc w:val="center"/>
              <w:rPr>
                <w:rFonts w:eastAsia="Verdana" w:cs="Verdana"/>
                <w:color w:val="000000"/>
                <w:szCs w:val="20"/>
              </w:rPr>
            </w:pPr>
            <w:r w:rsidRPr="4EA0D814">
              <w:rPr>
                <w:rFonts w:eastAsia="Verdana" w:cs="Verdana"/>
                <w:color w:val="000000"/>
                <w:szCs w:val="20"/>
              </w:rPr>
              <w:t>69.5</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7EE36EBF" w14:textId="27F2C56D" w:rsidR="00C431EC" w:rsidRDefault="00C431EC" w:rsidP="009C0F1C">
            <w:pPr>
              <w:spacing w:after="0"/>
              <w:jc w:val="center"/>
              <w:rPr>
                <w:rFonts w:eastAsia="Verdana" w:cs="Verdana"/>
                <w:color w:val="000000"/>
                <w:szCs w:val="20"/>
              </w:rPr>
            </w:pPr>
            <w:r w:rsidRPr="4EA0D814">
              <w:rPr>
                <w:rFonts w:eastAsia="Verdana" w:cs="Verdana"/>
                <w:color w:val="000000"/>
                <w:szCs w:val="20"/>
              </w:rPr>
              <w:t>30.9</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1FBC3CBB" w14:textId="2A4D9DE3" w:rsidR="00C431EC" w:rsidRDefault="00C431EC" w:rsidP="009C0F1C">
            <w:pPr>
              <w:spacing w:after="0"/>
              <w:jc w:val="center"/>
              <w:rPr>
                <w:rFonts w:eastAsia="Verdana" w:cs="Verdana"/>
                <w:color w:val="000000"/>
                <w:szCs w:val="20"/>
              </w:rPr>
            </w:pPr>
            <w:r w:rsidRPr="4EA0D814">
              <w:rPr>
                <w:rFonts w:eastAsia="Verdana" w:cs="Verdana"/>
                <w:color w:val="000000"/>
                <w:szCs w:val="20"/>
              </w:rPr>
              <w:t>100.4</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57EAB975" w14:textId="7E5C43AD" w:rsidR="00C431EC" w:rsidRDefault="00C431EC" w:rsidP="009C0F1C">
            <w:pPr>
              <w:spacing w:after="0"/>
              <w:jc w:val="center"/>
              <w:rPr>
                <w:rFonts w:eastAsia="Verdana" w:cs="Verdana"/>
                <w:color w:val="000000"/>
                <w:szCs w:val="20"/>
              </w:rPr>
            </w:pPr>
            <w:r w:rsidRPr="4EA0D814">
              <w:rPr>
                <w:rFonts w:eastAsia="Verdana" w:cs="Verdana"/>
                <w:color w:val="000000"/>
                <w:szCs w:val="20"/>
              </w:rPr>
              <w:t>-13.6</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30DD8421" w14:textId="10A55A1B" w:rsidR="00C431EC" w:rsidRDefault="00C431EC" w:rsidP="009C0F1C">
            <w:pPr>
              <w:spacing w:after="0"/>
              <w:jc w:val="center"/>
              <w:rPr>
                <w:rFonts w:eastAsia="Verdana" w:cs="Verdana"/>
                <w:color w:val="000000"/>
                <w:szCs w:val="20"/>
              </w:rPr>
            </w:pPr>
            <w:r w:rsidRPr="4EA0D814">
              <w:rPr>
                <w:rFonts w:eastAsia="Verdana" w:cs="Verdana"/>
                <w:color w:val="000000"/>
                <w:szCs w:val="20"/>
              </w:rPr>
              <w:t>29.1</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5D1032B9" w14:textId="7216B7CA" w:rsidR="00C431EC" w:rsidRDefault="00C431EC" w:rsidP="009C0F1C">
            <w:pPr>
              <w:spacing w:after="0"/>
              <w:jc w:val="center"/>
              <w:rPr>
                <w:rFonts w:eastAsia="Verdana" w:cs="Verdana"/>
                <w:color w:val="000000"/>
                <w:szCs w:val="20"/>
              </w:rPr>
            </w:pPr>
            <w:r w:rsidRPr="4EA0D814">
              <w:rPr>
                <w:rFonts w:eastAsia="Verdana" w:cs="Verdana"/>
                <w:color w:val="000000"/>
                <w:szCs w:val="20"/>
              </w:rPr>
              <w:t>115.8</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1DAF4A2F" w14:textId="16331310" w:rsidR="00C431EC" w:rsidRDefault="00C431EC" w:rsidP="009C0F1C">
            <w:pPr>
              <w:spacing w:after="0"/>
              <w:jc w:val="center"/>
              <w:rPr>
                <w:rFonts w:eastAsia="Verdana" w:cs="Verdana"/>
                <w:color w:val="000000"/>
                <w:szCs w:val="20"/>
              </w:rPr>
            </w:pPr>
            <w:r w:rsidRPr="4EA0D814">
              <w:rPr>
                <w:rFonts w:eastAsia="Verdana" w:cs="Verdana"/>
                <w:color w:val="000000"/>
                <w:szCs w:val="20"/>
              </w:rPr>
              <w:t>-108.5</w:t>
            </w:r>
          </w:p>
        </w:tc>
        <w:tc>
          <w:tcPr>
            <w:tcW w:w="51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79C88A0E" w14:textId="0A81A883" w:rsidR="00C431EC" w:rsidRDefault="00C431EC" w:rsidP="009C0F1C">
            <w:pPr>
              <w:spacing w:after="0"/>
              <w:jc w:val="center"/>
              <w:rPr>
                <w:rFonts w:eastAsia="Verdana" w:cs="Verdana"/>
                <w:color w:val="000000"/>
                <w:szCs w:val="20"/>
              </w:rPr>
            </w:pPr>
            <w:r w:rsidRPr="4EA0D814">
              <w:rPr>
                <w:rFonts w:eastAsia="Verdana" w:cs="Verdana"/>
                <w:color w:val="000000"/>
                <w:szCs w:val="20"/>
              </w:rPr>
              <w:t>No</w:t>
            </w:r>
          </w:p>
        </w:tc>
      </w:tr>
      <w:tr w:rsidR="00C431EC" w:rsidRPr="002D7D11" w14:paraId="0F129E05" w14:textId="77777777" w:rsidTr="004E28CB">
        <w:tblPrEx>
          <w:jc w:val="left"/>
        </w:tblPrEx>
        <w:trPr>
          <w:trHeight w:val="567"/>
        </w:trPr>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hideMark/>
          </w:tcPr>
          <w:p w14:paraId="5204A7A9" w14:textId="472EF74C" w:rsidR="00C431EC" w:rsidRPr="002D7D11" w:rsidRDefault="00C431EC" w:rsidP="00C431EC">
            <w:pPr>
              <w:spacing w:after="0"/>
              <w:jc w:val="center"/>
              <w:textAlignment w:val="baseline"/>
              <w:rPr>
                <w:rFonts w:eastAsia="Verdana" w:cs="Verdana"/>
                <w:b/>
                <w:szCs w:val="20"/>
                <w:lang w:eastAsia="en-AU"/>
              </w:rPr>
            </w:pPr>
            <w:r w:rsidRPr="4EA0D814">
              <w:rPr>
                <w:rFonts w:eastAsia="Verdana" w:cs="Verdana"/>
                <w:b/>
                <w:color w:val="000000"/>
                <w:szCs w:val="20"/>
                <w:lang w:eastAsia="en-AU"/>
              </w:rPr>
              <w:t>SA</w:t>
            </w:r>
          </w:p>
        </w:tc>
        <w:tc>
          <w:tcPr>
            <w:tcW w:w="38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hideMark/>
          </w:tcPr>
          <w:p w14:paraId="5C62AAFB" w14:textId="7516540E" w:rsidR="00C431EC" w:rsidRDefault="00C431EC" w:rsidP="009C0F1C">
            <w:pPr>
              <w:spacing w:after="0"/>
              <w:jc w:val="center"/>
              <w:rPr>
                <w:rFonts w:eastAsia="Verdana" w:cs="Verdana"/>
                <w:color w:val="000000"/>
                <w:szCs w:val="20"/>
              </w:rPr>
            </w:pPr>
            <w:r w:rsidRPr="4EA0D814">
              <w:rPr>
                <w:rFonts w:eastAsia="Verdana" w:cs="Verdana"/>
                <w:color w:val="000000"/>
                <w:szCs w:val="20"/>
              </w:rPr>
              <w:t>Marne-Saunders</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hideMark/>
          </w:tcPr>
          <w:p w14:paraId="1721C483" w14:textId="1AB0963E" w:rsidR="00C431EC" w:rsidRDefault="00C431EC" w:rsidP="009C0F1C">
            <w:pPr>
              <w:spacing w:after="0"/>
              <w:jc w:val="center"/>
              <w:rPr>
                <w:rFonts w:eastAsia="Verdana" w:cs="Verdana"/>
                <w:color w:val="000000"/>
                <w:szCs w:val="20"/>
              </w:rPr>
            </w:pPr>
            <w:r w:rsidRPr="4EA0D814">
              <w:rPr>
                <w:rFonts w:eastAsia="Verdana" w:cs="Verdana"/>
                <w:color w:val="000000"/>
                <w:szCs w:val="20"/>
              </w:rPr>
              <w:t>SS12</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2BCCAAB5" w14:textId="68D5DAD9" w:rsidR="00C431EC" w:rsidRDefault="00C431EC" w:rsidP="009C0F1C">
            <w:pPr>
              <w:spacing w:after="0"/>
              <w:jc w:val="center"/>
              <w:rPr>
                <w:rFonts w:eastAsia="Verdana" w:cs="Verdana"/>
                <w:color w:val="000000"/>
                <w:szCs w:val="20"/>
              </w:rPr>
            </w:pPr>
            <w:r w:rsidRPr="4EA0D814">
              <w:rPr>
                <w:rFonts w:eastAsia="Verdana" w:cs="Verdana"/>
                <w:color w:val="000000"/>
                <w:szCs w:val="20"/>
              </w:rPr>
              <w:t>3.0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1C839DDC" w14:textId="261E448C" w:rsidR="00C431EC" w:rsidRDefault="00C431EC" w:rsidP="009C0F1C">
            <w:pPr>
              <w:spacing w:after="0"/>
              <w:jc w:val="center"/>
              <w:rPr>
                <w:rFonts w:eastAsia="Verdana" w:cs="Verdana"/>
                <w:color w:val="000000"/>
                <w:szCs w:val="20"/>
              </w:rPr>
            </w:pPr>
            <w:r w:rsidRPr="4EA0D814">
              <w:rPr>
                <w:rFonts w:eastAsia="Verdana" w:cs="Verdana"/>
                <w:color w:val="000000"/>
                <w:szCs w:val="20"/>
              </w:rPr>
              <w:t>2.9</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2A172A11" w14:textId="50F81B96" w:rsidR="00C431EC" w:rsidRDefault="00C431EC" w:rsidP="009C0F1C">
            <w:pPr>
              <w:spacing w:after="0"/>
              <w:jc w:val="center"/>
              <w:rPr>
                <w:rFonts w:eastAsia="Verdana" w:cs="Verdana"/>
                <w:color w:val="000000"/>
                <w:szCs w:val="20"/>
              </w:rPr>
            </w:pPr>
            <w:r w:rsidRPr="4EA0D814">
              <w:rPr>
                <w:rFonts w:eastAsia="Verdana" w:cs="Verdana"/>
                <w:color w:val="000000"/>
                <w:szCs w:val="20"/>
              </w:rPr>
              <w:t>2.0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0C2DB6F7" w14:textId="05A78E40" w:rsidR="00C431EC" w:rsidRDefault="00C431EC" w:rsidP="009C0F1C">
            <w:pPr>
              <w:spacing w:after="0"/>
              <w:jc w:val="center"/>
              <w:rPr>
                <w:rFonts w:eastAsia="Verdana" w:cs="Verdana"/>
                <w:color w:val="000000"/>
                <w:szCs w:val="20"/>
              </w:rPr>
            </w:pPr>
            <w:r w:rsidRPr="4EA0D814">
              <w:rPr>
                <w:rFonts w:eastAsia="Verdana" w:cs="Verdana"/>
                <w:color w:val="000000"/>
                <w:szCs w:val="20"/>
              </w:rPr>
              <w:t>0.9</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29673090" w14:textId="564B3AD7" w:rsidR="00C431EC" w:rsidRDefault="00C431EC" w:rsidP="009C0F1C">
            <w:pPr>
              <w:spacing w:after="0"/>
              <w:jc w:val="center"/>
              <w:rPr>
                <w:rFonts w:eastAsia="Verdana" w:cs="Verdana"/>
                <w:color w:val="000000"/>
                <w:szCs w:val="20"/>
              </w:rPr>
            </w:pPr>
            <w:r w:rsidRPr="4EA0D814">
              <w:rPr>
                <w:rFonts w:eastAsia="Verdana" w:cs="Verdana"/>
                <w:color w:val="000000"/>
                <w:szCs w:val="20"/>
              </w:rPr>
              <w:t>3.0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3DE3250D" w14:textId="70FE54C3" w:rsidR="00C431EC" w:rsidRDefault="00C431EC" w:rsidP="009C0F1C">
            <w:pPr>
              <w:spacing w:after="0"/>
              <w:jc w:val="center"/>
              <w:rPr>
                <w:rFonts w:eastAsia="Verdana" w:cs="Verdana"/>
                <w:color w:val="000000"/>
                <w:szCs w:val="20"/>
              </w:rPr>
            </w:pPr>
            <w:r w:rsidRPr="4EA0D814">
              <w:rPr>
                <w:rFonts w:eastAsia="Verdana" w:cs="Verdana"/>
                <w:color w:val="000000"/>
                <w:szCs w:val="20"/>
              </w:rPr>
              <w:t>3.9</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0C1A095A" w14:textId="7A0408BF" w:rsidR="00C431EC" w:rsidRDefault="00C431EC" w:rsidP="009C0F1C">
            <w:pPr>
              <w:spacing w:after="0"/>
              <w:jc w:val="center"/>
              <w:rPr>
                <w:rFonts w:eastAsia="Verdana" w:cs="Verdana"/>
                <w:color w:val="000000"/>
                <w:szCs w:val="20"/>
              </w:rPr>
            </w:pPr>
            <w:r w:rsidRPr="4EA0D814">
              <w:rPr>
                <w:rFonts w:eastAsia="Verdana" w:cs="Verdana"/>
                <w:color w:val="000000"/>
                <w:szCs w:val="20"/>
              </w:rPr>
              <w:t>0.0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1E5AA982" w14:textId="4EAC3C5E" w:rsidR="00C431EC" w:rsidRDefault="00C431EC" w:rsidP="009C0F1C">
            <w:pPr>
              <w:spacing w:after="0"/>
              <w:jc w:val="center"/>
              <w:rPr>
                <w:rFonts w:eastAsia="Verdana" w:cs="Verdana"/>
                <w:color w:val="000000"/>
                <w:szCs w:val="20"/>
              </w:rPr>
            </w:pPr>
            <w:r w:rsidRPr="4EA0D814">
              <w:rPr>
                <w:rFonts w:eastAsia="Verdana" w:cs="Verdana"/>
                <w:color w:val="000000"/>
                <w:szCs w:val="20"/>
              </w:rPr>
              <w:t>0.5</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45988ED4" w14:textId="54862998" w:rsidR="00C431EC" w:rsidRDefault="00C431EC" w:rsidP="009C0F1C">
            <w:pPr>
              <w:spacing w:after="0"/>
              <w:jc w:val="center"/>
              <w:rPr>
                <w:rFonts w:eastAsia="Verdana" w:cs="Verdana"/>
                <w:color w:val="000000"/>
                <w:szCs w:val="20"/>
              </w:rPr>
            </w:pPr>
            <w:r w:rsidRPr="4EA0D814">
              <w:rPr>
                <w:rFonts w:eastAsia="Verdana" w:cs="Verdana"/>
                <w:color w:val="000000"/>
                <w:szCs w:val="20"/>
              </w:rPr>
              <w:t>4.3</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4DD619A0" w14:textId="6F12B6BA" w:rsidR="00C431EC" w:rsidRDefault="00C431EC" w:rsidP="009C0F1C">
            <w:pPr>
              <w:spacing w:after="0"/>
              <w:jc w:val="center"/>
              <w:rPr>
                <w:rFonts w:eastAsia="Verdana" w:cs="Verdana"/>
                <w:color w:val="000000"/>
                <w:szCs w:val="20"/>
              </w:rPr>
            </w:pPr>
            <w:r w:rsidRPr="4EA0D814">
              <w:rPr>
                <w:rFonts w:eastAsia="Verdana" w:cs="Verdana"/>
                <w:color w:val="000000"/>
                <w:szCs w:val="20"/>
              </w:rPr>
              <w:t>-0.6</w:t>
            </w:r>
          </w:p>
        </w:tc>
        <w:tc>
          <w:tcPr>
            <w:tcW w:w="51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tcPr>
          <w:p w14:paraId="2B747D17" w14:textId="7FC2D8A7" w:rsidR="00C431EC" w:rsidRDefault="00C431EC" w:rsidP="009C0F1C">
            <w:pPr>
              <w:spacing w:after="0"/>
              <w:jc w:val="center"/>
              <w:rPr>
                <w:rFonts w:eastAsia="Verdana" w:cs="Verdana"/>
                <w:color w:val="000000"/>
                <w:szCs w:val="20"/>
              </w:rPr>
            </w:pPr>
            <w:r w:rsidRPr="4EA0D814">
              <w:rPr>
                <w:rFonts w:eastAsia="Verdana" w:cs="Verdana"/>
                <w:color w:val="000000"/>
                <w:szCs w:val="20"/>
              </w:rPr>
              <w:t>No</w:t>
            </w:r>
          </w:p>
        </w:tc>
      </w:tr>
      <w:tr w:rsidR="00C431EC" w:rsidRPr="002D7D11" w14:paraId="214C3882" w14:textId="77777777" w:rsidTr="005C5B3F">
        <w:trPr>
          <w:trHeight w:val="567"/>
          <w:jc w:val="center"/>
        </w:trPr>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hideMark/>
          </w:tcPr>
          <w:p w14:paraId="5844E368" w14:textId="6FD20795" w:rsidR="00C431EC" w:rsidRPr="002D7D11" w:rsidRDefault="00C431EC" w:rsidP="00C431EC">
            <w:pPr>
              <w:spacing w:after="0"/>
              <w:jc w:val="center"/>
              <w:textAlignment w:val="baseline"/>
              <w:rPr>
                <w:rFonts w:eastAsia="Verdana" w:cs="Verdana"/>
                <w:b/>
                <w:szCs w:val="20"/>
                <w:lang w:eastAsia="en-AU"/>
              </w:rPr>
            </w:pPr>
            <w:r w:rsidRPr="4EA0D814">
              <w:rPr>
                <w:rFonts w:eastAsia="Verdana" w:cs="Verdana"/>
                <w:b/>
                <w:color w:val="000000"/>
                <w:szCs w:val="20"/>
                <w:lang w:eastAsia="en-AU"/>
              </w:rPr>
              <w:lastRenderedPageBreak/>
              <w:t>SA</w:t>
            </w:r>
          </w:p>
        </w:tc>
        <w:tc>
          <w:tcPr>
            <w:tcW w:w="38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hideMark/>
          </w:tcPr>
          <w:p w14:paraId="1F19E6E0" w14:textId="0EA60ED5" w:rsidR="00C431EC" w:rsidRDefault="00C431EC" w:rsidP="009C0F1C">
            <w:pPr>
              <w:spacing w:after="0"/>
              <w:jc w:val="center"/>
              <w:rPr>
                <w:rFonts w:eastAsia="Verdana" w:cs="Verdana"/>
                <w:color w:val="000000"/>
                <w:szCs w:val="20"/>
              </w:rPr>
            </w:pPr>
            <w:r w:rsidRPr="4EA0D814">
              <w:rPr>
                <w:rFonts w:eastAsia="Verdana" w:cs="Verdana"/>
                <w:color w:val="000000"/>
                <w:szCs w:val="20"/>
              </w:rPr>
              <w:t>Eastern Mount Lofty Ranges</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hideMark/>
          </w:tcPr>
          <w:p w14:paraId="09051688" w14:textId="663A1CDC" w:rsidR="00C431EC" w:rsidRDefault="00C431EC" w:rsidP="009C0F1C">
            <w:pPr>
              <w:spacing w:after="0"/>
              <w:jc w:val="center"/>
              <w:rPr>
                <w:rFonts w:eastAsia="Verdana" w:cs="Verdana"/>
                <w:color w:val="000000"/>
                <w:szCs w:val="20"/>
              </w:rPr>
            </w:pPr>
            <w:r w:rsidRPr="4EA0D814">
              <w:rPr>
                <w:rFonts w:eastAsia="Verdana" w:cs="Verdana"/>
                <w:color w:val="000000"/>
                <w:szCs w:val="20"/>
              </w:rPr>
              <w:t>SS13</w:t>
            </w:r>
          </w:p>
        </w:tc>
        <w:tc>
          <w:tcPr>
            <w:tcW w:w="340"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14015F6A" w14:textId="77A18947" w:rsidR="00C431EC" w:rsidRDefault="00C431EC" w:rsidP="009C0F1C">
            <w:pPr>
              <w:spacing w:after="0"/>
              <w:jc w:val="center"/>
              <w:rPr>
                <w:rFonts w:eastAsia="Verdana" w:cs="Verdana"/>
                <w:color w:val="000000"/>
                <w:szCs w:val="20"/>
              </w:rPr>
            </w:pPr>
            <w:r w:rsidRPr="4EA0D814">
              <w:rPr>
                <w:rFonts w:eastAsia="Verdana" w:cs="Verdana"/>
                <w:color w:val="000000"/>
                <w:szCs w:val="20"/>
              </w:rPr>
              <w:t>28.3</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3F3FBD5D" w14:textId="45355E65" w:rsidR="00C431EC" w:rsidRDefault="00C431EC" w:rsidP="009C0F1C">
            <w:pPr>
              <w:spacing w:after="0"/>
              <w:jc w:val="center"/>
              <w:rPr>
                <w:rFonts w:eastAsia="Verdana" w:cs="Verdana"/>
                <w:color w:val="000000"/>
                <w:szCs w:val="20"/>
              </w:rPr>
            </w:pPr>
            <w:r w:rsidRPr="4EA0D814">
              <w:rPr>
                <w:rFonts w:eastAsia="Verdana" w:cs="Verdana"/>
                <w:color w:val="000000"/>
                <w:szCs w:val="20"/>
              </w:rPr>
              <w:t>26.7</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65451768" w14:textId="5344A105" w:rsidR="00C431EC" w:rsidRDefault="00C431EC" w:rsidP="009C0F1C">
            <w:pPr>
              <w:spacing w:after="0"/>
              <w:jc w:val="center"/>
              <w:rPr>
                <w:rFonts w:eastAsia="Verdana" w:cs="Verdana"/>
                <w:color w:val="000000"/>
                <w:szCs w:val="20"/>
              </w:rPr>
            </w:pPr>
            <w:r w:rsidRPr="4EA0D814">
              <w:rPr>
                <w:rFonts w:eastAsia="Verdana" w:cs="Verdana"/>
                <w:color w:val="000000"/>
                <w:szCs w:val="20"/>
              </w:rPr>
              <w:t>15.8</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33490CAF" w14:textId="0873318D" w:rsidR="00C431EC" w:rsidRDefault="00C431EC" w:rsidP="009C0F1C">
            <w:pPr>
              <w:spacing w:after="0"/>
              <w:jc w:val="center"/>
              <w:rPr>
                <w:rFonts w:eastAsia="Verdana" w:cs="Verdana"/>
                <w:color w:val="000000"/>
                <w:szCs w:val="20"/>
              </w:rPr>
            </w:pPr>
            <w:r w:rsidRPr="4EA0D814">
              <w:rPr>
                <w:rFonts w:eastAsia="Verdana" w:cs="Verdana"/>
                <w:color w:val="000000"/>
                <w:szCs w:val="20"/>
              </w:rPr>
              <w:t>10.9</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58046267" w14:textId="2BBC3E8D" w:rsidR="00C431EC" w:rsidRDefault="00C431EC" w:rsidP="009C0F1C">
            <w:pPr>
              <w:spacing w:after="0"/>
              <w:jc w:val="center"/>
              <w:rPr>
                <w:rFonts w:eastAsia="Verdana" w:cs="Verdana"/>
                <w:color w:val="000000"/>
                <w:szCs w:val="20"/>
              </w:rPr>
            </w:pPr>
            <w:r w:rsidRPr="4EA0D814">
              <w:rPr>
                <w:rFonts w:eastAsia="Verdana" w:cs="Verdana"/>
                <w:color w:val="000000"/>
                <w:szCs w:val="20"/>
              </w:rPr>
              <w:t>40.9</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3AC30381" w14:textId="36798760" w:rsidR="00C431EC" w:rsidRDefault="00C431EC" w:rsidP="009C0F1C">
            <w:pPr>
              <w:spacing w:after="0"/>
              <w:jc w:val="center"/>
              <w:rPr>
                <w:rFonts w:eastAsia="Verdana" w:cs="Verdana"/>
                <w:color w:val="000000"/>
                <w:szCs w:val="20"/>
              </w:rPr>
            </w:pPr>
            <w:r w:rsidRPr="4EA0D814">
              <w:rPr>
                <w:rFonts w:eastAsia="Verdana" w:cs="Verdana"/>
                <w:color w:val="000000"/>
                <w:szCs w:val="20"/>
              </w:rPr>
              <w:t>51.8</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54E442AB" w14:textId="62872142" w:rsidR="00C431EC" w:rsidRDefault="00C431EC" w:rsidP="009C0F1C">
            <w:pPr>
              <w:spacing w:after="0"/>
              <w:jc w:val="center"/>
              <w:rPr>
                <w:rFonts w:eastAsia="Verdana" w:cs="Verdana"/>
                <w:color w:val="000000"/>
                <w:szCs w:val="20"/>
              </w:rPr>
            </w:pPr>
            <w:r w:rsidRPr="4EA0D814">
              <w:rPr>
                <w:rFonts w:eastAsia="Verdana" w:cs="Verdana"/>
                <w:color w:val="000000"/>
                <w:szCs w:val="20"/>
              </w:rPr>
              <w:t>0.0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1ECC1229" w14:textId="4BA0D2A1" w:rsidR="00C431EC" w:rsidRDefault="00C431EC" w:rsidP="009C0F1C">
            <w:pPr>
              <w:spacing w:after="0"/>
              <w:jc w:val="center"/>
              <w:rPr>
                <w:rFonts w:eastAsia="Verdana" w:cs="Verdana"/>
                <w:color w:val="000000"/>
                <w:szCs w:val="20"/>
              </w:rPr>
            </w:pPr>
            <w:r w:rsidRPr="4EA0D814">
              <w:rPr>
                <w:rFonts w:eastAsia="Verdana" w:cs="Verdana"/>
                <w:color w:val="000000"/>
                <w:szCs w:val="20"/>
              </w:rPr>
              <w:t>11.0</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47461CCA" w14:textId="15F0C4F7" w:rsidR="00C431EC" w:rsidRDefault="00C431EC" w:rsidP="009C0F1C">
            <w:pPr>
              <w:spacing w:after="0"/>
              <w:jc w:val="center"/>
              <w:rPr>
                <w:rFonts w:eastAsia="Verdana" w:cs="Verdana"/>
                <w:color w:val="000000"/>
                <w:szCs w:val="20"/>
              </w:rPr>
            </w:pPr>
            <w:r w:rsidRPr="4EA0D814">
              <w:rPr>
                <w:rFonts w:eastAsia="Verdana" w:cs="Verdana"/>
                <w:color w:val="000000"/>
                <w:szCs w:val="20"/>
              </w:rPr>
              <w:t>62.8</w:t>
            </w:r>
          </w:p>
        </w:tc>
        <w:tc>
          <w:tcPr>
            <w:tcW w:w="341"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0AB92B6B" w14:textId="507589BB" w:rsidR="00C431EC" w:rsidRDefault="00C431EC" w:rsidP="009C0F1C">
            <w:pPr>
              <w:spacing w:after="0"/>
              <w:jc w:val="center"/>
              <w:rPr>
                <w:rFonts w:eastAsia="Verdana" w:cs="Verdana"/>
                <w:color w:val="000000"/>
                <w:szCs w:val="20"/>
              </w:rPr>
            </w:pPr>
            <w:r w:rsidRPr="4EA0D814">
              <w:rPr>
                <w:rFonts w:eastAsia="Verdana" w:cs="Verdana"/>
                <w:color w:val="000000"/>
                <w:szCs w:val="20"/>
              </w:rPr>
              <w:t>-5.7</w:t>
            </w:r>
          </w:p>
        </w:tc>
        <w:tc>
          <w:tcPr>
            <w:tcW w:w="519" w:type="pct"/>
            <w:tcBorders>
              <w:top w:val="single" w:sz="6" w:space="0" w:color="8CACAA" w:themeColor="accent1" w:themeTint="99"/>
              <w:left w:val="single" w:sz="6" w:space="0" w:color="8CACAA" w:themeColor="accent1" w:themeTint="99"/>
              <w:bottom w:val="single" w:sz="6" w:space="0" w:color="8CACAA" w:themeColor="accent1" w:themeTint="99"/>
              <w:right w:val="single" w:sz="6" w:space="0" w:color="8CACAA" w:themeColor="accent1" w:themeTint="99"/>
            </w:tcBorders>
            <w:shd w:val="clear" w:color="auto" w:fill="D8E3E2" w:themeFill="text1" w:themeFillTint="33"/>
          </w:tcPr>
          <w:p w14:paraId="48048884" w14:textId="11FCA9B0" w:rsidR="00C431EC" w:rsidRDefault="00C431EC" w:rsidP="009C0F1C">
            <w:pPr>
              <w:spacing w:after="0"/>
              <w:jc w:val="center"/>
              <w:rPr>
                <w:rFonts w:eastAsia="Verdana" w:cs="Verdana"/>
                <w:color w:val="000000"/>
                <w:szCs w:val="20"/>
              </w:rPr>
            </w:pPr>
            <w:r w:rsidRPr="4EA0D814">
              <w:rPr>
                <w:rFonts w:eastAsia="Verdana" w:cs="Verdana"/>
                <w:color w:val="000000"/>
                <w:szCs w:val="20"/>
              </w:rPr>
              <w:t>No</w:t>
            </w:r>
          </w:p>
        </w:tc>
      </w:tr>
    </w:tbl>
    <w:p w14:paraId="3424DA26" w14:textId="5EADE4E9" w:rsidR="2E597054" w:rsidRDefault="2E597054"/>
    <w:p w14:paraId="21965C28" w14:textId="2B024648" w:rsidR="01670D00" w:rsidRDefault="004E28CB" w:rsidP="004E28CB">
      <w:pPr>
        <w:pStyle w:val="Heading3"/>
      </w:pPr>
      <w:bookmarkStart w:id="35" w:name="_Toc203485744"/>
      <w:r>
        <w:t>Groundwater Accounts</w:t>
      </w:r>
      <w:bookmarkEnd w:id="35"/>
    </w:p>
    <w:p w14:paraId="6D4AE442" w14:textId="4B139E9C" w:rsidR="009418E0" w:rsidRPr="009418E0" w:rsidRDefault="009418E0" w:rsidP="009418E0">
      <w:r w:rsidRPr="009418E0">
        <w:rPr>
          <w:b/>
          <w:bCs/>
        </w:rPr>
        <w:t xml:space="preserve">Table </w:t>
      </w:r>
      <w:r>
        <w:rPr>
          <w:b/>
          <w:bCs/>
        </w:rPr>
        <w:t>3</w:t>
      </w:r>
      <w:r w:rsidRPr="009418E0">
        <w:rPr>
          <w:b/>
          <w:bCs/>
        </w:rPr>
        <w:t>:</w:t>
      </w:r>
      <w:r>
        <w:t xml:space="preserve"> Groundwater </w:t>
      </w:r>
      <w:r w:rsidR="00B10575">
        <w:t>Register of Take</w:t>
      </w:r>
      <w:r>
        <w:t xml:space="preserve"> for SDL Resource Units subject to SDL compliance in 2023-</w:t>
      </w:r>
      <w:r w:rsidR="000A0917">
        <w:t>20</w:t>
      </w:r>
      <w:r>
        <w:t>24</w:t>
      </w:r>
    </w:p>
    <w:tbl>
      <w:tblPr>
        <w:tblStyle w:val="GridTable4"/>
        <w:tblW w:w="15871" w:type="dxa"/>
        <w:jc w:val="center"/>
        <w:tblLayout w:type="fixed"/>
        <w:tblLook w:val="04A0" w:firstRow="1" w:lastRow="0" w:firstColumn="1" w:lastColumn="0" w:noHBand="0" w:noVBand="1"/>
      </w:tblPr>
      <w:tblGrid>
        <w:gridCol w:w="846"/>
        <w:gridCol w:w="1708"/>
        <w:gridCol w:w="843"/>
        <w:gridCol w:w="851"/>
        <w:gridCol w:w="971"/>
        <w:gridCol w:w="777"/>
        <w:gridCol w:w="1121"/>
        <w:gridCol w:w="1121"/>
        <w:gridCol w:w="1234"/>
        <w:gridCol w:w="1234"/>
        <w:gridCol w:w="1121"/>
        <w:gridCol w:w="41"/>
        <w:gridCol w:w="1034"/>
        <w:gridCol w:w="92"/>
        <w:gridCol w:w="1143"/>
        <w:gridCol w:w="129"/>
        <w:gridCol w:w="1605"/>
      </w:tblGrid>
      <w:tr w:rsidR="00E904D8" w14:paraId="20F57C4A" w14:textId="77777777" w:rsidTr="00DD27B9">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846" w:type="dxa"/>
          </w:tcPr>
          <w:p w14:paraId="2E5AA4AB" w14:textId="77777777" w:rsidR="351554A5" w:rsidRPr="004E28CB" w:rsidRDefault="351554A5" w:rsidP="351554A5">
            <w:pPr>
              <w:spacing w:after="0"/>
              <w:jc w:val="center"/>
              <w:rPr>
                <w:rFonts w:ascii="Segoe UI" w:eastAsia="Times New Roman" w:hAnsi="Segoe UI" w:cs="Segoe UI"/>
                <w:bCs w:val="0"/>
                <w:sz w:val="12"/>
                <w:szCs w:val="12"/>
                <w:lang w:eastAsia="en-AU"/>
              </w:rPr>
            </w:pPr>
            <w:r w:rsidRPr="004E28CB">
              <w:rPr>
                <w:rFonts w:eastAsia="Times New Roman" w:cs="Segoe UI"/>
                <w:bCs w:val="0"/>
                <w:color w:val="FFFFFF"/>
                <w:sz w:val="12"/>
                <w:szCs w:val="12"/>
                <w:lang w:eastAsia="en-AU"/>
              </w:rPr>
              <w:t>State </w:t>
            </w:r>
          </w:p>
        </w:tc>
        <w:tc>
          <w:tcPr>
            <w:tcW w:w="1708" w:type="dxa"/>
          </w:tcPr>
          <w:p w14:paraId="24913C19" w14:textId="77777777" w:rsidR="351554A5" w:rsidRPr="004E28CB" w:rsidRDefault="351554A5" w:rsidP="351554A5">
            <w:pPr>
              <w:spacing w:after="0"/>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Cs w:val="0"/>
                <w:sz w:val="12"/>
                <w:szCs w:val="12"/>
                <w:lang w:eastAsia="en-AU"/>
              </w:rPr>
            </w:pPr>
            <w:r w:rsidRPr="004E28CB">
              <w:rPr>
                <w:rFonts w:eastAsia="Times New Roman" w:cs="Segoe UI"/>
                <w:bCs w:val="0"/>
                <w:color w:val="FFFFFF"/>
                <w:sz w:val="12"/>
                <w:szCs w:val="12"/>
                <w:lang w:eastAsia="en-AU"/>
              </w:rPr>
              <w:t>SDL resource unit </w:t>
            </w:r>
          </w:p>
        </w:tc>
        <w:tc>
          <w:tcPr>
            <w:tcW w:w="843" w:type="dxa"/>
          </w:tcPr>
          <w:p w14:paraId="1368192E" w14:textId="77777777" w:rsidR="351554A5" w:rsidRPr="004E28CB" w:rsidRDefault="351554A5" w:rsidP="351554A5">
            <w:pPr>
              <w:spacing w:after="0"/>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Cs w:val="0"/>
                <w:sz w:val="12"/>
                <w:szCs w:val="12"/>
                <w:lang w:eastAsia="en-AU"/>
              </w:rPr>
            </w:pPr>
            <w:r w:rsidRPr="004E28CB">
              <w:rPr>
                <w:rFonts w:eastAsia="Times New Roman" w:cs="Segoe UI"/>
                <w:bCs w:val="0"/>
                <w:color w:val="FFFFFF"/>
                <w:sz w:val="12"/>
                <w:szCs w:val="12"/>
                <w:lang w:eastAsia="en-AU"/>
              </w:rPr>
              <w:t>SDL resource unit code </w:t>
            </w:r>
          </w:p>
        </w:tc>
        <w:tc>
          <w:tcPr>
            <w:tcW w:w="851" w:type="dxa"/>
          </w:tcPr>
          <w:p w14:paraId="38562710" w14:textId="2C924FFB" w:rsidR="351554A5" w:rsidRPr="004E28CB" w:rsidRDefault="351554A5" w:rsidP="351554A5">
            <w:pPr>
              <w:spacing w:after="0"/>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Cs w:val="0"/>
                <w:sz w:val="12"/>
                <w:szCs w:val="12"/>
                <w:lang w:eastAsia="en-AU"/>
              </w:rPr>
            </w:pPr>
            <w:r w:rsidRPr="004E28CB">
              <w:rPr>
                <w:rFonts w:eastAsia="Times New Roman" w:cs="Segoe UI"/>
                <w:bCs w:val="0"/>
                <w:color w:val="FFFFFF"/>
                <w:sz w:val="12"/>
                <w:szCs w:val="12"/>
                <w:lang w:eastAsia="en-AU"/>
              </w:rPr>
              <w:t>SDL </w:t>
            </w:r>
            <w:r w:rsidR="00115EA1">
              <w:rPr>
                <w:rFonts w:eastAsia="Times New Roman" w:cs="Segoe UI"/>
                <w:b w:val="0"/>
                <w:bCs w:val="0"/>
                <w:color w:val="FFFFFF"/>
                <w:sz w:val="12"/>
                <w:szCs w:val="12"/>
                <w:lang w:eastAsia="en-AU"/>
              </w:rPr>
              <w:t>(GL)</w:t>
            </w:r>
            <w:r w:rsidR="00115EA1" w:rsidRPr="004E28CB">
              <w:rPr>
                <w:rFonts w:eastAsia="Times New Roman" w:cs="Segoe UI"/>
                <w:b w:val="0"/>
                <w:bCs w:val="0"/>
                <w:color w:val="FFFFFF"/>
                <w:sz w:val="12"/>
                <w:szCs w:val="12"/>
                <w:lang w:eastAsia="en-AU"/>
              </w:rPr>
              <w:t> </w:t>
            </w:r>
          </w:p>
        </w:tc>
        <w:tc>
          <w:tcPr>
            <w:tcW w:w="971" w:type="dxa"/>
          </w:tcPr>
          <w:p w14:paraId="248AACAA" w14:textId="20601B48" w:rsidR="6BDE6BF4" w:rsidRPr="004E28CB" w:rsidRDefault="6BDE6BF4" w:rsidP="6BDE6BF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Segoe UI"/>
                <w:bCs w:val="0"/>
                <w:color w:val="FFFFFF"/>
                <w:sz w:val="12"/>
                <w:szCs w:val="12"/>
                <w:lang w:eastAsia="en-AU"/>
              </w:rPr>
            </w:pPr>
            <w:r w:rsidRPr="004E28CB">
              <w:rPr>
                <w:rFonts w:eastAsia="Times New Roman" w:cs="Segoe UI"/>
                <w:bCs w:val="0"/>
                <w:color w:val="FFFFFF"/>
                <w:sz w:val="12"/>
                <w:szCs w:val="12"/>
                <w:lang w:eastAsia="en-AU"/>
              </w:rPr>
              <w:t>Annual Permitted Take</w:t>
            </w:r>
            <w:r w:rsidR="00115EA1">
              <w:rPr>
                <w:rFonts w:eastAsia="Times New Roman" w:cs="Segoe UI"/>
                <w:bCs w:val="0"/>
                <w:color w:val="FFFFFF"/>
                <w:sz w:val="12"/>
                <w:szCs w:val="12"/>
                <w:lang w:eastAsia="en-AU"/>
              </w:rPr>
              <w:t xml:space="preserve"> </w:t>
            </w:r>
            <w:r w:rsidR="00115EA1">
              <w:rPr>
                <w:rFonts w:eastAsia="Times New Roman" w:cs="Segoe UI"/>
                <w:b w:val="0"/>
                <w:bCs w:val="0"/>
                <w:color w:val="FFFFFF"/>
                <w:sz w:val="12"/>
                <w:szCs w:val="12"/>
                <w:lang w:eastAsia="en-AU"/>
              </w:rPr>
              <w:t>(GL)</w:t>
            </w:r>
            <w:r w:rsidR="00115EA1" w:rsidRPr="004E28CB">
              <w:rPr>
                <w:rFonts w:eastAsia="Times New Roman" w:cs="Segoe UI"/>
                <w:b w:val="0"/>
                <w:bCs w:val="0"/>
                <w:color w:val="FFFFFF"/>
                <w:sz w:val="12"/>
                <w:szCs w:val="12"/>
                <w:lang w:eastAsia="en-AU"/>
              </w:rPr>
              <w:t> </w:t>
            </w:r>
          </w:p>
        </w:tc>
        <w:tc>
          <w:tcPr>
            <w:tcW w:w="777" w:type="dxa"/>
          </w:tcPr>
          <w:p w14:paraId="770B1F44" w14:textId="108712D0" w:rsidR="6BDE6BF4" w:rsidRPr="004E28CB" w:rsidRDefault="6BDE6BF4" w:rsidP="6BDE6BF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Segoe UI"/>
                <w:bCs w:val="0"/>
                <w:color w:val="FFFFFF"/>
                <w:sz w:val="12"/>
                <w:szCs w:val="12"/>
                <w:lang w:eastAsia="en-AU"/>
              </w:rPr>
            </w:pPr>
            <w:r w:rsidRPr="004E28CB">
              <w:rPr>
                <w:rFonts w:eastAsia="Times New Roman" w:cs="Segoe UI"/>
                <w:bCs w:val="0"/>
                <w:color w:val="FFFFFF"/>
                <w:sz w:val="12"/>
                <w:szCs w:val="12"/>
                <w:lang w:eastAsia="en-AU"/>
              </w:rPr>
              <w:t>Annual Actual Take</w:t>
            </w:r>
            <w:r w:rsidR="00115EA1">
              <w:rPr>
                <w:rFonts w:eastAsia="Times New Roman" w:cs="Segoe UI"/>
                <w:bCs w:val="0"/>
                <w:color w:val="FFFFFF"/>
                <w:sz w:val="12"/>
                <w:szCs w:val="12"/>
                <w:lang w:eastAsia="en-AU"/>
              </w:rPr>
              <w:t xml:space="preserve"> </w:t>
            </w:r>
            <w:r w:rsidR="00115EA1">
              <w:rPr>
                <w:rFonts w:eastAsia="Times New Roman" w:cs="Segoe UI"/>
                <w:b w:val="0"/>
                <w:bCs w:val="0"/>
                <w:color w:val="FFFFFF"/>
                <w:sz w:val="12"/>
                <w:szCs w:val="12"/>
                <w:lang w:eastAsia="en-AU"/>
              </w:rPr>
              <w:t>(GL)</w:t>
            </w:r>
            <w:r w:rsidR="00115EA1" w:rsidRPr="004E28CB">
              <w:rPr>
                <w:rFonts w:eastAsia="Times New Roman" w:cs="Segoe UI"/>
                <w:b w:val="0"/>
                <w:bCs w:val="0"/>
                <w:color w:val="FFFFFF"/>
                <w:sz w:val="12"/>
                <w:szCs w:val="12"/>
                <w:lang w:eastAsia="en-AU"/>
              </w:rPr>
              <w:t> </w:t>
            </w:r>
          </w:p>
        </w:tc>
        <w:tc>
          <w:tcPr>
            <w:tcW w:w="1121" w:type="dxa"/>
          </w:tcPr>
          <w:p w14:paraId="1BDA92BE" w14:textId="5D58E3E1" w:rsidR="351554A5" w:rsidRPr="004E28CB" w:rsidRDefault="52A1496F" w:rsidP="351554A5">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Segoe UI"/>
                <w:bCs w:val="0"/>
                <w:color w:val="FFFFFF"/>
                <w:sz w:val="12"/>
                <w:szCs w:val="12"/>
                <w:lang w:eastAsia="en-AU"/>
              </w:rPr>
            </w:pPr>
            <w:r w:rsidRPr="004E28CB">
              <w:rPr>
                <w:rFonts w:eastAsia="Times New Roman" w:cs="Segoe UI"/>
                <w:bCs w:val="0"/>
                <w:color w:val="FFFFFF"/>
                <w:sz w:val="12"/>
                <w:szCs w:val="12"/>
                <w:lang w:eastAsia="en-AU"/>
              </w:rPr>
              <w:t>Cumulative Permitted Take (PT) from previous year</w:t>
            </w:r>
            <w:r w:rsidR="00115EA1">
              <w:rPr>
                <w:rFonts w:eastAsia="Times New Roman" w:cs="Segoe UI"/>
                <w:bCs w:val="0"/>
                <w:color w:val="FFFFFF"/>
                <w:sz w:val="12"/>
                <w:szCs w:val="12"/>
                <w:lang w:eastAsia="en-AU"/>
              </w:rPr>
              <w:t xml:space="preserve"> </w:t>
            </w:r>
            <w:r w:rsidR="00115EA1">
              <w:rPr>
                <w:rFonts w:eastAsia="Times New Roman" w:cs="Segoe UI"/>
                <w:b w:val="0"/>
                <w:bCs w:val="0"/>
                <w:color w:val="FFFFFF"/>
                <w:sz w:val="12"/>
                <w:szCs w:val="12"/>
                <w:lang w:eastAsia="en-AU"/>
              </w:rPr>
              <w:t>(GL)</w:t>
            </w:r>
            <w:r w:rsidR="00115EA1" w:rsidRPr="004E28CB">
              <w:rPr>
                <w:rFonts w:eastAsia="Times New Roman" w:cs="Segoe UI"/>
                <w:b w:val="0"/>
                <w:bCs w:val="0"/>
                <w:color w:val="FFFFFF"/>
                <w:sz w:val="12"/>
                <w:szCs w:val="12"/>
                <w:lang w:eastAsia="en-AU"/>
              </w:rPr>
              <w:t> </w:t>
            </w:r>
          </w:p>
        </w:tc>
        <w:tc>
          <w:tcPr>
            <w:tcW w:w="1121" w:type="dxa"/>
          </w:tcPr>
          <w:p w14:paraId="7C70116E" w14:textId="342ED18B" w:rsidR="351554A5" w:rsidRPr="004E28CB" w:rsidRDefault="52A1496F" w:rsidP="351554A5">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Segoe UI"/>
                <w:bCs w:val="0"/>
                <w:color w:val="FFFFFF"/>
                <w:sz w:val="12"/>
                <w:szCs w:val="12"/>
                <w:lang w:eastAsia="en-AU"/>
              </w:rPr>
            </w:pPr>
            <w:r w:rsidRPr="004E28CB">
              <w:rPr>
                <w:rFonts w:eastAsia="Times New Roman" w:cs="Segoe UI"/>
                <w:bCs w:val="0"/>
                <w:color w:val="FFFFFF"/>
                <w:sz w:val="12"/>
                <w:szCs w:val="12"/>
                <w:lang w:eastAsia="en-AU"/>
              </w:rPr>
              <w:t>Cumulative Actual Take from previous year</w:t>
            </w:r>
            <w:r w:rsidR="00115EA1">
              <w:rPr>
                <w:rFonts w:eastAsia="Times New Roman" w:cs="Segoe UI"/>
                <w:bCs w:val="0"/>
                <w:color w:val="FFFFFF"/>
                <w:sz w:val="12"/>
                <w:szCs w:val="12"/>
                <w:lang w:eastAsia="en-AU"/>
              </w:rPr>
              <w:t xml:space="preserve"> </w:t>
            </w:r>
            <w:r w:rsidR="00115EA1">
              <w:rPr>
                <w:rFonts w:eastAsia="Times New Roman" w:cs="Segoe UI"/>
                <w:b w:val="0"/>
                <w:bCs w:val="0"/>
                <w:color w:val="FFFFFF"/>
                <w:sz w:val="12"/>
                <w:szCs w:val="12"/>
                <w:lang w:eastAsia="en-AU"/>
              </w:rPr>
              <w:t>(GL)</w:t>
            </w:r>
            <w:r w:rsidR="00115EA1" w:rsidRPr="004E28CB">
              <w:rPr>
                <w:rFonts w:eastAsia="Times New Roman" w:cs="Segoe UI"/>
                <w:b w:val="0"/>
                <w:bCs w:val="0"/>
                <w:color w:val="FFFFFF"/>
                <w:sz w:val="12"/>
                <w:szCs w:val="12"/>
                <w:lang w:eastAsia="en-AU"/>
              </w:rPr>
              <w:t> </w:t>
            </w:r>
          </w:p>
        </w:tc>
        <w:tc>
          <w:tcPr>
            <w:tcW w:w="1234" w:type="dxa"/>
          </w:tcPr>
          <w:p w14:paraId="2D5C17E3" w14:textId="6305257D" w:rsidR="351554A5" w:rsidRPr="004E28CB" w:rsidRDefault="333ACA04" w:rsidP="351554A5">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Segoe UI"/>
                <w:bCs w:val="0"/>
                <w:color w:val="FFFFFF"/>
                <w:sz w:val="12"/>
                <w:szCs w:val="12"/>
                <w:lang w:eastAsia="en-AU"/>
              </w:rPr>
            </w:pPr>
            <w:r w:rsidRPr="004E28CB">
              <w:rPr>
                <w:rFonts w:eastAsia="Times New Roman" w:cs="Segoe UI"/>
                <w:bCs w:val="0"/>
                <w:color w:val="FFFFFF"/>
                <w:sz w:val="12"/>
                <w:szCs w:val="12"/>
                <w:lang w:eastAsia="en-AU"/>
              </w:rPr>
              <w:t>Annual Adjustments for the previous year's Annual Expression of Incomplete Recovery (AEIR)</w:t>
            </w:r>
            <w:r w:rsidR="00115EA1">
              <w:rPr>
                <w:rFonts w:eastAsia="Times New Roman" w:cs="Segoe UI"/>
                <w:bCs w:val="0"/>
                <w:color w:val="FFFFFF"/>
                <w:sz w:val="12"/>
                <w:szCs w:val="12"/>
                <w:lang w:eastAsia="en-AU"/>
              </w:rPr>
              <w:t xml:space="preserve"> </w:t>
            </w:r>
            <w:r w:rsidR="00115EA1">
              <w:rPr>
                <w:rFonts w:eastAsia="Times New Roman" w:cs="Segoe UI"/>
                <w:b w:val="0"/>
                <w:bCs w:val="0"/>
                <w:color w:val="FFFFFF"/>
                <w:sz w:val="12"/>
                <w:szCs w:val="12"/>
                <w:lang w:eastAsia="en-AU"/>
              </w:rPr>
              <w:t>(GL)</w:t>
            </w:r>
            <w:r w:rsidR="00115EA1" w:rsidRPr="004E28CB">
              <w:rPr>
                <w:rFonts w:eastAsia="Times New Roman" w:cs="Segoe UI"/>
                <w:b w:val="0"/>
                <w:bCs w:val="0"/>
                <w:color w:val="FFFFFF"/>
                <w:sz w:val="12"/>
                <w:szCs w:val="12"/>
                <w:lang w:eastAsia="en-AU"/>
              </w:rPr>
              <w:t> </w:t>
            </w:r>
          </w:p>
        </w:tc>
        <w:tc>
          <w:tcPr>
            <w:tcW w:w="1234" w:type="dxa"/>
          </w:tcPr>
          <w:p w14:paraId="547C0A0F" w14:textId="695959D0" w:rsidR="351554A5" w:rsidRPr="004E28CB" w:rsidRDefault="333ACA04" w:rsidP="351554A5">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Segoe UI"/>
                <w:bCs w:val="0"/>
                <w:color w:val="FFFFFF"/>
                <w:sz w:val="12"/>
                <w:szCs w:val="12"/>
                <w:lang w:eastAsia="en-AU"/>
              </w:rPr>
            </w:pPr>
            <w:r w:rsidRPr="004E28CB">
              <w:rPr>
                <w:rFonts w:eastAsia="Times New Roman" w:cs="Segoe UI"/>
                <w:bCs w:val="0"/>
                <w:color w:val="FFFFFF"/>
                <w:sz w:val="12"/>
                <w:szCs w:val="12"/>
                <w:lang w:eastAsia="en-AU"/>
              </w:rPr>
              <w:t>Cumulative Adjustments for the previous year's Annual Expression of Incomplete Recovery (AEIR)</w:t>
            </w:r>
            <w:r w:rsidR="00115EA1">
              <w:rPr>
                <w:rFonts w:eastAsia="Times New Roman" w:cs="Segoe UI"/>
                <w:bCs w:val="0"/>
                <w:color w:val="FFFFFF"/>
                <w:sz w:val="12"/>
                <w:szCs w:val="12"/>
                <w:lang w:eastAsia="en-AU"/>
              </w:rPr>
              <w:t xml:space="preserve"> </w:t>
            </w:r>
            <w:r w:rsidR="00115EA1">
              <w:rPr>
                <w:rFonts w:eastAsia="Times New Roman" w:cs="Segoe UI"/>
                <w:b w:val="0"/>
                <w:bCs w:val="0"/>
                <w:color w:val="FFFFFF"/>
                <w:sz w:val="12"/>
                <w:szCs w:val="12"/>
                <w:lang w:eastAsia="en-AU"/>
              </w:rPr>
              <w:t>(GL)</w:t>
            </w:r>
            <w:r w:rsidR="00115EA1" w:rsidRPr="004E28CB">
              <w:rPr>
                <w:rFonts w:eastAsia="Times New Roman" w:cs="Segoe UI"/>
                <w:b w:val="0"/>
                <w:bCs w:val="0"/>
                <w:color w:val="FFFFFF"/>
                <w:sz w:val="12"/>
                <w:szCs w:val="12"/>
                <w:lang w:eastAsia="en-AU"/>
              </w:rPr>
              <w:t> </w:t>
            </w:r>
          </w:p>
        </w:tc>
        <w:tc>
          <w:tcPr>
            <w:tcW w:w="1121" w:type="dxa"/>
          </w:tcPr>
          <w:p w14:paraId="25C44CD6" w14:textId="23E7165C" w:rsidR="0A5E5E91" w:rsidRPr="004E28CB" w:rsidRDefault="0A5E5E91" w:rsidP="0A5E5E91">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Segoe UI"/>
                <w:bCs w:val="0"/>
                <w:color w:val="FFFFFF"/>
                <w:sz w:val="12"/>
                <w:szCs w:val="12"/>
                <w:lang w:eastAsia="en-AU"/>
              </w:rPr>
            </w:pPr>
            <w:r w:rsidRPr="004E28CB">
              <w:rPr>
                <w:rFonts w:eastAsia="Times New Roman" w:cs="Segoe UI"/>
                <w:bCs w:val="0"/>
                <w:color w:val="FFFFFF"/>
                <w:sz w:val="12"/>
                <w:szCs w:val="12"/>
                <w:lang w:eastAsia="en-AU"/>
              </w:rPr>
              <w:t>Cumulative Permitted Take at end of current year</w:t>
            </w:r>
            <w:r w:rsidR="00115EA1">
              <w:rPr>
                <w:rFonts w:eastAsia="Times New Roman" w:cs="Segoe UI"/>
                <w:bCs w:val="0"/>
                <w:color w:val="FFFFFF"/>
                <w:sz w:val="12"/>
                <w:szCs w:val="12"/>
                <w:lang w:eastAsia="en-AU"/>
              </w:rPr>
              <w:t xml:space="preserve"> </w:t>
            </w:r>
            <w:r w:rsidR="00115EA1">
              <w:rPr>
                <w:rFonts w:eastAsia="Times New Roman" w:cs="Segoe UI"/>
                <w:b w:val="0"/>
                <w:bCs w:val="0"/>
                <w:color w:val="FFFFFF"/>
                <w:sz w:val="12"/>
                <w:szCs w:val="12"/>
                <w:lang w:eastAsia="en-AU"/>
              </w:rPr>
              <w:t>(GL)</w:t>
            </w:r>
            <w:r w:rsidR="00115EA1" w:rsidRPr="004E28CB">
              <w:rPr>
                <w:rFonts w:eastAsia="Times New Roman" w:cs="Segoe UI"/>
                <w:b w:val="0"/>
                <w:bCs w:val="0"/>
                <w:color w:val="FFFFFF"/>
                <w:sz w:val="12"/>
                <w:szCs w:val="12"/>
                <w:lang w:eastAsia="en-AU"/>
              </w:rPr>
              <w:t> </w:t>
            </w:r>
          </w:p>
        </w:tc>
        <w:tc>
          <w:tcPr>
            <w:tcW w:w="1167" w:type="dxa"/>
            <w:gridSpan w:val="3"/>
          </w:tcPr>
          <w:p w14:paraId="4B17BAEC" w14:textId="422DA669" w:rsidR="0A5E5E91" w:rsidRPr="004E28CB" w:rsidRDefault="0A5E5E91" w:rsidP="0A5E5E91">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Segoe UI"/>
                <w:bCs w:val="0"/>
                <w:color w:val="FFFFFF"/>
                <w:sz w:val="12"/>
                <w:szCs w:val="12"/>
                <w:lang w:eastAsia="en-AU"/>
              </w:rPr>
            </w:pPr>
            <w:r w:rsidRPr="004E28CB">
              <w:rPr>
                <w:rFonts w:eastAsia="Times New Roman" w:cs="Segoe UI"/>
                <w:bCs w:val="0"/>
                <w:color w:val="FFFFFF"/>
                <w:sz w:val="12"/>
                <w:szCs w:val="12"/>
                <w:lang w:eastAsia="en-AU"/>
              </w:rPr>
              <w:t>Cumulative Actual Take at end of current year</w:t>
            </w:r>
            <w:r w:rsidR="00115EA1">
              <w:rPr>
                <w:rFonts w:eastAsia="Times New Roman" w:cs="Segoe UI"/>
                <w:bCs w:val="0"/>
                <w:color w:val="FFFFFF"/>
                <w:sz w:val="12"/>
                <w:szCs w:val="12"/>
                <w:lang w:eastAsia="en-AU"/>
              </w:rPr>
              <w:t xml:space="preserve"> </w:t>
            </w:r>
            <w:r w:rsidR="00115EA1">
              <w:rPr>
                <w:rFonts w:eastAsia="Times New Roman" w:cs="Segoe UI"/>
                <w:b w:val="0"/>
                <w:bCs w:val="0"/>
                <w:color w:val="FFFFFF"/>
                <w:sz w:val="12"/>
                <w:szCs w:val="12"/>
                <w:lang w:eastAsia="en-AU"/>
              </w:rPr>
              <w:t>(GL)</w:t>
            </w:r>
            <w:r w:rsidR="00115EA1" w:rsidRPr="004E28CB">
              <w:rPr>
                <w:rFonts w:eastAsia="Times New Roman" w:cs="Segoe UI"/>
                <w:b w:val="0"/>
                <w:bCs w:val="0"/>
                <w:color w:val="FFFFFF"/>
                <w:sz w:val="12"/>
                <w:szCs w:val="12"/>
                <w:lang w:eastAsia="en-AU"/>
              </w:rPr>
              <w:t> </w:t>
            </w:r>
          </w:p>
        </w:tc>
        <w:tc>
          <w:tcPr>
            <w:tcW w:w="1143" w:type="dxa"/>
          </w:tcPr>
          <w:p w14:paraId="1D99AB6D" w14:textId="2F20E9A8" w:rsidR="0A5E5E91" w:rsidRPr="00E424D7" w:rsidRDefault="00E424D7" w:rsidP="0A5E5E91">
            <w:pPr>
              <w:jc w:val="center"/>
              <w:cnfStyle w:val="100000000000" w:firstRow="1" w:lastRow="0" w:firstColumn="0" w:lastColumn="0" w:oddVBand="0" w:evenVBand="0" w:oddHBand="0" w:evenHBand="0" w:firstRowFirstColumn="0" w:firstRowLastColumn="0" w:lastRowFirstColumn="0" w:lastRowLastColumn="0"/>
              <w:rPr>
                <w:rFonts w:eastAsia="Times New Roman" w:cs="Segoe UI"/>
                <w:color w:val="FFFFFF"/>
                <w:sz w:val="12"/>
                <w:szCs w:val="12"/>
                <w:lang w:eastAsia="en-AU"/>
              </w:rPr>
            </w:pPr>
            <w:r w:rsidRPr="00E424D7">
              <w:rPr>
                <w:rFonts w:eastAsia="Times New Roman" w:cs="Segoe UI"/>
                <w:color w:val="FFFFFF"/>
                <w:sz w:val="12"/>
                <w:szCs w:val="12"/>
                <w:lang w:eastAsia="en-AU"/>
              </w:rPr>
              <w:t>Compliance Trigger (GL) </w:t>
            </w:r>
          </w:p>
        </w:tc>
        <w:tc>
          <w:tcPr>
            <w:tcW w:w="1734" w:type="dxa"/>
            <w:gridSpan w:val="2"/>
          </w:tcPr>
          <w:p w14:paraId="60E56F01" w14:textId="53B8280F" w:rsidR="351554A5" w:rsidRPr="00E424D7" w:rsidRDefault="00E424D7" w:rsidP="351554A5">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Segoe UI"/>
                <w:color w:val="FFFFFF"/>
                <w:sz w:val="12"/>
                <w:szCs w:val="12"/>
                <w:lang w:eastAsia="en-AU"/>
              </w:rPr>
            </w:pPr>
            <w:r>
              <w:rPr>
                <w:rFonts w:eastAsia="Times New Roman" w:cs="Segoe UI"/>
                <w:bCs w:val="0"/>
                <w:color w:val="FFFFFF"/>
                <w:sz w:val="12"/>
                <w:szCs w:val="12"/>
                <w:lang w:eastAsia="en-AU"/>
              </w:rPr>
              <w:t xml:space="preserve"> </w:t>
            </w:r>
            <w:r w:rsidRPr="00E424D7">
              <w:rPr>
                <w:rFonts w:eastAsia="Times New Roman" w:cs="Segoe UI"/>
                <w:color w:val="FFFFFF"/>
                <w:sz w:val="12"/>
                <w:szCs w:val="12"/>
                <w:lang w:eastAsia="en-AU"/>
              </w:rPr>
              <w:t>Was the trigger exceeded? (Yes/No)</w:t>
            </w:r>
          </w:p>
        </w:tc>
      </w:tr>
      <w:tr w:rsidR="00E904D8" w14:paraId="5D0D0F69" w14:textId="77777777" w:rsidTr="00115E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12582CDC" w14:textId="022526DD" w:rsidR="00827651" w:rsidRPr="004E28CB" w:rsidRDefault="00827651" w:rsidP="00827651">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ACT</w:t>
            </w:r>
          </w:p>
        </w:tc>
        <w:tc>
          <w:tcPr>
            <w:tcW w:w="1708" w:type="dxa"/>
          </w:tcPr>
          <w:p w14:paraId="1B8F928C" w14:textId="30D0E8F8" w:rsidR="00827651" w:rsidRPr="004E28CB" w:rsidRDefault="00827651"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Australian Capital Territory (groundwater)</w:t>
            </w:r>
          </w:p>
        </w:tc>
        <w:tc>
          <w:tcPr>
            <w:tcW w:w="843" w:type="dxa"/>
          </w:tcPr>
          <w:p w14:paraId="2D7A2A42" w14:textId="24495333" w:rsidR="00827651" w:rsidRPr="004E28CB" w:rsidRDefault="005776E1"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GS52</w:t>
            </w:r>
          </w:p>
        </w:tc>
        <w:tc>
          <w:tcPr>
            <w:tcW w:w="851" w:type="dxa"/>
          </w:tcPr>
          <w:p w14:paraId="7231316E" w14:textId="5BA811DB" w:rsidR="00827651" w:rsidRPr="004E28CB" w:rsidRDefault="00827651"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3.2</w:t>
            </w:r>
          </w:p>
        </w:tc>
        <w:tc>
          <w:tcPr>
            <w:tcW w:w="971" w:type="dxa"/>
          </w:tcPr>
          <w:p w14:paraId="7515666E" w14:textId="28F5C500" w:rsidR="00827651" w:rsidRPr="004E28CB" w:rsidRDefault="00827651"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3.2</w:t>
            </w:r>
          </w:p>
        </w:tc>
        <w:tc>
          <w:tcPr>
            <w:tcW w:w="777" w:type="dxa"/>
          </w:tcPr>
          <w:p w14:paraId="40C53DE5" w14:textId="7793630B" w:rsidR="00827651" w:rsidRPr="004E28CB" w:rsidRDefault="00827651"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0.6</w:t>
            </w:r>
          </w:p>
        </w:tc>
        <w:tc>
          <w:tcPr>
            <w:tcW w:w="1121" w:type="dxa"/>
          </w:tcPr>
          <w:p w14:paraId="6C3A1AB9" w14:textId="6C4B993A" w:rsidR="00827651" w:rsidRPr="004E28CB" w:rsidRDefault="00827651"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12.6</w:t>
            </w:r>
          </w:p>
        </w:tc>
        <w:tc>
          <w:tcPr>
            <w:tcW w:w="1121" w:type="dxa"/>
          </w:tcPr>
          <w:p w14:paraId="5CCAC0F7" w14:textId="2B422634" w:rsidR="00827651" w:rsidRPr="004E28CB" w:rsidRDefault="00827651"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1.7</w:t>
            </w:r>
          </w:p>
        </w:tc>
        <w:tc>
          <w:tcPr>
            <w:tcW w:w="1234" w:type="dxa"/>
          </w:tcPr>
          <w:p w14:paraId="27AC086F" w14:textId="6D128ECC" w:rsidR="00827651" w:rsidRPr="004E28CB" w:rsidRDefault="00827651"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0.0</w:t>
            </w:r>
          </w:p>
        </w:tc>
        <w:tc>
          <w:tcPr>
            <w:tcW w:w="1234" w:type="dxa"/>
          </w:tcPr>
          <w:p w14:paraId="7AEDE10F" w14:textId="29433E81" w:rsidR="00827651" w:rsidRPr="004E28CB" w:rsidRDefault="00827651"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0.0</w:t>
            </w:r>
          </w:p>
        </w:tc>
        <w:tc>
          <w:tcPr>
            <w:tcW w:w="1162" w:type="dxa"/>
            <w:gridSpan w:val="2"/>
          </w:tcPr>
          <w:p w14:paraId="4A4B44C1" w14:textId="0B164111" w:rsidR="00827651" w:rsidRPr="004E28CB" w:rsidRDefault="00A52C30"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Pr>
                <w:color w:val="000000"/>
                <w:szCs w:val="20"/>
              </w:rPr>
              <w:t>15.8</w:t>
            </w:r>
          </w:p>
        </w:tc>
        <w:tc>
          <w:tcPr>
            <w:tcW w:w="1034" w:type="dxa"/>
          </w:tcPr>
          <w:p w14:paraId="0C44E40D" w14:textId="211339F4" w:rsidR="00827651" w:rsidRPr="004E28CB" w:rsidRDefault="00C23260"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Pr>
                <w:color w:val="000000"/>
                <w:szCs w:val="20"/>
              </w:rPr>
              <w:t>2.4</w:t>
            </w:r>
          </w:p>
        </w:tc>
        <w:tc>
          <w:tcPr>
            <w:tcW w:w="1364" w:type="dxa"/>
            <w:gridSpan w:val="3"/>
          </w:tcPr>
          <w:p w14:paraId="2234F80F" w14:textId="01CB3F76" w:rsidR="00827651" w:rsidRPr="004E28CB" w:rsidRDefault="004035B2" w:rsidP="00115EA1">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Pr>
                <w:color w:val="000000"/>
                <w:szCs w:val="20"/>
              </w:rPr>
              <w:t>16</w:t>
            </w:r>
            <w:r w:rsidR="00827651" w:rsidRPr="004E28CB">
              <w:rPr>
                <w:color w:val="000000"/>
                <w:szCs w:val="20"/>
              </w:rPr>
              <w:t>.4</w:t>
            </w:r>
          </w:p>
        </w:tc>
        <w:tc>
          <w:tcPr>
            <w:tcW w:w="1605" w:type="dxa"/>
          </w:tcPr>
          <w:p w14:paraId="6F3D6108" w14:textId="0A77C5E2" w:rsidR="00827651" w:rsidRPr="004E28CB" w:rsidRDefault="00827651"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No</w:t>
            </w:r>
          </w:p>
        </w:tc>
      </w:tr>
      <w:tr w:rsidR="004E28CB" w14:paraId="0DD907C9" w14:textId="77777777" w:rsidTr="00115EA1">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0B8EFE57" w14:textId="46EF5FED" w:rsidR="00ED4F3A" w:rsidRPr="004E28CB" w:rsidRDefault="00ED4F3A" w:rsidP="00ED4F3A">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NSW</w:t>
            </w:r>
          </w:p>
        </w:tc>
        <w:tc>
          <w:tcPr>
            <w:tcW w:w="1708" w:type="dxa"/>
          </w:tcPr>
          <w:p w14:paraId="14340146" w14:textId="73A54C02" w:rsidR="00ED4F3A" w:rsidRPr="004E28CB" w:rsidRDefault="00ED4F3A"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Adelaide Fold Belt MDB</w:t>
            </w:r>
          </w:p>
        </w:tc>
        <w:tc>
          <w:tcPr>
            <w:tcW w:w="843" w:type="dxa"/>
          </w:tcPr>
          <w:p w14:paraId="7EF458E8" w14:textId="2761EAA7" w:rsidR="00ED4F3A" w:rsidRPr="004E28CB" w:rsidRDefault="00ED4F3A"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GS10</w:t>
            </w:r>
          </w:p>
        </w:tc>
        <w:tc>
          <w:tcPr>
            <w:tcW w:w="851" w:type="dxa"/>
          </w:tcPr>
          <w:p w14:paraId="5CAED56B" w14:textId="7273E14E" w:rsidR="00ED4F3A" w:rsidRPr="004E28CB" w:rsidRDefault="00ED4F3A"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6.9</w:t>
            </w:r>
          </w:p>
        </w:tc>
        <w:tc>
          <w:tcPr>
            <w:tcW w:w="971" w:type="dxa"/>
          </w:tcPr>
          <w:p w14:paraId="0DB38329" w14:textId="629768F7" w:rsidR="00ED4F3A" w:rsidRPr="004E28CB" w:rsidRDefault="00ED4F3A"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6.9</w:t>
            </w:r>
          </w:p>
        </w:tc>
        <w:tc>
          <w:tcPr>
            <w:tcW w:w="777" w:type="dxa"/>
          </w:tcPr>
          <w:p w14:paraId="3F9C1107" w14:textId="65A2C0D7" w:rsidR="00ED4F3A" w:rsidRPr="004E28CB" w:rsidRDefault="00ED4F3A"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2.7</w:t>
            </w:r>
          </w:p>
        </w:tc>
        <w:tc>
          <w:tcPr>
            <w:tcW w:w="1121" w:type="dxa"/>
          </w:tcPr>
          <w:p w14:paraId="6F834238" w14:textId="2FCCF4A3" w:rsidR="00ED4F3A" w:rsidRPr="004E28CB" w:rsidRDefault="00ED4F3A"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27.6</w:t>
            </w:r>
          </w:p>
        </w:tc>
        <w:tc>
          <w:tcPr>
            <w:tcW w:w="1121" w:type="dxa"/>
          </w:tcPr>
          <w:p w14:paraId="00B25F13" w14:textId="64D1E6B5" w:rsidR="00ED4F3A" w:rsidRPr="004E28CB" w:rsidRDefault="00ED4F3A"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10.3</w:t>
            </w:r>
          </w:p>
        </w:tc>
        <w:tc>
          <w:tcPr>
            <w:tcW w:w="1234" w:type="dxa"/>
          </w:tcPr>
          <w:p w14:paraId="1C41439E" w14:textId="638C9142" w:rsidR="00ED4F3A" w:rsidRPr="004E28CB" w:rsidRDefault="00ED4F3A"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0.0</w:t>
            </w:r>
          </w:p>
        </w:tc>
        <w:tc>
          <w:tcPr>
            <w:tcW w:w="1234" w:type="dxa"/>
          </w:tcPr>
          <w:p w14:paraId="78F89622" w14:textId="22AD7336" w:rsidR="00ED4F3A" w:rsidRPr="004E28CB" w:rsidRDefault="00ED4F3A"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0.0</w:t>
            </w:r>
          </w:p>
        </w:tc>
        <w:tc>
          <w:tcPr>
            <w:tcW w:w="1162" w:type="dxa"/>
            <w:gridSpan w:val="2"/>
          </w:tcPr>
          <w:p w14:paraId="0A3230E0" w14:textId="7329971C" w:rsidR="00ED4F3A" w:rsidRPr="004E28CB" w:rsidRDefault="00ED4F3A"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34.5</w:t>
            </w:r>
          </w:p>
        </w:tc>
        <w:tc>
          <w:tcPr>
            <w:tcW w:w="1034" w:type="dxa"/>
          </w:tcPr>
          <w:p w14:paraId="08F88D2B" w14:textId="1D970BBA" w:rsidR="00ED4F3A" w:rsidRPr="004E28CB" w:rsidRDefault="00ED4F3A"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13.0</w:t>
            </w:r>
          </w:p>
        </w:tc>
        <w:tc>
          <w:tcPr>
            <w:tcW w:w="1364" w:type="dxa"/>
            <w:gridSpan w:val="3"/>
          </w:tcPr>
          <w:p w14:paraId="294CC57A" w14:textId="46A9B078" w:rsidR="00ED4F3A" w:rsidRPr="004E28CB" w:rsidRDefault="00ED4F3A"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35.9</w:t>
            </w:r>
          </w:p>
        </w:tc>
        <w:tc>
          <w:tcPr>
            <w:tcW w:w="1605" w:type="dxa"/>
          </w:tcPr>
          <w:p w14:paraId="7DB7472F" w14:textId="76E3B386" w:rsidR="00ED4F3A" w:rsidRPr="004E28CB" w:rsidRDefault="00ED4F3A"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No</w:t>
            </w:r>
          </w:p>
        </w:tc>
      </w:tr>
      <w:tr w:rsidR="00E904D8" w14:paraId="1A2DB58D" w14:textId="77777777" w:rsidTr="00115E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64705DBB" w14:textId="32ED7562" w:rsidR="002D26E8" w:rsidRPr="004E28CB" w:rsidRDefault="002D26E8" w:rsidP="002D26E8">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NSW</w:t>
            </w:r>
          </w:p>
        </w:tc>
        <w:tc>
          <w:tcPr>
            <w:tcW w:w="1708" w:type="dxa"/>
          </w:tcPr>
          <w:p w14:paraId="607A48C7" w14:textId="5FC3A95D" w:rsidR="002D26E8" w:rsidRPr="004E28CB" w:rsidRDefault="002D26E8"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Bell Valley Alluvium</w:t>
            </w:r>
          </w:p>
        </w:tc>
        <w:tc>
          <w:tcPr>
            <w:tcW w:w="843" w:type="dxa"/>
          </w:tcPr>
          <w:p w14:paraId="7FB742EC" w14:textId="70452BC6" w:rsidR="002D26E8" w:rsidRPr="004E28CB" w:rsidRDefault="002D26E8"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GS11</w:t>
            </w:r>
          </w:p>
        </w:tc>
        <w:tc>
          <w:tcPr>
            <w:tcW w:w="851" w:type="dxa"/>
          </w:tcPr>
          <w:p w14:paraId="4700BA73" w14:textId="28AD46B7" w:rsidR="002D26E8" w:rsidRPr="004E28CB" w:rsidRDefault="002D26E8"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3.3</w:t>
            </w:r>
          </w:p>
        </w:tc>
        <w:tc>
          <w:tcPr>
            <w:tcW w:w="971" w:type="dxa"/>
          </w:tcPr>
          <w:p w14:paraId="7939EB2E" w14:textId="1A7E90A8" w:rsidR="002D26E8" w:rsidRPr="004E28CB" w:rsidRDefault="002D26E8"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3.3</w:t>
            </w:r>
          </w:p>
        </w:tc>
        <w:tc>
          <w:tcPr>
            <w:tcW w:w="777" w:type="dxa"/>
          </w:tcPr>
          <w:p w14:paraId="7365759C" w14:textId="04803D06" w:rsidR="002D26E8" w:rsidRPr="004E28CB" w:rsidRDefault="002D26E8"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1.2</w:t>
            </w:r>
          </w:p>
        </w:tc>
        <w:tc>
          <w:tcPr>
            <w:tcW w:w="1121" w:type="dxa"/>
          </w:tcPr>
          <w:p w14:paraId="233B18A2" w14:textId="46B1C74D" w:rsidR="002D26E8" w:rsidRPr="004E28CB" w:rsidRDefault="002D26E8"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13.2</w:t>
            </w:r>
          </w:p>
        </w:tc>
        <w:tc>
          <w:tcPr>
            <w:tcW w:w="1121" w:type="dxa"/>
          </w:tcPr>
          <w:p w14:paraId="6160191F" w14:textId="2D37B0B0" w:rsidR="002D26E8" w:rsidRPr="004E28CB" w:rsidRDefault="002D26E8"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1.3</w:t>
            </w:r>
          </w:p>
        </w:tc>
        <w:tc>
          <w:tcPr>
            <w:tcW w:w="1234" w:type="dxa"/>
          </w:tcPr>
          <w:p w14:paraId="0E3DADF1" w14:textId="4C821000" w:rsidR="002D26E8" w:rsidRPr="004E28CB" w:rsidRDefault="002D26E8"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0.0</w:t>
            </w:r>
          </w:p>
        </w:tc>
        <w:tc>
          <w:tcPr>
            <w:tcW w:w="1234" w:type="dxa"/>
          </w:tcPr>
          <w:p w14:paraId="0BE60750" w14:textId="34ACB574" w:rsidR="002D26E8" w:rsidRPr="004E28CB" w:rsidRDefault="002D26E8"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0.0</w:t>
            </w:r>
          </w:p>
        </w:tc>
        <w:tc>
          <w:tcPr>
            <w:tcW w:w="1162" w:type="dxa"/>
            <w:gridSpan w:val="2"/>
          </w:tcPr>
          <w:p w14:paraId="607CD41A" w14:textId="60B9FABB" w:rsidR="002D26E8" w:rsidRPr="004E28CB" w:rsidRDefault="002D26E8"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16.5</w:t>
            </w:r>
          </w:p>
        </w:tc>
        <w:tc>
          <w:tcPr>
            <w:tcW w:w="1034" w:type="dxa"/>
          </w:tcPr>
          <w:p w14:paraId="6702D699" w14:textId="59D4BEBC" w:rsidR="002D26E8" w:rsidRPr="004E28CB" w:rsidRDefault="002D26E8"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2.5</w:t>
            </w:r>
          </w:p>
        </w:tc>
        <w:tc>
          <w:tcPr>
            <w:tcW w:w="1364" w:type="dxa"/>
            <w:gridSpan w:val="3"/>
          </w:tcPr>
          <w:p w14:paraId="4FFB2A8E" w14:textId="51A6143A" w:rsidR="002D26E8" w:rsidRPr="004E28CB" w:rsidRDefault="002D26E8"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17.1</w:t>
            </w:r>
          </w:p>
        </w:tc>
        <w:tc>
          <w:tcPr>
            <w:tcW w:w="1605" w:type="dxa"/>
          </w:tcPr>
          <w:p w14:paraId="72611C48" w14:textId="6B62DE6B" w:rsidR="002D26E8" w:rsidRPr="004E28CB" w:rsidRDefault="002D26E8"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No</w:t>
            </w:r>
          </w:p>
        </w:tc>
      </w:tr>
      <w:tr w:rsidR="004E28CB" w14:paraId="75895E70" w14:textId="77777777" w:rsidTr="00115EA1">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33B66351" w14:textId="0B175C90" w:rsidR="00735FAD" w:rsidRPr="004E28CB" w:rsidRDefault="00B54BFF" w:rsidP="00735FAD">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NSW</w:t>
            </w:r>
          </w:p>
        </w:tc>
        <w:tc>
          <w:tcPr>
            <w:tcW w:w="1708" w:type="dxa"/>
          </w:tcPr>
          <w:p w14:paraId="2DA48451" w14:textId="37F652B7" w:rsidR="00735FAD" w:rsidRPr="004E28CB" w:rsidRDefault="00735FAD"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Castlereagh Alluvium</w:t>
            </w:r>
          </w:p>
        </w:tc>
        <w:tc>
          <w:tcPr>
            <w:tcW w:w="843" w:type="dxa"/>
          </w:tcPr>
          <w:p w14:paraId="10B099C1" w14:textId="7FD006A6" w:rsidR="00735FAD" w:rsidRPr="004E28CB" w:rsidRDefault="00735FAD"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GS14</w:t>
            </w:r>
          </w:p>
        </w:tc>
        <w:tc>
          <w:tcPr>
            <w:tcW w:w="851" w:type="dxa"/>
          </w:tcPr>
          <w:p w14:paraId="23014736" w14:textId="6A9C1C24" w:rsidR="00735FAD" w:rsidRPr="004E28CB" w:rsidRDefault="00735FAD"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0.6</w:t>
            </w:r>
          </w:p>
        </w:tc>
        <w:tc>
          <w:tcPr>
            <w:tcW w:w="971" w:type="dxa"/>
          </w:tcPr>
          <w:p w14:paraId="25DA5F07" w14:textId="01F08B71" w:rsidR="00735FAD" w:rsidRPr="004E28CB" w:rsidRDefault="00735FAD"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0.6</w:t>
            </w:r>
          </w:p>
        </w:tc>
        <w:tc>
          <w:tcPr>
            <w:tcW w:w="777" w:type="dxa"/>
          </w:tcPr>
          <w:p w14:paraId="2C6C79AF" w14:textId="042212EB" w:rsidR="00735FAD" w:rsidRPr="004E28CB" w:rsidRDefault="00735FAD"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0.1</w:t>
            </w:r>
          </w:p>
        </w:tc>
        <w:tc>
          <w:tcPr>
            <w:tcW w:w="1121" w:type="dxa"/>
          </w:tcPr>
          <w:p w14:paraId="56E1463C" w14:textId="2A3C82F0" w:rsidR="00735FAD" w:rsidRPr="004E28CB" w:rsidRDefault="00735FAD"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2.5</w:t>
            </w:r>
          </w:p>
        </w:tc>
        <w:tc>
          <w:tcPr>
            <w:tcW w:w="1121" w:type="dxa"/>
          </w:tcPr>
          <w:p w14:paraId="5CB33531" w14:textId="6E77F92F" w:rsidR="00735FAD" w:rsidRPr="004E28CB" w:rsidRDefault="00735FAD"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0.3</w:t>
            </w:r>
          </w:p>
        </w:tc>
        <w:tc>
          <w:tcPr>
            <w:tcW w:w="1234" w:type="dxa"/>
          </w:tcPr>
          <w:p w14:paraId="78EBDE33" w14:textId="0B9F6006" w:rsidR="00735FAD" w:rsidRPr="004E28CB" w:rsidRDefault="00735FAD"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0.0</w:t>
            </w:r>
          </w:p>
        </w:tc>
        <w:tc>
          <w:tcPr>
            <w:tcW w:w="1234" w:type="dxa"/>
          </w:tcPr>
          <w:p w14:paraId="2D5850B3" w14:textId="7C337D40" w:rsidR="00735FAD" w:rsidRPr="004E28CB" w:rsidRDefault="00735FAD"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0.0</w:t>
            </w:r>
          </w:p>
        </w:tc>
        <w:tc>
          <w:tcPr>
            <w:tcW w:w="1162" w:type="dxa"/>
            <w:gridSpan w:val="2"/>
          </w:tcPr>
          <w:p w14:paraId="3F768DE8" w14:textId="5E58ED7E" w:rsidR="00735FAD" w:rsidRPr="004E28CB" w:rsidRDefault="00735FAD"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3.1</w:t>
            </w:r>
          </w:p>
        </w:tc>
        <w:tc>
          <w:tcPr>
            <w:tcW w:w="1034" w:type="dxa"/>
          </w:tcPr>
          <w:p w14:paraId="03A4D93E" w14:textId="149BF4AF" w:rsidR="00735FAD" w:rsidRPr="004E28CB" w:rsidRDefault="00735FAD"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0.4</w:t>
            </w:r>
          </w:p>
        </w:tc>
        <w:tc>
          <w:tcPr>
            <w:tcW w:w="1364" w:type="dxa"/>
            <w:gridSpan w:val="3"/>
          </w:tcPr>
          <w:p w14:paraId="6A4D101B" w14:textId="3E06A55B" w:rsidR="00735FAD" w:rsidRPr="004E28CB" w:rsidRDefault="00735FAD"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3.2</w:t>
            </w:r>
          </w:p>
        </w:tc>
        <w:tc>
          <w:tcPr>
            <w:tcW w:w="1605" w:type="dxa"/>
          </w:tcPr>
          <w:p w14:paraId="5CF592DD" w14:textId="20026E59" w:rsidR="00735FAD" w:rsidRPr="004E28CB" w:rsidRDefault="00735FAD"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No</w:t>
            </w:r>
          </w:p>
        </w:tc>
      </w:tr>
      <w:tr w:rsidR="00E904D8" w14:paraId="2A8A8077" w14:textId="77777777" w:rsidTr="00115E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71ED234A" w14:textId="3C8CCD50" w:rsidR="00AE0B2D" w:rsidRPr="004E28CB" w:rsidRDefault="00AE0B2D" w:rsidP="00AE0B2D">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NSW</w:t>
            </w:r>
          </w:p>
        </w:tc>
        <w:tc>
          <w:tcPr>
            <w:tcW w:w="1708" w:type="dxa"/>
          </w:tcPr>
          <w:p w14:paraId="3E34519D" w14:textId="487D4E8F" w:rsidR="00AE0B2D" w:rsidRPr="004E28CB" w:rsidRDefault="00AE0B2D"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Coolaburragundy–Talbragar Alluvium</w:t>
            </w:r>
          </w:p>
        </w:tc>
        <w:tc>
          <w:tcPr>
            <w:tcW w:w="843" w:type="dxa"/>
          </w:tcPr>
          <w:p w14:paraId="2805E239" w14:textId="0A3BAEA7" w:rsidR="00AE0B2D" w:rsidRPr="004E28CB" w:rsidRDefault="00AE0B2D"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GS15</w:t>
            </w:r>
          </w:p>
        </w:tc>
        <w:tc>
          <w:tcPr>
            <w:tcW w:w="851" w:type="dxa"/>
          </w:tcPr>
          <w:p w14:paraId="5A2E9AB8" w14:textId="2EA7E2F5" w:rsidR="00AE0B2D" w:rsidRPr="004E28CB" w:rsidRDefault="00AE0B2D"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3.5</w:t>
            </w:r>
          </w:p>
        </w:tc>
        <w:tc>
          <w:tcPr>
            <w:tcW w:w="971" w:type="dxa"/>
          </w:tcPr>
          <w:p w14:paraId="32BFA4D5" w14:textId="79BAA3DF" w:rsidR="00AE0B2D" w:rsidRPr="004E28CB" w:rsidRDefault="00AE0B2D"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3.5</w:t>
            </w:r>
          </w:p>
        </w:tc>
        <w:tc>
          <w:tcPr>
            <w:tcW w:w="777" w:type="dxa"/>
          </w:tcPr>
          <w:p w14:paraId="06B4D6A1" w14:textId="082D9E2C" w:rsidR="00AE0B2D" w:rsidRPr="004E28CB" w:rsidRDefault="00AE0B2D"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2.8</w:t>
            </w:r>
          </w:p>
        </w:tc>
        <w:tc>
          <w:tcPr>
            <w:tcW w:w="1121" w:type="dxa"/>
          </w:tcPr>
          <w:p w14:paraId="64F82D20" w14:textId="5919B0B6" w:rsidR="00AE0B2D" w:rsidRPr="004E28CB" w:rsidRDefault="00AE0B2D"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13.9</w:t>
            </w:r>
          </w:p>
        </w:tc>
        <w:tc>
          <w:tcPr>
            <w:tcW w:w="1121" w:type="dxa"/>
          </w:tcPr>
          <w:p w14:paraId="243BCC46" w14:textId="499D0ED5" w:rsidR="00AE0B2D" w:rsidRPr="004E28CB" w:rsidRDefault="00AE0B2D"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6.0</w:t>
            </w:r>
          </w:p>
        </w:tc>
        <w:tc>
          <w:tcPr>
            <w:tcW w:w="1234" w:type="dxa"/>
          </w:tcPr>
          <w:p w14:paraId="217ED546" w14:textId="294EDD9E" w:rsidR="00AE0B2D" w:rsidRPr="004E28CB" w:rsidRDefault="00AE0B2D"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0.0</w:t>
            </w:r>
          </w:p>
        </w:tc>
        <w:tc>
          <w:tcPr>
            <w:tcW w:w="1234" w:type="dxa"/>
          </w:tcPr>
          <w:p w14:paraId="1CEEF61B" w14:textId="5198C0E0" w:rsidR="00AE0B2D" w:rsidRPr="004E28CB" w:rsidRDefault="00AE0B2D"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0.0</w:t>
            </w:r>
          </w:p>
        </w:tc>
        <w:tc>
          <w:tcPr>
            <w:tcW w:w="1162" w:type="dxa"/>
            <w:gridSpan w:val="2"/>
          </w:tcPr>
          <w:p w14:paraId="2AAF2109" w14:textId="6C2C4057" w:rsidR="00AE0B2D" w:rsidRPr="004E28CB" w:rsidRDefault="00AE0B2D"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17.4</w:t>
            </w:r>
          </w:p>
        </w:tc>
        <w:tc>
          <w:tcPr>
            <w:tcW w:w="1034" w:type="dxa"/>
          </w:tcPr>
          <w:p w14:paraId="14C18955" w14:textId="78AD4A2E" w:rsidR="00AE0B2D" w:rsidRPr="004E28CB" w:rsidRDefault="00AE0B2D"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8.8</w:t>
            </w:r>
          </w:p>
        </w:tc>
        <w:tc>
          <w:tcPr>
            <w:tcW w:w="1364" w:type="dxa"/>
            <w:gridSpan w:val="3"/>
          </w:tcPr>
          <w:p w14:paraId="5899B15E" w14:textId="2B03BB3A" w:rsidR="00AE0B2D" w:rsidRPr="004E28CB" w:rsidRDefault="00AE0B2D"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18.0</w:t>
            </w:r>
          </w:p>
        </w:tc>
        <w:tc>
          <w:tcPr>
            <w:tcW w:w="1605" w:type="dxa"/>
          </w:tcPr>
          <w:p w14:paraId="43B01E58" w14:textId="493264EE" w:rsidR="00AE0B2D" w:rsidRPr="004E28CB" w:rsidRDefault="00AE0B2D"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No</w:t>
            </w:r>
          </w:p>
        </w:tc>
      </w:tr>
      <w:tr w:rsidR="004E28CB" w14:paraId="7FED6B65" w14:textId="77777777" w:rsidTr="00115EA1">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5D121C97" w14:textId="3E1497F0" w:rsidR="00704DC7" w:rsidRPr="004E28CB" w:rsidRDefault="00704DC7" w:rsidP="00704DC7">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NSW</w:t>
            </w:r>
          </w:p>
        </w:tc>
        <w:tc>
          <w:tcPr>
            <w:tcW w:w="1708" w:type="dxa"/>
          </w:tcPr>
          <w:p w14:paraId="3B5A5981" w14:textId="5AE0F664" w:rsidR="00704DC7" w:rsidRPr="004E28CB" w:rsidRDefault="00704DC7"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Cudgegong Alluvium</w:t>
            </w:r>
          </w:p>
        </w:tc>
        <w:tc>
          <w:tcPr>
            <w:tcW w:w="843" w:type="dxa"/>
          </w:tcPr>
          <w:p w14:paraId="52723A11" w14:textId="03594DA6" w:rsidR="00704DC7" w:rsidRPr="004E28CB" w:rsidRDefault="00704DC7"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GS16</w:t>
            </w:r>
          </w:p>
        </w:tc>
        <w:tc>
          <w:tcPr>
            <w:tcW w:w="851" w:type="dxa"/>
          </w:tcPr>
          <w:p w14:paraId="17C2FA35" w14:textId="14047B53" w:rsidR="00704DC7" w:rsidRPr="004E28CB" w:rsidRDefault="00704DC7"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2.5</w:t>
            </w:r>
          </w:p>
        </w:tc>
        <w:tc>
          <w:tcPr>
            <w:tcW w:w="971" w:type="dxa"/>
          </w:tcPr>
          <w:p w14:paraId="40E2434E" w14:textId="0AFBE477" w:rsidR="00704DC7" w:rsidRPr="004E28CB" w:rsidRDefault="00704DC7"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2.5</w:t>
            </w:r>
          </w:p>
        </w:tc>
        <w:tc>
          <w:tcPr>
            <w:tcW w:w="777" w:type="dxa"/>
          </w:tcPr>
          <w:p w14:paraId="667B1499" w14:textId="7C785D61" w:rsidR="00704DC7" w:rsidRPr="004E28CB" w:rsidRDefault="00704DC7"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1.8</w:t>
            </w:r>
          </w:p>
        </w:tc>
        <w:tc>
          <w:tcPr>
            <w:tcW w:w="1121" w:type="dxa"/>
          </w:tcPr>
          <w:p w14:paraId="7E35E45B" w14:textId="30A33C43" w:rsidR="00704DC7" w:rsidRPr="004E28CB" w:rsidRDefault="00704DC7"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9.5</w:t>
            </w:r>
          </w:p>
        </w:tc>
        <w:tc>
          <w:tcPr>
            <w:tcW w:w="1121" w:type="dxa"/>
          </w:tcPr>
          <w:p w14:paraId="16C27212" w14:textId="014BB115" w:rsidR="00704DC7" w:rsidRPr="004E28CB" w:rsidRDefault="00704DC7"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5.6</w:t>
            </w:r>
          </w:p>
        </w:tc>
        <w:tc>
          <w:tcPr>
            <w:tcW w:w="1234" w:type="dxa"/>
          </w:tcPr>
          <w:p w14:paraId="52BFBE1F" w14:textId="4FD524D5" w:rsidR="00704DC7" w:rsidRPr="004E28CB" w:rsidRDefault="00704DC7"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0.0</w:t>
            </w:r>
          </w:p>
        </w:tc>
        <w:tc>
          <w:tcPr>
            <w:tcW w:w="1234" w:type="dxa"/>
          </w:tcPr>
          <w:p w14:paraId="18441365" w14:textId="3EF2CDAE" w:rsidR="00704DC7" w:rsidRPr="004E28CB" w:rsidRDefault="00704DC7"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0.0</w:t>
            </w:r>
          </w:p>
        </w:tc>
        <w:tc>
          <w:tcPr>
            <w:tcW w:w="1162" w:type="dxa"/>
            <w:gridSpan w:val="2"/>
          </w:tcPr>
          <w:p w14:paraId="278D2F80" w14:textId="03C96A66" w:rsidR="00704DC7" w:rsidRPr="004E28CB" w:rsidRDefault="00704DC7"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12.0</w:t>
            </w:r>
          </w:p>
        </w:tc>
        <w:tc>
          <w:tcPr>
            <w:tcW w:w="1034" w:type="dxa"/>
          </w:tcPr>
          <w:p w14:paraId="22A566F9" w14:textId="61038AE4" w:rsidR="00704DC7" w:rsidRPr="004E28CB" w:rsidRDefault="00704DC7"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7.4</w:t>
            </w:r>
          </w:p>
        </w:tc>
        <w:tc>
          <w:tcPr>
            <w:tcW w:w="1364" w:type="dxa"/>
            <w:gridSpan w:val="3"/>
          </w:tcPr>
          <w:p w14:paraId="2FFCAE6E" w14:textId="5FF443BD" w:rsidR="00704DC7" w:rsidRPr="004E28CB" w:rsidRDefault="00704DC7"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12.5</w:t>
            </w:r>
          </w:p>
        </w:tc>
        <w:tc>
          <w:tcPr>
            <w:tcW w:w="1605" w:type="dxa"/>
          </w:tcPr>
          <w:p w14:paraId="4E38AF4B" w14:textId="38D78D9E" w:rsidR="00704DC7" w:rsidRPr="004E28CB" w:rsidRDefault="00704DC7"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No</w:t>
            </w:r>
          </w:p>
        </w:tc>
      </w:tr>
      <w:tr w:rsidR="00E904D8" w14:paraId="76B9EC92" w14:textId="77777777" w:rsidTr="00115E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4F0CE9FC" w14:textId="73B33DC0" w:rsidR="001C5554" w:rsidRPr="004E28CB" w:rsidRDefault="001C5554" w:rsidP="001C5554">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NSW</w:t>
            </w:r>
          </w:p>
        </w:tc>
        <w:tc>
          <w:tcPr>
            <w:tcW w:w="1708" w:type="dxa"/>
          </w:tcPr>
          <w:p w14:paraId="1074243E" w14:textId="71DB54A6" w:rsidR="001C5554" w:rsidRPr="004E28CB" w:rsidRDefault="001C5554"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Gunnedah-Oxley Basin MDB</w:t>
            </w:r>
          </w:p>
        </w:tc>
        <w:tc>
          <w:tcPr>
            <w:tcW w:w="843" w:type="dxa"/>
          </w:tcPr>
          <w:p w14:paraId="01D4F22C" w14:textId="064B4989" w:rsidR="001C5554" w:rsidRPr="004E28CB" w:rsidRDefault="001C5554"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GS17</w:t>
            </w:r>
          </w:p>
        </w:tc>
        <w:tc>
          <w:tcPr>
            <w:tcW w:w="851" w:type="dxa"/>
          </w:tcPr>
          <w:p w14:paraId="5BAAC845" w14:textId="1150CF89" w:rsidR="001C5554" w:rsidRPr="004E28CB" w:rsidRDefault="001C5554"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127.5</w:t>
            </w:r>
          </w:p>
        </w:tc>
        <w:tc>
          <w:tcPr>
            <w:tcW w:w="971" w:type="dxa"/>
          </w:tcPr>
          <w:p w14:paraId="1E8750E5" w14:textId="6436682D" w:rsidR="001C5554" w:rsidRPr="004E28CB" w:rsidRDefault="001C5554"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127.5</w:t>
            </w:r>
          </w:p>
        </w:tc>
        <w:tc>
          <w:tcPr>
            <w:tcW w:w="777" w:type="dxa"/>
          </w:tcPr>
          <w:p w14:paraId="4AA79D0C" w14:textId="16476309" w:rsidR="001C5554" w:rsidRPr="004E28CB" w:rsidRDefault="001C5554"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15.7</w:t>
            </w:r>
          </w:p>
        </w:tc>
        <w:tc>
          <w:tcPr>
            <w:tcW w:w="1121" w:type="dxa"/>
          </w:tcPr>
          <w:p w14:paraId="06A005FD" w14:textId="4BAF1E32" w:rsidR="001C5554" w:rsidRPr="004E28CB" w:rsidRDefault="001C5554"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510.0</w:t>
            </w:r>
          </w:p>
        </w:tc>
        <w:tc>
          <w:tcPr>
            <w:tcW w:w="1121" w:type="dxa"/>
          </w:tcPr>
          <w:p w14:paraId="07EC3902" w14:textId="18263A69" w:rsidR="001C5554" w:rsidRPr="004E28CB" w:rsidRDefault="001C5554"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51.6</w:t>
            </w:r>
          </w:p>
        </w:tc>
        <w:tc>
          <w:tcPr>
            <w:tcW w:w="1234" w:type="dxa"/>
          </w:tcPr>
          <w:p w14:paraId="09340D39" w14:textId="0D9B843F" w:rsidR="001C5554" w:rsidRPr="004E28CB" w:rsidRDefault="001C5554"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0.0</w:t>
            </w:r>
          </w:p>
        </w:tc>
        <w:tc>
          <w:tcPr>
            <w:tcW w:w="1234" w:type="dxa"/>
          </w:tcPr>
          <w:p w14:paraId="2DBD1C94" w14:textId="222D1DE9" w:rsidR="001C5554" w:rsidRPr="004E28CB" w:rsidRDefault="001C5554"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0.0</w:t>
            </w:r>
          </w:p>
        </w:tc>
        <w:tc>
          <w:tcPr>
            <w:tcW w:w="1162" w:type="dxa"/>
            <w:gridSpan w:val="2"/>
          </w:tcPr>
          <w:p w14:paraId="413B824A" w14:textId="37E12FE3" w:rsidR="001C5554" w:rsidRPr="004E28CB" w:rsidRDefault="001C5554"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637.5</w:t>
            </w:r>
          </w:p>
        </w:tc>
        <w:tc>
          <w:tcPr>
            <w:tcW w:w="1034" w:type="dxa"/>
          </w:tcPr>
          <w:p w14:paraId="7F8F125C" w14:textId="54F6F2CD" w:rsidR="001C5554" w:rsidRPr="004E28CB" w:rsidRDefault="001C5554"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67.3</w:t>
            </w:r>
          </w:p>
        </w:tc>
        <w:tc>
          <w:tcPr>
            <w:tcW w:w="1364" w:type="dxa"/>
            <w:gridSpan w:val="3"/>
          </w:tcPr>
          <w:p w14:paraId="6524E0F0" w14:textId="20CD8C6C" w:rsidR="001C5554" w:rsidRPr="004E28CB" w:rsidRDefault="001C5554"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663.0</w:t>
            </w:r>
          </w:p>
        </w:tc>
        <w:tc>
          <w:tcPr>
            <w:tcW w:w="1605" w:type="dxa"/>
          </w:tcPr>
          <w:p w14:paraId="00C4959F" w14:textId="0890DEEF" w:rsidR="001C5554" w:rsidRPr="004E28CB" w:rsidRDefault="001C5554" w:rsidP="009C0F1C">
            <w:pPr>
              <w:spacing w:after="0"/>
              <w:jc w:val="center"/>
              <w:cnfStyle w:val="000000100000" w:firstRow="0" w:lastRow="0" w:firstColumn="0" w:lastColumn="0" w:oddVBand="0" w:evenVBand="0" w:oddHBand="1" w:evenHBand="0" w:firstRowFirstColumn="0" w:firstRowLastColumn="0" w:lastRowFirstColumn="0" w:lastRowLastColumn="0"/>
              <w:rPr>
                <w:rFonts w:eastAsia="Verdana" w:cs="Verdana"/>
                <w:color w:val="000000"/>
                <w:szCs w:val="20"/>
              </w:rPr>
            </w:pPr>
            <w:r w:rsidRPr="004E28CB">
              <w:rPr>
                <w:color w:val="000000"/>
                <w:szCs w:val="20"/>
              </w:rPr>
              <w:t>No</w:t>
            </w:r>
          </w:p>
        </w:tc>
      </w:tr>
      <w:tr w:rsidR="004E28CB" w14:paraId="11E0A8E7" w14:textId="77777777" w:rsidTr="00115EA1">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7D0E4854" w14:textId="290BF554" w:rsidR="00741110" w:rsidRPr="004E28CB" w:rsidRDefault="00741110" w:rsidP="00741110">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NSW</w:t>
            </w:r>
          </w:p>
        </w:tc>
        <w:tc>
          <w:tcPr>
            <w:tcW w:w="1708" w:type="dxa"/>
          </w:tcPr>
          <w:p w14:paraId="7A6E78AB" w14:textId="4B4460C9" w:rsidR="00741110" w:rsidRPr="004E28CB" w:rsidRDefault="00741110"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Inverell Basalt</w:t>
            </w:r>
          </w:p>
        </w:tc>
        <w:tc>
          <w:tcPr>
            <w:tcW w:w="843" w:type="dxa"/>
          </w:tcPr>
          <w:p w14:paraId="34DBB66D" w14:textId="1941E839" w:rsidR="00741110" w:rsidRPr="004E28CB" w:rsidRDefault="00741110"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GS18</w:t>
            </w:r>
          </w:p>
        </w:tc>
        <w:tc>
          <w:tcPr>
            <w:tcW w:w="851" w:type="dxa"/>
          </w:tcPr>
          <w:p w14:paraId="245FE316" w14:textId="10768716" w:rsidR="00741110" w:rsidRPr="004E28CB" w:rsidRDefault="00741110"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4.2</w:t>
            </w:r>
          </w:p>
        </w:tc>
        <w:tc>
          <w:tcPr>
            <w:tcW w:w="971" w:type="dxa"/>
          </w:tcPr>
          <w:p w14:paraId="7B6F4663" w14:textId="2E290932" w:rsidR="00741110" w:rsidRPr="004E28CB" w:rsidRDefault="00741110"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4.2</w:t>
            </w:r>
          </w:p>
        </w:tc>
        <w:tc>
          <w:tcPr>
            <w:tcW w:w="777" w:type="dxa"/>
          </w:tcPr>
          <w:p w14:paraId="5E8CD73F" w14:textId="77529176" w:rsidR="00741110" w:rsidRPr="004E28CB" w:rsidRDefault="00741110"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1.4</w:t>
            </w:r>
          </w:p>
        </w:tc>
        <w:tc>
          <w:tcPr>
            <w:tcW w:w="1121" w:type="dxa"/>
          </w:tcPr>
          <w:p w14:paraId="401C0E86" w14:textId="35A354F4" w:rsidR="00741110" w:rsidRPr="004E28CB" w:rsidRDefault="00741110"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16.6</w:t>
            </w:r>
          </w:p>
        </w:tc>
        <w:tc>
          <w:tcPr>
            <w:tcW w:w="1121" w:type="dxa"/>
          </w:tcPr>
          <w:p w14:paraId="30E8FCA6" w14:textId="55FEDC7F" w:rsidR="00741110" w:rsidRPr="004E28CB" w:rsidRDefault="00741110"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5.8</w:t>
            </w:r>
          </w:p>
        </w:tc>
        <w:tc>
          <w:tcPr>
            <w:tcW w:w="1234" w:type="dxa"/>
          </w:tcPr>
          <w:p w14:paraId="68652EAF" w14:textId="2D5DD565" w:rsidR="00741110" w:rsidRPr="004E28CB" w:rsidRDefault="00741110"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0.0</w:t>
            </w:r>
          </w:p>
        </w:tc>
        <w:tc>
          <w:tcPr>
            <w:tcW w:w="1234" w:type="dxa"/>
          </w:tcPr>
          <w:p w14:paraId="717223E0" w14:textId="03D054B1" w:rsidR="00741110" w:rsidRPr="004E28CB" w:rsidRDefault="00741110"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0.0</w:t>
            </w:r>
          </w:p>
        </w:tc>
        <w:tc>
          <w:tcPr>
            <w:tcW w:w="1162" w:type="dxa"/>
            <w:gridSpan w:val="2"/>
          </w:tcPr>
          <w:p w14:paraId="45021C35" w14:textId="6A4DCB56" w:rsidR="00741110" w:rsidRPr="004E28CB" w:rsidRDefault="00741110"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20.8</w:t>
            </w:r>
          </w:p>
        </w:tc>
        <w:tc>
          <w:tcPr>
            <w:tcW w:w="1034" w:type="dxa"/>
          </w:tcPr>
          <w:p w14:paraId="0EBD2C50" w14:textId="457E958F" w:rsidR="00741110" w:rsidRPr="004E28CB" w:rsidRDefault="00741110"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7.1</w:t>
            </w:r>
          </w:p>
        </w:tc>
        <w:tc>
          <w:tcPr>
            <w:tcW w:w="1364" w:type="dxa"/>
            <w:gridSpan w:val="3"/>
          </w:tcPr>
          <w:p w14:paraId="575630E2" w14:textId="243C5755" w:rsidR="00741110" w:rsidRPr="004E28CB" w:rsidRDefault="00741110"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21.6</w:t>
            </w:r>
          </w:p>
        </w:tc>
        <w:tc>
          <w:tcPr>
            <w:tcW w:w="1605" w:type="dxa"/>
          </w:tcPr>
          <w:p w14:paraId="368C7AB1" w14:textId="39EF1D30" w:rsidR="00741110" w:rsidRPr="004E28CB" w:rsidRDefault="00741110" w:rsidP="009C0F1C">
            <w:pPr>
              <w:spacing w:after="0"/>
              <w:jc w:val="center"/>
              <w:cnfStyle w:val="000000000000" w:firstRow="0" w:lastRow="0" w:firstColumn="0" w:lastColumn="0" w:oddVBand="0" w:evenVBand="0" w:oddHBand="0" w:evenHBand="0" w:firstRowFirstColumn="0" w:firstRowLastColumn="0" w:lastRowFirstColumn="0" w:lastRowLastColumn="0"/>
              <w:rPr>
                <w:rFonts w:eastAsia="Verdana" w:cs="Verdana"/>
                <w:color w:val="000000"/>
                <w:szCs w:val="20"/>
              </w:rPr>
            </w:pPr>
            <w:r w:rsidRPr="004E28CB">
              <w:rPr>
                <w:color w:val="000000"/>
                <w:szCs w:val="20"/>
              </w:rPr>
              <w:t>No</w:t>
            </w:r>
          </w:p>
        </w:tc>
      </w:tr>
      <w:tr w:rsidR="00E904D8" w14:paraId="429A1175" w14:textId="77777777" w:rsidTr="00115E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6DA9F1BD" w14:textId="5092EF92" w:rsidR="008E2E9A" w:rsidRPr="004E28CB" w:rsidRDefault="008E2E9A" w:rsidP="008E2E9A">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lastRenderedPageBreak/>
              <w:t>NSW</w:t>
            </w:r>
          </w:p>
        </w:tc>
        <w:tc>
          <w:tcPr>
            <w:tcW w:w="1708" w:type="dxa"/>
            <w:vAlign w:val="bottom"/>
          </w:tcPr>
          <w:p w14:paraId="2BABC497" w14:textId="249E1D5E" w:rsidR="008E2E9A" w:rsidRPr="004E28CB" w:rsidRDefault="008E2E9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Kanmantoo Fold Belt MDB</w:t>
            </w:r>
          </w:p>
        </w:tc>
        <w:tc>
          <w:tcPr>
            <w:tcW w:w="843" w:type="dxa"/>
            <w:vAlign w:val="bottom"/>
          </w:tcPr>
          <w:p w14:paraId="77A1A21A" w14:textId="60D97145" w:rsidR="008E2E9A" w:rsidRPr="004E28CB" w:rsidRDefault="008E2E9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GS19</w:t>
            </w:r>
          </w:p>
        </w:tc>
        <w:tc>
          <w:tcPr>
            <w:tcW w:w="851" w:type="dxa"/>
            <w:vAlign w:val="bottom"/>
          </w:tcPr>
          <w:p w14:paraId="0ED4CA11" w14:textId="10DB4C68" w:rsidR="008E2E9A" w:rsidRPr="004E28CB" w:rsidRDefault="008E2E9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18.7</w:t>
            </w:r>
          </w:p>
        </w:tc>
        <w:tc>
          <w:tcPr>
            <w:tcW w:w="971" w:type="dxa"/>
            <w:vAlign w:val="bottom"/>
          </w:tcPr>
          <w:p w14:paraId="1458A327" w14:textId="480EF5F7" w:rsidR="008E2E9A" w:rsidRPr="004E28CB" w:rsidRDefault="008E2E9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18.7</w:t>
            </w:r>
          </w:p>
        </w:tc>
        <w:tc>
          <w:tcPr>
            <w:tcW w:w="777" w:type="dxa"/>
            <w:vAlign w:val="bottom"/>
          </w:tcPr>
          <w:p w14:paraId="2777D2C1" w14:textId="00FEE9D0" w:rsidR="008E2E9A" w:rsidRPr="004E28CB" w:rsidRDefault="008E2E9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8.3</w:t>
            </w:r>
          </w:p>
        </w:tc>
        <w:tc>
          <w:tcPr>
            <w:tcW w:w="1121" w:type="dxa"/>
            <w:vAlign w:val="bottom"/>
          </w:tcPr>
          <w:p w14:paraId="3ADD09CF" w14:textId="4E5C8550" w:rsidR="008E2E9A" w:rsidRPr="004E28CB" w:rsidRDefault="008E2E9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74.8</w:t>
            </w:r>
          </w:p>
        </w:tc>
        <w:tc>
          <w:tcPr>
            <w:tcW w:w="1121" w:type="dxa"/>
            <w:vAlign w:val="bottom"/>
          </w:tcPr>
          <w:p w14:paraId="4CCE1FEB" w14:textId="4E73231B" w:rsidR="008E2E9A" w:rsidRPr="004E28CB" w:rsidRDefault="008E2E9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33.2</w:t>
            </w:r>
          </w:p>
        </w:tc>
        <w:tc>
          <w:tcPr>
            <w:tcW w:w="1234" w:type="dxa"/>
            <w:vAlign w:val="bottom"/>
          </w:tcPr>
          <w:p w14:paraId="1AAB4C6C" w14:textId="3216AE55" w:rsidR="008E2E9A" w:rsidRPr="004E28CB" w:rsidRDefault="008E2E9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389F7ABD" w14:textId="2B2ABF75" w:rsidR="008E2E9A" w:rsidRPr="004E28CB" w:rsidRDefault="008E2E9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593484A4" w14:textId="21FFB769" w:rsidR="008E2E9A" w:rsidRPr="004E28CB" w:rsidRDefault="008E2E9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93.5</w:t>
            </w:r>
          </w:p>
        </w:tc>
        <w:tc>
          <w:tcPr>
            <w:tcW w:w="1034" w:type="dxa"/>
            <w:vAlign w:val="bottom"/>
          </w:tcPr>
          <w:p w14:paraId="4ED17B91" w14:textId="6A2BEAB1" w:rsidR="008E2E9A" w:rsidRPr="004E28CB" w:rsidRDefault="008E2E9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41.5</w:t>
            </w:r>
          </w:p>
        </w:tc>
        <w:tc>
          <w:tcPr>
            <w:tcW w:w="1364" w:type="dxa"/>
            <w:gridSpan w:val="3"/>
            <w:vAlign w:val="bottom"/>
          </w:tcPr>
          <w:p w14:paraId="557E4A68" w14:textId="31D7874E" w:rsidR="008E2E9A" w:rsidRPr="004E28CB" w:rsidRDefault="008E2E9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97.2</w:t>
            </w:r>
          </w:p>
        </w:tc>
        <w:tc>
          <w:tcPr>
            <w:tcW w:w="1605" w:type="dxa"/>
            <w:vAlign w:val="bottom"/>
          </w:tcPr>
          <w:p w14:paraId="68F964BA" w14:textId="346E909B" w:rsidR="008E2E9A" w:rsidRPr="004E28CB" w:rsidRDefault="008E2E9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No</w:t>
            </w:r>
          </w:p>
        </w:tc>
      </w:tr>
      <w:tr w:rsidR="004E28CB" w14:paraId="6DC85927" w14:textId="77777777" w:rsidTr="00115EA1">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332FE0EC" w14:textId="1EB402B5" w:rsidR="00690DB9" w:rsidRPr="004E28CB" w:rsidRDefault="00DA520F" w:rsidP="00690DB9">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NSW</w:t>
            </w:r>
          </w:p>
        </w:tc>
        <w:tc>
          <w:tcPr>
            <w:tcW w:w="1708" w:type="dxa"/>
            <w:vAlign w:val="bottom"/>
          </w:tcPr>
          <w:p w14:paraId="4ED49A0C" w14:textId="2C699380" w:rsidR="00690DB9" w:rsidRPr="004E28CB" w:rsidRDefault="00690DB9"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Lachlan Fold Belt MDB</w:t>
            </w:r>
          </w:p>
        </w:tc>
        <w:tc>
          <w:tcPr>
            <w:tcW w:w="843" w:type="dxa"/>
            <w:vAlign w:val="bottom"/>
          </w:tcPr>
          <w:p w14:paraId="4D268FCE" w14:textId="694C6FB6" w:rsidR="00690DB9" w:rsidRPr="004E28CB" w:rsidRDefault="00690DB9"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GS20</w:t>
            </w:r>
          </w:p>
        </w:tc>
        <w:tc>
          <w:tcPr>
            <w:tcW w:w="851" w:type="dxa"/>
            <w:vAlign w:val="bottom"/>
          </w:tcPr>
          <w:p w14:paraId="5B67BCAF" w14:textId="34668DA2" w:rsidR="00690DB9" w:rsidRPr="004E28CB" w:rsidRDefault="00690DB9"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259.0</w:t>
            </w:r>
          </w:p>
        </w:tc>
        <w:tc>
          <w:tcPr>
            <w:tcW w:w="971" w:type="dxa"/>
            <w:vAlign w:val="bottom"/>
          </w:tcPr>
          <w:p w14:paraId="35BE602A" w14:textId="5D5444A2" w:rsidR="00690DB9" w:rsidRPr="004E28CB" w:rsidRDefault="00690DB9"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259.0</w:t>
            </w:r>
          </w:p>
        </w:tc>
        <w:tc>
          <w:tcPr>
            <w:tcW w:w="777" w:type="dxa"/>
            <w:vAlign w:val="bottom"/>
          </w:tcPr>
          <w:p w14:paraId="637BF5E2" w14:textId="04D9F151" w:rsidR="00690DB9" w:rsidRPr="004E28CB" w:rsidRDefault="00690DB9"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86.4</w:t>
            </w:r>
          </w:p>
        </w:tc>
        <w:tc>
          <w:tcPr>
            <w:tcW w:w="1121" w:type="dxa"/>
            <w:vAlign w:val="bottom"/>
          </w:tcPr>
          <w:p w14:paraId="2594DC02" w14:textId="380B6A92" w:rsidR="00690DB9" w:rsidRPr="004E28CB" w:rsidRDefault="00690DB9"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1036.0</w:t>
            </w:r>
          </w:p>
        </w:tc>
        <w:tc>
          <w:tcPr>
            <w:tcW w:w="1121" w:type="dxa"/>
            <w:vAlign w:val="bottom"/>
          </w:tcPr>
          <w:p w14:paraId="5AC90AB2" w14:textId="29043B15" w:rsidR="00690DB9" w:rsidRPr="004E28CB" w:rsidRDefault="00690DB9"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330.6</w:t>
            </w:r>
          </w:p>
        </w:tc>
        <w:tc>
          <w:tcPr>
            <w:tcW w:w="1234" w:type="dxa"/>
            <w:vAlign w:val="bottom"/>
          </w:tcPr>
          <w:p w14:paraId="6DAC43ED" w14:textId="225B5884" w:rsidR="00690DB9" w:rsidRPr="004E28CB" w:rsidRDefault="00690DB9"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04B6BF35" w14:textId="255F8929" w:rsidR="00690DB9" w:rsidRPr="004E28CB" w:rsidRDefault="00690DB9"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71D1FB24" w14:textId="5D1DAF20" w:rsidR="00690DB9" w:rsidRPr="004E28CB" w:rsidRDefault="00690DB9"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1295.0</w:t>
            </w:r>
          </w:p>
        </w:tc>
        <w:tc>
          <w:tcPr>
            <w:tcW w:w="1034" w:type="dxa"/>
            <w:vAlign w:val="bottom"/>
          </w:tcPr>
          <w:p w14:paraId="1F9C7856" w14:textId="56D45888" w:rsidR="00690DB9" w:rsidRPr="004E28CB" w:rsidRDefault="00690DB9"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416.9</w:t>
            </w:r>
          </w:p>
        </w:tc>
        <w:tc>
          <w:tcPr>
            <w:tcW w:w="1364" w:type="dxa"/>
            <w:gridSpan w:val="3"/>
            <w:vAlign w:val="bottom"/>
          </w:tcPr>
          <w:p w14:paraId="50C13037" w14:textId="2B55478D" w:rsidR="00690DB9" w:rsidRPr="004E28CB" w:rsidRDefault="00690DB9"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1346.8</w:t>
            </w:r>
          </w:p>
        </w:tc>
        <w:tc>
          <w:tcPr>
            <w:tcW w:w="1605" w:type="dxa"/>
            <w:vAlign w:val="bottom"/>
          </w:tcPr>
          <w:p w14:paraId="1E6397EE" w14:textId="01A6C684" w:rsidR="00690DB9" w:rsidRPr="004E28CB" w:rsidRDefault="00690DB9"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No</w:t>
            </w:r>
          </w:p>
        </w:tc>
      </w:tr>
      <w:tr w:rsidR="00E904D8" w14:paraId="6E47BF46" w14:textId="77777777" w:rsidTr="00115E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18B5725B" w14:textId="43928141" w:rsidR="00DA520F" w:rsidRPr="004E28CB" w:rsidRDefault="00DA520F" w:rsidP="00DA520F">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NSW</w:t>
            </w:r>
          </w:p>
        </w:tc>
        <w:tc>
          <w:tcPr>
            <w:tcW w:w="1708" w:type="dxa"/>
            <w:vAlign w:val="bottom"/>
          </w:tcPr>
          <w:p w14:paraId="03F0D84A" w14:textId="7615F680" w:rsidR="00DA520F" w:rsidRPr="004E28CB" w:rsidRDefault="00DA520F"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Liverpool Ranges Basalt MDB</w:t>
            </w:r>
          </w:p>
        </w:tc>
        <w:tc>
          <w:tcPr>
            <w:tcW w:w="843" w:type="dxa"/>
            <w:vAlign w:val="bottom"/>
          </w:tcPr>
          <w:p w14:paraId="49A65072" w14:textId="439E8788" w:rsidR="00DA520F" w:rsidRPr="004E28CB" w:rsidRDefault="00DA520F"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GS22</w:t>
            </w:r>
          </w:p>
        </w:tc>
        <w:tc>
          <w:tcPr>
            <w:tcW w:w="851" w:type="dxa"/>
            <w:vAlign w:val="bottom"/>
          </w:tcPr>
          <w:p w14:paraId="0C68FCC9" w14:textId="33C25023" w:rsidR="00DA520F" w:rsidRPr="004E28CB" w:rsidRDefault="00DA520F"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2.2</w:t>
            </w:r>
          </w:p>
        </w:tc>
        <w:tc>
          <w:tcPr>
            <w:tcW w:w="971" w:type="dxa"/>
            <w:vAlign w:val="bottom"/>
          </w:tcPr>
          <w:p w14:paraId="32B6568E" w14:textId="40891F7D" w:rsidR="00DA520F" w:rsidRPr="004E28CB" w:rsidRDefault="00DA520F"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2.2</w:t>
            </w:r>
          </w:p>
        </w:tc>
        <w:tc>
          <w:tcPr>
            <w:tcW w:w="777" w:type="dxa"/>
            <w:vAlign w:val="bottom"/>
          </w:tcPr>
          <w:p w14:paraId="18234D85" w14:textId="6789D0E7" w:rsidR="00DA520F" w:rsidRPr="004E28CB" w:rsidRDefault="00DA520F"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1.9</w:t>
            </w:r>
          </w:p>
        </w:tc>
        <w:tc>
          <w:tcPr>
            <w:tcW w:w="1121" w:type="dxa"/>
            <w:vAlign w:val="bottom"/>
          </w:tcPr>
          <w:p w14:paraId="1D61A92E" w14:textId="2D202D99" w:rsidR="00DA520F" w:rsidRPr="004E28CB" w:rsidRDefault="00DA520F"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8.6</w:t>
            </w:r>
          </w:p>
        </w:tc>
        <w:tc>
          <w:tcPr>
            <w:tcW w:w="1121" w:type="dxa"/>
            <w:vAlign w:val="bottom"/>
          </w:tcPr>
          <w:p w14:paraId="46A41696" w14:textId="46820DD7" w:rsidR="00DA520F" w:rsidRPr="004E28CB" w:rsidRDefault="00DA520F"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7.7</w:t>
            </w:r>
          </w:p>
        </w:tc>
        <w:tc>
          <w:tcPr>
            <w:tcW w:w="1234" w:type="dxa"/>
            <w:vAlign w:val="bottom"/>
          </w:tcPr>
          <w:p w14:paraId="20036045" w14:textId="0659C0FC" w:rsidR="00DA520F" w:rsidRPr="004E28CB" w:rsidRDefault="00DA520F"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3C91007F" w14:textId="3C4D28C9" w:rsidR="00DA520F" w:rsidRPr="004E28CB" w:rsidRDefault="00DA520F"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21CCE247" w14:textId="77228B6C" w:rsidR="00DA520F" w:rsidRPr="004E28CB" w:rsidRDefault="00DA520F"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10.8</w:t>
            </w:r>
          </w:p>
        </w:tc>
        <w:tc>
          <w:tcPr>
            <w:tcW w:w="1034" w:type="dxa"/>
            <w:vAlign w:val="bottom"/>
          </w:tcPr>
          <w:p w14:paraId="4C1184F9" w14:textId="034B975D" w:rsidR="00DA520F" w:rsidRPr="004E28CB" w:rsidRDefault="00DA520F"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9.6</w:t>
            </w:r>
          </w:p>
        </w:tc>
        <w:tc>
          <w:tcPr>
            <w:tcW w:w="1364" w:type="dxa"/>
            <w:gridSpan w:val="3"/>
            <w:vAlign w:val="bottom"/>
          </w:tcPr>
          <w:p w14:paraId="572733B9" w14:textId="05FA7845" w:rsidR="00DA520F" w:rsidRPr="004E28CB" w:rsidRDefault="00DA520F"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11.2</w:t>
            </w:r>
          </w:p>
        </w:tc>
        <w:tc>
          <w:tcPr>
            <w:tcW w:w="1605" w:type="dxa"/>
            <w:vAlign w:val="bottom"/>
          </w:tcPr>
          <w:p w14:paraId="15F8364C" w14:textId="74E4AC5B" w:rsidR="00DA520F" w:rsidRPr="004E28CB" w:rsidRDefault="00DA520F"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No</w:t>
            </w:r>
          </w:p>
        </w:tc>
      </w:tr>
      <w:tr w:rsidR="004E28CB" w:rsidRPr="004E28CB" w14:paraId="16CDD5DF" w14:textId="77777777" w:rsidTr="00115EA1">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7DECC044" w14:textId="059B8F39" w:rsidR="00891FC5" w:rsidRPr="004E28CB" w:rsidRDefault="00F15553" w:rsidP="00891FC5">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NSW</w:t>
            </w:r>
          </w:p>
        </w:tc>
        <w:tc>
          <w:tcPr>
            <w:tcW w:w="1708" w:type="dxa"/>
            <w:vAlign w:val="bottom"/>
          </w:tcPr>
          <w:p w14:paraId="7E98F386" w14:textId="209C6DA6" w:rsidR="00891FC5" w:rsidRPr="004E28CB" w:rsidRDefault="00891FC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Lower Darling Alluvium</w:t>
            </w:r>
          </w:p>
        </w:tc>
        <w:tc>
          <w:tcPr>
            <w:tcW w:w="843" w:type="dxa"/>
            <w:vAlign w:val="bottom"/>
          </w:tcPr>
          <w:p w14:paraId="4CC36193" w14:textId="2C272D3B" w:rsidR="00891FC5" w:rsidRPr="004E28CB" w:rsidRDefault="00891FC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GS23</w:t>
            </w:r>
          </w:p>
        </w:tc>
        <w:tc>
          <w:tcPr>
            <w:tcW w:w="851" w:type="dxa"/>
            <w:vAlign w:val="bottom"/>
          </w:tcPr>
          <w:p w14:paraId="7E833504" w14:textId="75FF058D" w:rsidR="00891FC5" w:rsidRPr="004E28CB" w:rsidRDefault="00891FC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2.2</w:t>
            </w:r>
          </w:p>
        </w:tc>
        <w:tc>
          <w:tcPr>
            <w:tcW w:w="971" w:type="dxa"/>
            <w:vAlign w:val="bottom"/>
          </w:tcPr>
          <w:p w14:paraId="0A95DAE2" w14:textId="5384D940" w:rsidR="00891FC5" w:rsidRPr="004E28CB" w:rsidRDefault="00891FC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2.2</w:t>
            </w:r>
          </w:p>
        </w:tc>
        <w:tc>
          <w:tcPr>
            <w:tcW w:w="777" w:type="dxa"/>
            <w:vAlign w:val="bottom"/>
          </w:tcPr>
          <w:p w14:paraId="31FAD077" w14:textId="2A8F3CCD" w:rsidR="00891FC5" w:rsidRPr="004E28CB" w:rsidRDefault="00891FC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0.8</w:t>
            </w:r>
          </w:p>
        </w:tc>
        <w:tc>
          <w:tcPr>
            <w:tcW w:w="1121" w:type="dxa"/>
            <w:vAlign w:val="bottom"/>
          </w:tcPr>
          <w:p w14:paraId="7E1C4031" w14:textId="541C4210" w:rsidR="00891FC5" w:rsidRPr="004E28CB" w:rsidRDefault="00891FC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8.9</w:t>
            </w:r>
          </w:p>
        </w:tc>
        <w:tc>
          <w:tcPr>
            <w:tcW w:w="1121" w:type="dxa"/>
            <w:vAlign w:val="bottom"/>
          </w:tcPr>
          <w:p w14:paraId="1CD78546" w14:textId="5B1F457D" w:rsidR="00891FC5" w:rsidRPr="004E28CB" w:rsidRDefault="00891FC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3.1</w:t>
            </w:r>
          </w:p>
        </w:tc>
        <w:tc>
          <w:tcPr>
            <w:tcW w:w="1234" w:type="dxa"/>
            <w:vAlign w:val="bottom"/>
          </w:tcPr>
          <w:p w14:paraId="13209072" w14:textId="59B9B8E8" w:rsidR="00891FC5" w:rsidRPr="004E28CB" w:rsidRDefault="00891FC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635219DD" w14:textId="44F776B8" w:rsidR="00891FC5" w:rsidRPr="004E28CB" w:rsidRDefault="00891FC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5FB712D1" w14:textId="649253E6" w:rsidR="00891FC5" w:rsidRPr="004E28CB" w:rsidRDefault="00891FC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11.2</w:t>
            </w:r>
          </w:p>
        </w:tc>
        <w:tc>
          <w:tcPr>
            <w:tcW w:w="1034" w:type="dxa"/>
            <w:vAlign w:val="bottom"/>
          </w:tcPr>
          <w:p w14:paraId="0D59CC79" w14:textId="5CA97D56" w:rsidR="00891FC5" w:rsidRPr="004E28CB" w:rsidRDefault="00891FC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3.9</w:t>
            </w:r>
          </w:p>
        </w:tc>
        <w:tc>
          <w:tcPr>
            <w:tcW w:w="1364" w:type="dxa"/>
            <w:gridSpan w:val="3"/>
            <w:vAlign w:val="bottom"/>
          </w:tcPr>
          <w:p w14:paraId="4905EAB0" w14:textId="6D3A43D3" w:rsidR="00891FC5" w:rsidRPr="004E28CB" w:rsidRDefault="00891FC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11.6</w:t>
            </w:r>
          </w:p>
        </w:tc>
        <w:tc>
          <w:tcPr>
            <w:tcW w:w="1605" w:type="dxa"/>
            <w:vAlign w:val="bottom"/>
          </w:tcPr>
          <w:p w14:paraId="03094CA4" w14:textId="6F48F1F5" w:rsidR="00891FC5" w:rsidRPr="004E28CB" w:rsidRDefault="00891FC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No</w:t>
            </w:r>
          </w:p>
        </w:tc>
      </w:tr>
      <w:tr w:rsidR="00E904D8" w:rsidRPr="004E28CB" w14:paraId="445AFC67" w14:textId="77777777" w:rsidTr="00115E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7D90A0ED" w14:textId="233CC686" w:rsidR="00D428DB" w:rsidRPr="004E28CB" w:rsidRDefault="00F15553" w:rsidP="00D428DB">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NSW</w:t>
            </w:r>
          </w:p>
        </w:tc>
        <w:tc>
          <w:tcPr>
            <w:tcW w:w="1708" w:type="dxa"/>
            <w:vAlign w:val="bottom"/>
          </w:tcPr>
          <w:p w14:paraId="307AAFEA" w14:textId="1C10C61C" w:rsidR="00D428DB" w:rsidRPr="004E28CB" w:rsidRDefault="00D428DB"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Lower Macquarie Alluvium</w:t>
            </w:r>
          </w:p>
        </w:tc>
        <w:tc>
          <w:tcPr>
            <w:tcW w:w="843" w:type="dxa"/>
            <w:vAlign w:val="bottom"/>
          </w:tcPr>
          <w:p w14:paraId="6DBB7BBF" w14:textId="4A8CEE06" w:rsidR="00D428DB" w:rsidRPr="004E28CB" w:rsidRDefault="00D428DB"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GS26</w:t>
            </w:r>
          </w:p>
        </w:tc>
        <w:tc>
          <w:tcPr>
            <w:tcW w:w="851" w:type="dxa"/>
            <w:vAlign w:val="bottom"/>
          </w:tcPr>
          <w:p w14:paraId="4C874320" w14:textId="1B942B75" w:rsidR="00D428DB" w:rsidRPr="004E28CB" w:rsidRDefault="00D428DB"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52.7</w:t>
            </w:r>
          </w:p>
        </w:tc>
        <w:tc>
          <w:tcPr>
            <w:tcW w:w="971" w:type="dxa"/>
            <w:vAlign w:val="bottom"/>
          </w:tcPr>
          <w:p w14:paraId="7C26FC76" w14:textId="1E53E1BA" w:rsidR="00D428DB" w:rsidRPr="004E28CB" w:rsidRDefault="00D428DB"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52.7</w:t>
            </w:r>
          </w:p>
        </w:tc>
        <w:tc>
          <w:tcPr>
            <w:tcW w:w="777" w:type="dxa"/>
            <w:vAlign w:val="bottom"/>
          </w:tcPr>
          <w:p w14:paraId="7EB032E6" w14:textId="13075538" w:rsidR="00D428DB" w:rsidRPr="004E28CB" w:rsidRDefault="00D428DB"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30.2</w:t>
            </w:r>
          </w:p>
        </w:tc>
        <w:tc>
          <w:tcPr>
            <w:tcW w:w="1121" w:type="dxa"/>
            <w:vAlign w:val="bottom"/>
          </w:tcPr>
          <w:p w14:paraId="489DA175" w14:textId="1B5D051C" w:rsidR="00D428DB" w:rsidRPr="004E28CB" w:rsidRDefault="00D428DB"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210.9</w:t>
            </w:r>
          </w:p>
        </w:tc>
        <w:tc>
          <w:tcPr>
            <w:tcW w:w="1121" w:type="dxa"/>
            <w:vAlign w:val="bottom"/>
          </w:tcPr>
          <w:p w14:paraId="6247E1BD" w14:textId="5A99CCC0" w:rsidR="00D428DB" w:rsidRPr="004E28CB" w:rsidRDefault="00D428DB"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89.1</w:t>
            </w:r>
          </w:p>
        </w:tc>
        <w:tc>
          <w:tcPr>
            <w:tcW w:w="1234" w:type="dxa"/>
            <w:vAlign w:val="bottom"/>
          </w:tcPr>
          <w:p w14:paraId="7AAC0080" w14:textId="5950C9D3" w:rsidR="00D428DB" w:rsidRPr="004E28CB" w:rsidRDefault="00D428DB"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339C1D78" w14:textId="0B5B88F5" w:rsidR="00D428DB" w:rsidRPr="004E28CB" w:rsidRDefault="00D428DB"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07235EE3" w14:textId="51A1E8A8" w:rsidR="00D428DB" w:rsidRPr="004E28CB" w:rsidRDefault="00D428DB"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263.6</w:t>
            </w:r>
          </w:p>
        </w:tc>
        <w:tc>
          <w:tcPr>
            <w:tcW w:w="1034" w:type="dxa"/>
            <w:vAlign w:val="bottom"/>
          </w:tcPr>
          <w:p w14:paraId="72FBD938" w14:textId="4B676413" w:rsidR="00D428DB" w:rsidRPr="004E28CB" w:rsidRDefault="00D428DB"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119.3</w:t>
            </w:r>
          </w:p>
        </w:tc>
        <w:tc>
          <w:tcPr>
            <w:tcW w:w="1364" w:type="dxa"/>
            <w:gridSpan w:val="3"/>
            <w:vAlign w:val="bottom"/>
          </w:tcPr>
          <w:p w14:paraId="42C9205F" w14:textId="58770E15" w:rsidR="00D428DB" w:rsidRPr="004E28CB" w:rsidRDefault="00D428DB"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274.1</w:t>
            </w:r>
          </w:p>
        </w:tc>
        <w:tc>
          <w:tcPr>
            <w:tcW w:w="1605" w:type="dxa"/>
            <w:vAlign w:val="bottom"/>
          </w:tcPr>
          <w:p w14:paraId="38EBAD0F" w14:textId="6A642C05" w:rsidR="00D428DB" w:rsidRPr="004E28CB" w:rsidRDefault="00D428DB"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No</w:t>
            </w:r>
          </w:p>
        </w:tc>
      </w:tr>
      <w:tr w:rsidR="004E28CB" w:rsidRPr="004E28CB" w14:paraId="6DFAC351" w14:textId="77777777" w:rsidTr="00115EA1">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2637F42D" w14:textId="580F1913" w:rsidR="009F4663" w:rsidRPr="004E28CB" w:rsidRDefault="00F15553" w:rsidP="009F4663">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NSW</w:t>
            </w:r>
          </w:p>
        </w:tc>
        <w:tc>
          <w:tcPr>
            <w:tcW w:w="1708" w:type="dxa"/>
            <w:vAlign w:val="bottom"/>
          </w:tcPr>
          <w:p w14:paraId="4B9F19B8" w14:textId="01F61036" w:rsidR="009F4663" w:rsidRPr="004E28CB" w:rsidRDefault="009F466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NSW Border Rivers Alluvium</w:t>
            </w:r>
          </w:p>
        </w:tc>
        <w:tc>
          <w:tcPr>
            <w:tcW w:w="843" w:type="dxa"/>
            <w:vAlign w:val="bottom"/>
          </w:tcPr>
          <w:p w14:paraId="31AA8A9A" w14:textId="57D88AC2" w:rsidR="009F4663" w:rsidRPr="004E28CB" w:rsidRDefault="009F466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GS32</w:t>
            </w:r>
          </w:p>
        </w:tc>
        <w:tc>
          <w:tcPr>
            <w:tcW w:w="851" w:type="dxa"/>
            <w:vAlign w:val="bottom"/>
          </w:tcPr>
          <w:p w14:paraId="7693F8DA" w14:textId="29501596" w:rsidR="009F4663" w:rsidRPr="004E28CB" w:rsidRDefault="009F466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8.4</w:t>
            </w:r>
          </w:p>
        </w:tc>
        <w:tc>
          <w:tcPr>
            <w:tcW w:w="971" w:type="dxa"/>
            <w:vAlign w:val="bottom"/>
          </w:tcPr>
          <w:p w14:paraId="25BECB44" w14:textId="0058F58F" w:rsidR="009F4663" w:rsidRPr="004E28CB" w:rsidRDefault="009F466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8.4</w:t>
            </w:r>
          </w:p>
        </w:tc>
        <w:tc>
          <w:tcPr>
            <w:tcW w:w="777" w:type="dxa"/>
            <w:vAlign w:val="bottom"/>
          </w:tcPr>
          <w:p w14:paraId="2388C426" w14:textId="6FD12F29" w:rsidR="009F4663" w:rsidRPr="004E28CB" w:rsidRDefault="009F466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5.2</w:t>
            </w:r>
          </w:p>
        </w:tc>
        <w:tc>
          <w:tcPr>
            <w:tcW w:w="1121" w:type="dxa"/>
            <w:vAlign w:val="bottom"/>
          </w:tcPr>
          <w:p w14:paraId="50D9B47B" w14:textId="470B2B49" w:rsidR="009F4663" w:rsidRPr="004E28CB" w:rsidRDefault="009F466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33.6</w:t>
            </w:r>
          </w:p>
        </w:tc>
        <w:tc>
          <w:tcPr>
            <w:tcW w:w="1121" w:type="dxa"/>
            <w:vAlign w:val="bottom"/>
          </w:tcPr>
          <w:p w14:paraId="4AEDA1E2" w14:textId="12886D42" w:rsidR="009F4663" w:rsidRPr="004E28CB" w:rsidRDefault="009F466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20.4</w:t>
            </w:r>
          </w:p>
        </w:tc>
        <w:tc>
          <w:tcPr>
            <w:tcW w:w="1234" w:type="dxa"/>
            <w:vAlign w:val="bottom"/>
          </w:tcPr>
          <w:p w14:paraId="196834B8" w14:textId="16D4395F" w:rsidR="009F4663" w:rsidRPr="004E28CB" w:rsidRDefault="009F466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4DBB339C" w14:textId="66A9B46C" w:rsidR="009F4663" w:rsidRPr="004E28CB" w:rsidRDefault="009F466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21B7CD6D" w14:textId="177B74F2" w:rsidR="009F4663" w:rsidRPr="004E28CB" w:rsidRDefault="009F466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42.0</w:t>
            </w:r>
          </w:p>
        </w:tc>
        <w:tc>
          <w:tcPr>
            <w:tcW w:w="1034" w:type="dxa"/>
            <w:vAlign w:val="bottom"/>
          </w:tcPr>
          <w:p w14:paraId="23509BB3" w14:textId="764215FE" w:rsidR="009F4663" w:rsidRPr="004E28CB" w:rsidRDefault="009F466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25.6</w:t>
            </w:r>
          </w:p>
        </w:tc>
        <w:tc>
          <w:tcPr>
            <w:tcW w:w="1364" w:type="dxa"/>
            <w:gridSpan w:val="3"/>
            <w:vAlign w:val="bottom"/>
          </w:tcPr>
          <w:p w14:paraId="6671F858" w14:textId="6052A64F" w:rsidR="009F4663" w:rsidRPr="004E28CB" w:rsidRDefault="009F466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43.7</w:t>
            </w:r>
          </w:p>
        </w:tc>
        <w:tc>
          <w:tcPr>
            <w:tcW w:w="1605" w:type="dxa"/>
            <w:vAlign w:val="bottom"/>
          </w:tcPr>
          <w:p w14:paraId="3D512B66" w14:textId="5DC31A69" w:rsidR="009F4663" w:rsidRPr="004E28CB" w:rsidRDefault="009F466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No</w:t>
            </w:r>
          </w:p>
        </w:tc>
      </w:tr>
      <w:tr w:rsidR="00E904D8" w:rsidRPr="004E28CB" w14:paraId="770537AA" w14:textId="77777777" w:rsidTr="00115E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0BDB99B2" w14:textId="1756DB5D" w:rsidR="00151243" w:rsidRPr="004E28CB" w:rsidRDefault="00F15553" w:rsidP="00151243">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NSW</w:t>
            </w:r>
          </w:p>
        </w:tc>
        <w:tc>
          <w:tcPr>
            <w:tcW w:w="1708" w:type="dxa"/>
            <w:vAlign w:val="bottom"/>
          </w:tcPr>
          <w:p w14:paraId="02A3FD63" w14:textId="1AB24E2D" w:rsidR="00151243" w:rsidRPr="004E28CB" w:rsidRDefault="0015124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NSW Border Rivers Tributary Alluvium</w:t>
            </w:r>
          </w:p>
        </w:tc>
        <w:tc>
          <w:tcPr>
            <w:tcW w:w="843" w:type="dxa"/>
            <w:vAlign w:val="bottom"/>
          </w:tcPr>
          <w:p w14:paraId="683C6986" w14:textId="456DC99F" w:rsidR="00151243" w:rsidRPr="004E28CB" w:rsidRDefault="0015124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GS33</w:t>
            </w:r>
          </w:p>
        </w:tc>
        <w:tc>
          <w:tcPr>
            <w:tcW w:w="851" w:type="dxa"/>
            <w:vAlign w:val="bottom"/>
          </w:tcPr>
          <w:p w14:paraId="70A91A1D" w14:textId="1FDCB839" w:rsidR="00151243" w:rsidRPr="004E28CB" w:rsidRDefault="0015124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0.4</w:t>
            </w:r>
          </w:p>
        </w:tc>
        <w:tc>
          <w:tcPr>
            <w:tcW w:w="971" w:type="dxa"/>
            <w:vAlign w:val="bottom"/>
          </w:tcPr>
          <w:p w14:paraId="225BB29D" w14:textId="719425EA" w:rsidR="00151243" w:rsidRPr="004E28CB" w:rsidRDefault="0015124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0.4</w:t>
            </w:r>
          </w:p>
        </w:tc>
        <w:tc>
          <w:tcPr>
            <w:tcW w:w="777" w:type="dxa"/>
            <w:vAlign w:val="bottom"/>
          </w:tcPr>
          <w:p w14:paraId="32DFF00D" w14:textId="5B7F7F96" w:rsidR="00151243" w:rsidRPr="004E28CB" w:rsidRDefault="0015124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0.2</w:t>
            </w:r>
          </w:p>
        </w:tc>
        <w:tc>
          <w:tcPr>
            <w:tcW w:w="1121" w:type="dxa"/>
            <w:vAlign w:val="bottom"/>
          </w:tcPr>
          <w:p w14:paraId="5408F358" w14:textId="454E87D1" w:rsidR="00151243" w:rsidRPr="004E28CB" w:rsidRDefault="0015124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1.6</w:t>
            </w:r>
          </w:p>
        </w:tc>
        <w:tc>
          <w:tcPr>
            <w:tcW w:w="1121" w:type="dxa"/>
            <w:vAlign w:val="bottom"/>
          </w:tcPr>
          <w:p w14:paraId="766C61E3" w14:textId="70BD2D19" w:rsidR="00151243" w:rsidRPr="004E28CB" w:rsidRDefault="0015124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0.6</w:t>
            </w:r>
          </w:p>
        </w:tc>
        <w:tc>
          <w:tcPr>
            <w:tcW w:w="1234" w:type="dxa"/>
            <w:vAlign w:val="bottom"/>
          </w:tcPr>
          <w:p w14:paraId="36F44963" w14:textId="2477FF8F" w:rsidR="00151243" w:rsidRPr="004E28CB" w:rsidRDefault="0015124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54B0219F" w14:textId="2A93E4F2" w:rsidR="00151243" w:rsidRPr="004E28CB" w:rsidRDefault="0015124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0406B59F" w14:textId="06C2E325" w:rsidR="00151243" w:rsidRPr="004E28CB" w:rsidRDefault="0015124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2.1</w:t>
            </w:r>
          </w:p>
        </w:tc>
        <w:tc>
          <w:tcPr>
            <w:tcW w:w="1034" w:type="dxa"/>
            <w:vAlign w:val="bottom"/>
          </w:tcPr>
          <w:p w14:paraId="1072349C" w14:textId="7D90C400" w:rsidR="00151243" w:rsidRPr="004E28CB" w:rsidRDefault="0015124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0.8</w:t>
            </w:r>
          </w:p>
        </w:tc>
        <w:tc>
          <w:tcPr>
            <w:tcW w:w="1364" w:type="dxa"/>
            <w:gridSpan w:val="3"/>
            <w:vAlign w:val="bottom"/>
          </w:tcPr>
          <w:p w14:paraId="0858FFB8" w14:textId="35BC31BB" w:rsidR="00151243" w:rsidRPr="004E28CB" w:rsidRDefault="0015124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2.1</w:t>
            </w:r>
          </w:p>
        </w:tc>
        <w:tc>
          <w:tcPr>
            <w:tcW w:w="1605" w:type="dxa"/>
            <w:vAlign w:val="bottom"/>
          </w:tcPr>
          <w:p w14:paraId="5956EE6A" w14:textId="0FCCA4FC" w:rsidR="00151243" w:rsidRPr="004E28CB" w:rsidRDefault="0015124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No</w:t>
            </w:r>
          </w:p>
        </w:tc>
      </w:tr>
      <w:tr w:rsidR="004E28CB" w:rsidRPr="004E28CB" w14:paraId="73B0DA88" w14:textId="77777777" w:rsidTr="00115EA1">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243CE9C1" w14:textId="7DF4D310" w:rsidR="00E17A42" w:rsidRPr="004E28CB" w:rsidRDefault="00F15553" w:rsidP="00E17A42">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NSW</w:t>
            </w:r>
          </w:p>
        </w:tc>
        <w:tc>
          <w:tcPr>
            <w:tcW w:w="1708" w:type="dxa"/>
            <w:vAlign w:val="bottom"/>
          </w:tcPr>
          <w:p w14:paraId="4FE04B08" w14:textId="16A33922" w:rsidR="00E17A42" w:rsidRPr="004E28CB" w:rsidRDefault="00E17A42"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New England Fold Belt MDB</w:t>
            </w:r>
          </w:p>
        </w:tc>
        <w:tc>
          <w:tcPr>
            <w:tcW w:w="843" w:type="dxa"/>
            <w:vAlign w:val="bottom"/>
          </w:tcPr>
          <w:p w14:paraId="6AAB5B67" w14:textId="0ED37D02" w:rsidR="00E17A42" w:rsidRPr="004E28CB" w:rsidRDefault="00E17A42"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GS37</w:t>
            </w:r>
          </w:p>
        </w:tc>
        <w:tc>
          <w:tcPr>
            <w:tcW w:w="851" w:type="dxa"/>
            <w:vAlign w:val="bottom"/>
          </w:tcPr>
          <w:p w14:paraId="4ADE7507" w14:textId="626F7D48" w:rsidR="00E17A42" w:rsidRPr="004E28CB" w:rsidRDefault="00E17A42"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55.1</w:t>
            </w:r>
          </w:p>
        </w:tc>
        <w:tc>
          <w:tcPr>
            <w:tcW w:w="971" w:type="dxa"/>
            <w:vAlign w:val="bottom"/>
          </w:tcPr>
          <w:p w14:paraId="533C7BFD" w14:textId="6A261EE7" w:rsidR="00E17A42" w:rsidRPr="004E28CB" w:rsidRDefault="00E17A42"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55.1</w:t>
            </w:r>
          </w:p>
        </w:tc>
        <w:tc>
          <w:tcPr>
            <w:tcW w:w="777" w:type="dxa"/>
            <w:vAlign w:val="bottom"/>
          </w:tcPr>
          <w:p w14:paraId="526D68B5" w14:textId="537C6566" w:rsidR="00E17A42" w:rsidRPr="004E28CB" w:rsidRDefault="00E17A42"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22.0</w:t>
            </w:r>
          </w:p>
        </w:tc>
        <w:tc>
          <w:tcPr>
            <w:tcW w:w="1121" w:type="dxa"/>
            <w:vAlign w:val="bottom"/>
          </w:tcPr>
          <w:p w14:paraId="4A56D2C0" w14:textId="664ADFF5" w:rsidR="00E17A42" w:rsidRPr="004E28CB" w:rsidRDefault="00E17A42"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220.4</w:t>
            </w:r>
          </w:p>
        </w:tc>
        <w:tc>
          <w:tcPr>
            <w:tcW w:w="1121" w:type="dxa"/>
            <w:vAlign w:val="bottom"/>
          </w:tcPr>
          <w:p w14:paraId="7FDFF845" w14:textId="617E950A" w:rsidR="00E17A42" w:rsidRPr="004E28CB" w:rsidRDefault="00E17A42"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84.1</w:t>
            </w:r>
          </w:p>
        </w:tc>
        <w:tc>
          <w:tcPr>
            <w:tcW w:w="1234" w:type="dxa"/>
            <w:vAlign w:val="bottom"/>
          </w:tcPr>
          <w:p w14:paraId="4E447E2E" w14:textId="50289512" w:rsidR="00E17A42" w:rsidRPr="004E28CB" w:rsidRDefault="00E17A42"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34A98227" w14:textId="3FEBB7B8" w:rsidR="00E17A42" w:rsidRPr="004E28CB" w:rsidRDefault="00E17A42"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65F2EB08" w14:textId="50F3E210" w:rsidR="00E17A42" w:rsidRPr="004E28CB" w:rsidRDefault="00E17A42"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275.5</w:t>
            </w:r>
          </w:p>
        </w:tc>
        <w:tc>
          <w:tcPr>
            <w:tcW w:w="1034" w:type="dxa"/>
            <w:vAlign w:val="bottom"/>
          </w:tcPr>
          <w:p w14:paraId="332F7C15" w14:textId="37345FF2" w:rsidR="00E17A42" w:rsidRPr="004E28CB" w:rsidRDefault="00E17A42"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106.2</w:t>
            </w:r>
          </w:p>
        </w:tc>
        <w:tc>
          <w:tcPr>
            <w:tcW w:w="1364" w:type="dxa"/>
            <w:gridSpan w:val="3"/>
            <w:vAlign w:val="bottom"/>
          </w:tcPr>
          <w:p w14:paraId="3FB7F3DE" w14:textId="6F51A279" w:rsidR="00E17A42" w:rsidRPr="004E28CB" w:rsidRDefault="00E17A42"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286.5</w:t>
            </w:r>
          </w:p>
        </w:tc>
        <w:tc>
          <w:tcPr>
            <w:tcW w:w="1605" w:type="dxa"/>
            <w:vAlign w:val="bottom"/>
          </w:tcPr>
          <w:p w14:paraId="0F135502" w14:textId="29D2FAD0" w:rsidR="00E17A42" w:rsidRPr="004E28CB" w:rsidRDefault="00E17A42"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No</w:t>
            </w:r>
          </w:p>
        </w:tc>
      </w:tr>
      <w:tr w:rsidR="00E904D8" w:rsidRPr="004E28CB" w14:paraId="24256BD8" w14:textId="77777777" w:rsidTr="00115E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72048A2E" w14:textId="04E5058F" w:rsidR="00D6710D" w:rsidRPr="004E28CB" w:rsidRDefault="00F15553" w:rsidP="00D6710D">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NSW</w:t>
            </w:r>
          </w:p>
        </w:tc>
        <w:tc>
          <w:tcPr>
            <w:tcW w:w="1708" w:type="dxa"/>
            <w:vAlign w:val="bottom"/>
          </w:tcPr>
          <w:p w14:paraId="33360A96" w14:textId="14C6B073" w:rsidR="00D6710D" w:rsidRPr="004E28CB" w:rsidRDefault="00D6710D"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Oaklands Basin</w:t>
            </w:r>
          </w:p>
        </w:tc>
        <w:tc>
          <w:tcPr>
            <w:tcW w:w="843" w:type="dxa"/>
            <w:vAlign w:val="bottom"/>
          </w:tcPr>
          <w:p w14:paraId="3B40EA58" w14:textId="256BE639" w:rsidR="00D6710D" w:rsidRPr="004E28CB" w:rsidRDefault="00D6710D"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GS38</w:t>
            </w:r>
          </w:p>
        </w:tc>
        <w:tc>
          <w:tcPr>
            <w:tcW w:w="851" w:type="dxa"/>
            <w:vAlign w:val="bottom"/>
          </w:tcPr>
          <w:p w14:paraId="446B013E" w14:textId="376BE642" w:rsidR="00D6710D" w:rsidRPr="004E28CB" w:rsidRDefault="00D6710D"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2.5</w:t>
            </w:r>
          </w:p>
        </w:tc>
        <w:tc>
          <w:tcPr>
            <w:tcW w:w="971" w:type="dxa"/>
            <w:vAlign w:val="bottom"/>
          </w:tcPr>
          <w:p w14:paraId="581B881B" w14:textId="416D4BBE" w:rsidR="00D6710D" w:rsidRPr="004E28CB" w:rsidRDefault="00D6710D"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2.5</w:t>
            </w:r>
          </w:p>
        </w:tc>
        <w:tc>
          <w:tcPr>
            <w:tcW w:w="777" w:type="dxa"/>
            <w:vAlign w:val="bottom"/>
          </w:tcPr>
          <w:p w14:paraId="334152D2" w14:textId="18FF82BB" w:rsidR="00D6710D" w:rsidRPr="004E28CB" w:rsidRDefault="00D6710D"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121" w:type="dxa"/>
            <w:vAlign w:val="bottom"/>
          </w:tcPr>
          <w:p w14:paraId="6C13020D" w14:textId="1D46F715" w:rsidR="00D6710D" w:rsidRPr="004E28CB" w:rsidRDefault="00D6710D"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10.0</w:t>
            </w:r>
          </w:p>
        </w:tc>
        <w:tc>
          <w:tcPr>
            <w:tcW w:w="1121" w:type="dxa"/>
            <w:vAlign w:val="bottom"/>
          </w:tcPr>
          <w:p w14:paraId="30429CAB" w14:textId="4681AE7B" w:rsidR="00D6710D" w:rsidRPr="004E28CB" w:rsidRDefault="00D6710D"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06810DFD" w14:textId="780F73F4" w:rsidR="00D6710D" w:rsidRPr="004E28CB" w:rsidRDefault="00D6710D"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2002496D" w14:textId="03E05E97" w:rsidR="00D6710D" w:rsidRPr="004E28CB" w:rsidRDefault="00D6710D"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12C79C03" w14:textId="51997F93" w:rsidR="00D6710D" w:rsidRPr="004E28CB" w:rsidRDefault="00D6710D"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12.5</w:t>
            </w:r>
          </w:p>
        </w:tc>
        <w:tc>
          <w:tcPr>
            <w:tcW w:w="1034" w:type="dxa"/>
            <w:vAlign w:val="bottom"/>
          </w:tcPr>
          <w:p w14:paraId="0EB8E886" w14:textId="08C01780" w:rsidR="00D6710D" w:rsidRPr="004E28CB" w:rsidRDefault="00D6710D"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364" w:type="dxa"/>
            <w:gridSpan w:val="3"/>
            <w:vAlign w:val="bottom"/>
          </w:tcPr>
          <w:p w14:paraId="66BD1074" w14:textId="4C524EF5" w:rsidR="00D6710D" w:rsidRPr="004E28CB" w:rsidRDefault="00D6710D"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13.0</w:t>
            </w:r>
          </w:p>
        </w:tc>
        <w:tc>
          <w:tcPr>
            <w:tcW w:w="1605" w:type="dxa"/>
            <w:vAlign w:val="bottom"/>
          </w:tcPr>
          <w:p w14:paraId="7E2D1FAF" w14:textId="0CABF575" w:rsidR="00D6710D" w:rsidRPr="004E28CB" w:rsidRDefault="00D6710D"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No</w:t>
            </w:r>
          </w:p>
        </w:tc>
      </w:tr>
      <w:tr w:rsidR="004E28CB" w:rsidRPr="004E28CB" w14:paraId="1C19B9AC" w14:textId="77777777" w:rsidTr="00115EA1">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2B5F660A" w14:textId="4C856932" w:rsidR="00C773DA" w:rsidRPr="004E28CB" w:rsidRDefault="00F15553" w:rsidP="00C773DA">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NSW</w:t>
            </w:r>
          </w:p>
        </w:tc>
        <w:tc>
          <w:tcPr>
            <w:tcW w:w="1708" w:type="dxa"/>
            <w:vAlign w:val="bottom"/>
          </w:tcPr>
          <w:p w14:paraId="05DA61DB" w14:textId="5EC323E0" w:rsidR="00C773DA" w:rsidRPr="004E28CB" w:rsidRDefault="00C773D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Orange Basalt</w:t>
            </w:r>
          </w:p>
        </w:tc>
        <w:tc>
          <w:tcPr>
            <w:tcW w:w="843" w:type="dxa"/>
            <w:vAlign w:val="bottom"/>
          </w:tcPr>
          <w:p w14:paraId="25E8C855" w14:textId="7F442236" w:rsidR="00C773DA" w:rsidRPr="004E28CB" w:rsidRDefault="00C773D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GS39</w:t>
            </w:r>
          </w:p>
        </w:tc>
        <w:tc>
          <w:tcPr>
            <w:tcW w:w="851" w:type="dxa"/>
            <w:vAlign w:val="bottom"/>
          </w:tcPr>
          <w:p w14:paraId="6E5A1A13" w14:textId="73E169A6" w:rsidR="00C773DA" w:rsidRPr="004E28CB" w:rsidRDefault="00C773D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10.7</w:t>
            </w:r>
          </w:p>
        </w:tc>
        <w:tc>
          <w:tcPr>
            <w:tcW w:w="971" w:type="dxa"/>
            <w:vAlign w:val="bottom"/>
          </w:tcPr>
          <w:p w14:paraId="11A749C2" w14:textId="299F0535" w:rsidR="00C773DA" w:rsidRPr="004E28CB" w:rsidRDefault="00C773D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10.7</w:t>
            </w:r>
          </w:p>
        </w:tc>
        <w:tc>
          <w:tcPr>
            <w:tcW w:w="777" w:type="dxa"/>
            <w:vAlign w:val="bottom"/>
          </w:tcPr>
          <w:p w14:paraId="59C55EE2" w14:textId="54979E7D" w:rsidR="00C773DA" w:rsidRPr="004E28CB" w:rsidRDefault="00C773D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1.3</w:t>
            </w:r>
          </w:p>
        </w:tc>
        <w:tc>
          <w:tcPr>
            <w:tcW w:w="1121" w:type="dxa"/>
            <w:vAlign w:val="bottom"/>
          </w:tcPr>
          <w:p w14:paraId="03D5E1EA" w14:textId="57A81240" w:rsidR="00C773DA" w:rsidRPr="004E28CB" w:rsidRDefault="00C773D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42.8</w:t>
            </w:r>
          </w:p>
        </w:tc>
        <w:tc>
          <w:tcPr>
            <w:tcW w:w="1121" w:type="dxa"/>
            <w:vAlign w:val="bottom"/>
          </w:tcPr>
          <w:p w14:paraId="3F48915E" w14:textId="65D11038" w:rsidR="00C773DA" w:rsidRPr="004E28CB" w:rsidRDefault="00C773D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5.7</w:t>
            </w:r>
          </w:p>
        </w:tc>
        <w:tc>
          <w:tcPr>
            <w:tcW w:w="1234" w:type="dxa"/>
            <w:vAlign w:val="bottom"/>
          </w:tcPr>
          <w:p w14:paraId="5DFDA84D" w14:textId="20680E8F" w:rsidR="00C773DA" w:rsidRPr="004E28CB" w:rsidRDefault="00C773D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672E740D" w14:textId="53035219" w:rsidR="00C773DA" w:rsidRPr="004E28CB" w:rsidRDefault="00C773D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7C270E01" w14:textId="4171743B" w:rsidR="00C773DA" w:rsidRPr="004E28CB" w:rsidRDefault="00C773D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53.5</w:t>
            </w:r>
          </w:p>
        </w:tc>
        <w:tc>
          <w:tcPr>
            <w:tcW w:w="1034" w:type="dxa"/>
            <w:vAlign w:val="bottom"/>
          </w:tcPr>
          <w:p w14:paraId="0151432A" w14:textId="3884CB88" w:rsidR="00C773DA" w:rsidRPr="004E28CB" w:rsidRDefault="00C773D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7.0</w:t>
            </w:r>
          </w:p>
        </w:tc>
        <w:tc>
          <w:tcPr>
            <w:tcW w:w="1364" w:type="dxa"/>
            <w:gridSpan w:val="3"/>
            <w:vAlign w:val="bottom"/>
          </w:tcPr>
          <w:p w14:paraId="258A4D0B" w14:textId="598100EA" w:rsidR="00C773DA" w:rsidRPr="004E28CB" w:rsidRDefault="00C773D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55.6</w:t>
            </w:r>
          </w:p>
        </w:tc>
        <w:tc>
          <w:tcPr>
            <w:tcW w:w="1605" w:type="dxa"/>
            <w:vAlign w:val="bottom"/>
          </w:tcPr>
          <w:p w14:paraId="45BA6DF9" w14:textId="450CE90C" w:rsidR="00C773DA" w:rsidRPr="004E28CB" w:rsidRDefault="00C773D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No</w:t>
            </w:r>
          </w:p>
        </w:tc>
      </w:tr>
      <w:tr w:rsidR="00E904D8" w:rsidRPr="004E28CB" w14:paraId="221694FC" w14:textId="77777777" w:rsidTr="00115E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457C75AB" w14:textId="41F1D97F" w:rsidR="008C1675" w:rsidRPr="004E28CB" w:rsidRDefault="00F15553" w:rsidP="008C1675">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NSW</w:t>
            </w:r>
          </w:p>
        </w:tc>
        <w:tc>
          <w:tcPr>
            <w:tcW w:w="1708" w:type="dxa"/>
            <w:vAlign w:val="bottom"/>
          </w:tcPr>
          <w:p w14:paraId="52BAE7C7" w14:textId="20C5972A" w:rsidR="008C1675" w:rsidRPr="004E28CB" w:rsidRDefault="008C1675"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Sydney Basin MDB</w:t>
            </w:r>
          </w:p>
        </w:tc>
        <w:tc>
          <w:tcPr>
            <w:tcW w:w="843" w:type="dxa"/>
            <w:vAlign w:val="bottom"/>
          </w:tcPr>
          <w:p w14:paraId="675AA225" w14:textId="5744D7EF" w:rsidR="008C1675" w:rsidRPr="004E28CB" w:rsidRDefault="008C1675"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GS41</w:t>
            </w:r>
          </w:p>
        </w:tc>
        <w:tc>
          <w:tcPr>
            <w:tcW w:w="851" w:type="dxa"/>
            <w:vAlign w:val="bottom"/>
          </w:tcPr>
          <w:p w14:paraId="1B0B5204" w14:textId="071CD614" w:rsidR="008C1675" w:rsidRPr="004E28CB" w:rsidRDefault="008C1675"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19.1</w:t>
            </w:r>
          </w:p>
        </w:tc>
        <w:tc>
          <w:tcPr>
            <w:tcW w:w="971" w:type="dxa"/>
            <w:vAlign w:val="bottom"/>
          </w:tcPr>
          <w:p w14:paraId="1C561E80" w14:textId="784D601B" w:rsidR="008C1675" w:rsidRPr="004E28CB" w:rsidRDefault="008C1675"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19.1</w:t>
            </w:r>
          </w:p>
        </w:tc>
        <w:tc>
          <w:tcPr>
            <w:tcW w:w="777" w:type="dxa"/>
            <w:vAlign w:val="bottom"/>
          </w:tcPr>
          <w:p w14:paraId="2EDCCD12" w14:textId="4B6CD768" w:rsidR="008C1675" w:rsidRPr="004E28CB" w:rsidRDefault="008C1675"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2.3</w:t>
            </w:r>
          </w:p>
        </w:tc>
        <w:tc>
          <w:tcPr>
            <w:tcW w:w="1121" w:type="dxa"/>
            <w:vAlign w:val="bottom"/>
          </w:tcPr>
          <w:p w14:paraId="67B40AB2" w14:textId="29908454" w:rsidR="008C1675" w:rsidRPr="004E28CB" w:rsidRDefault="008C1675"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76.4</w:t>
            </w:r>
          </w:p>
        </w:tc>
        <w:tc>
          <w:tcPr>
            <w:tcW w:w="1121" w:type="dxa"/>
            <w:vAlign w:val="bottom"/>
          </w:tcPr>
          <w:p w14:paraId="010B42BB" w14:textId="2831524C" w:rsidR="008C1675" w:rsidRPr="004E28CB" w:rsidRDefault="008C1675"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8.9</w:t>
            </w:r>
          </w:p>
        </w:tc>
        <w:tc>
          <w:tcPr>
            <w:tcW w:w="1234" w:type="dxa"/>
            <w:vAlign w:val="bottom"/>
          </w:tcPr>
          <w:p w14:paraId="280BC146" w14:textId="072F07E7" w:rsidR="008C1675" w:rsidRPr="004E28CB" w:rsidRDefault="008C1675"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66025CE4" w14:textId="324ED7AD" w:rsidR="008C1675" w:rsidRPr="004E28CB" w:rsidRDefault="008C1675"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03B28098" w14:textId="15B4C884" w:rsidR="008C1675" w:rsidRPr="004E28CB" w:rsidRDefault="008C1675"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95.5</w:t>
            </w:r>
          </w:p>
        </w:tc>
        <w:tc>
          <w:tcPr>
            <w:tcW w:w="1034" w:type="dxa"/>
            <w:vAlign w:val="bottom"/>
          </w:tcPr>
          <w:p w14:paraId="71FBF645" w14:textId="537D1A10" w:rsidR="008C1675" w:rsidRPr="004E28CB" w:rsidRDefault="008C1675"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11.2</w:t>
            </w:r>
          </w:p>
        </w:tc>
        <w:tc>
          <w:tcPr>
            <w:tcW w:w="1364" w:type="dxa"/>
            <w:gridSpan w:val="3"/>
            <w:vAlign w:val="bottom"/>
          </w:tcPr>
          <w:p w14:paraId="6A23B7F7" w14:textId="015DB4CD" w:rsidR="008C1675" w:rsidRPr="004E28CB" w:rsidRDefault="008C1675"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99.3</w:t>
            </w:r>
          </w:p>
        </w:tc>
        <w:tc>
          <w:tcPr>
            <w:tcW w:w="1605" w:type="dxa"/>
            <w:vAlign w:val="bottom"/>
          </w:tcPr>
          <w:p w14:paraId="77556528" w14:textId="02EDDFEA" w:rsidR="008C1675" w:rsidRPr="004E28CB" w:rsidRDefault="008C1675"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No</w:t>
            </w:r>
          </w:p>
        </w:tc>
      </w:tr>
      <w:tr w:rsidR="004E28CB" w:rsidRPr="004E28CB" w14:paraId="40106F10" w14:textId="77777777" w:rsidTr="00115EA1">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5E4ADF99" w14:textId="5D1F2D41" w:rsidR="00137125" w:rsidRPr="004E28CB" w:rsidRDefault="00F15553" w:rsidP="00137125">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NSW</w:t>
            </w:r>
          </w:p>
        </w:tc>
        <w:tc>
          <w:tcPr>
            <w:tcW w:w="1708" w:type="dxa"/>
            <w:vAlign w:val="bottom"/>
          </w:tcPr>
          <w:p w14:paraId="7970E7CA" w14:textId="7C64D591" w:rsidR="00137125" w:rsidRPr="004E28CB" w:rsidRDefault="0013712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Upper Darling Alluvium</w:t>
            </w:r>
          </w:p>
        </w:tc>
        <w:tc>
          <w:tcPr>
            <w:tcW w:w="843" w:type="dxa"/>
            <w:vAlign w:val="bottom"/>
          </w:tcPr>
          <w:p w14:paraId="7B793035" w14:textId="43622073" w:rsidR="00137125" w:rsidRPr="004E28CB" w:rsidRDefault="0013712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GS42</w:t>
            </w:r>
          </w:p>
        </w:tc>
        <w:tc>
          <w:tcPr>
            <w:tcW w:w="851" w:type="dxa"/>
            <w:vAlign w:val="bottom"/>
          </w:tcPr>
          <w:p w14:paraId="733B5CF5" w14:textId="2683B086" w:rsidR="00137125" w:rsidRPr="004E28CB" w:rsidRDefault="0013712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6.6</w:t>
            </w:r>
          </w:p>
        </w:tc>
        <w:tc>
          <w:tcPr>
            <w:tcW w:w="971" w:type="dxa"/>
            <w:vAlign w:val="bottom"/>
          </w:tcPr>
          <w:p w14:paraId="476A1F03" w14:textId="2517C8DE" w:rsidR="00137125" w:rsidRPr="004E28CB" w:rsidRDefault="0013712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6.6</w:t>
            </w:r>
          </w:p>
        </w:tc>
        <w:tc>
          <w:tcPr>
            <w:tcW w:w="777" w:type="dxa"/>
            <w:vAlign w:val="bottom"/>
          </w:tcPr>
          <w:p w14:paraId="4D34813E" w14:textId="1C81AB5E" w:rsidR="00137125" w:rsidRPr="004E28CB" w:rsidRDefault="0013712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2.8</w:t>
            </w:r>
          </w:p>
        </w:tc>
        <w:tc>
          <w:tcPr>
            <w:tcW w:w="1121" w:type="dxa"/>
            <w:vAlign w:val="bottom"/>
          </w:tcPr>
          <w:p w14:paraId="724F087A" w14:textId="3597E9E6" w:rsidR="00137125" w:rsidRPr="004E28CB" w:rsidRDefault="0013712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26.4</w:t>
            </w:r>
          </w:p>
        </w:tc>
        <w:tc>
          <w:tcPr>
            <w:tcW w:w="1121" w:type="dxa"/>
            <w:vAlign w:val="bottom"/>
          </w:tcPr>
          <w:p w14:paraId="5D05322B" w14:textId="1FF4F19A" w:rsidR="00137125" w:rsidRPr="004E28CB" w:rsidRDefault="0013712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13.0</w:t>
            </w:r>
          </w:p>
        </w:tc>
        <w:tc>
          <w:tcPr>
            <w:tcW w:w="1234" w:type="dxa"/>
            <w:vAlign w:val="bottom"/>
          </w:tcPr>
          <w:p w14:paraId="2B629395" w14:textId="12E55AA5" w:rsidR="00137125" w:rsidRPr="004E28CB" w:rsidRDefault="0013712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7FC48D8C" w14:textId="03D31A2D" w:rsidR="00137125" w:rsidRPr="004E28CB" w:rsidRDefault="0013712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32772C92" w14:textId="549FE698" w:rsidR="00137125" w:rsidRPr="004E28CB" w:rsidRDefault="0013712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33.0</w:t>
            </w:r>
          </w:p>
        </w:tc>
        <w:tc>
          <w:tcPr>
            <w:tcW w:w="1034" w:type="dxa"/>
            <w:vAlign w:val="bottom"/>
          </w:tcPr>
          <w:p w14:paraId="20F5A87E" w14:textId="155E428B" w:rsidR="00137125" w:rsidRPr="004E28CB" w:rsidRDefault="0013712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15.8</w:t>
            </w:r>
          </w:p>
        </w:tc>
        <w:tc>
          <w:tcPr>
            <w:tcW w:w="1364" w:type="dxa"/>
            <w:gridSpan w:val="3"/>
            <w:vAlign w:val="bottom"/>
          </w:tcPr>
          <w:p w14:paraId="0B4DC03F" w14:textId="5C2B827F" w:rsidR="00137125" w:rsidRPr="004E28CB" w:rsidRDefault="0013712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34.3</w:t>
            </w:r>
          </w:p>
        </w:tc>
        <w:tc>
          <w:tcPr>
            <w:tcW w:w="1605" w:type="dxa"/>
            <w:vAlign w:val="bottom"/>
          </w:tcPr>
          <w:p w14:paraId="40D4D587" w14:textId="0C3A1E3A" w:rsidR="00137125" w:rsidRPr="004E28CB" w:rsidRDefault="0013712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No</w:t>
            </w:r>
          </w:p>
        </w:tc>
      </w:tr>
      <w:tr w:rsidR="00E904D8" w:rsidRPr="004E28CB" w14:paraId="1A53BEA0" w14:textId="77777777" w:rsidTr="00115E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240B3432" w14:textId="42516501" w:rsidR="00C90A82" w:rsidRPr="00D863AA" w:rsidRDefault="00C90A82" w:rsidP="00C90A82">
            <w:pPr>
              <w:spacing w:after="0"/>
              <w:jc w:val="center"/>
              <w:rPr>
                <w:rFonts w:eastAsia="Verdana" w:cs="Verdana"/>
                <w:b w:val="0"/>
                <w:bCs w:val="0"/>
                <w:color w:val="000000"/>
                <w:szCs w:val="20"/>
                <w:highlight w:val="yellow"/>
                <w:lang w:eastAsia="en-AU"/>
              </w:rPr>
            </w:pPr>
            <w:r w:rsidRPr="00FF761A">
              <w:rPr>
                <w:rFonts w:eastAsia="Verdana" w:cs="Verdana"/>
                <w:b w:val="0"/>
                <w:bCs w:val="0"/>
                <w:color w:val="000000"/>
                <w:szCs w:val="20"/>
                <w:lang w:eastAsia="en-AU"/>
              </w:rPr>
              <w:t>NSW</w:t>
            </w:r>
          </w:p>
        </w:tc>
        <w:tc>
          <w:tcPr>
            <w:tcW w:w="1708" w:type="dxa"/>
            <w:vAlign w:val="bottom"/>
          </w:tcPr>
          <w:p w14:paraId="5CDE2F30" w14:textId="2E66AB6D" w:rsidR="00C90A82" w:rsidRPr="00C90A82" w:rsidRDefault="00C90A8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C90A82">
              <w:rPr>
                <w:color w:val="000000"/>
                <w:szCs w:val="20"/>
              </w:rPr>
              <w:t>Macquarie-Castlereagh Alluvium</w:t>
            </w:r>
          </w:p>
        </w:tc>
        <w:tc>
          <w:tcPr>
            <w:tcW w:w="843" w:type="dxa"/>
            <w:vAlign w:val="bottom"/>
          </w:tcPr>
          <w:p w14:paraId="52C53A26" w14:textId="164875FF" w:rsidR="00C90A82" w:rsidRPr="00C90A82" w:rsidRDefault="00C90A8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C90A82">
              <w:rPr>
                <w:color w:val="000000"/>
                <w:szCs w:val="20"/>
              </w:rPr>
              <w:t>GS45</w:t>
            </w:r>
          </w:p>
        </w:tc>
        <w:tc>
          <w:tcPr>
            <w:tcW w:w="851" w:type="dxa"/>
            <w:vAlign w:val="bottom"/>
          </w:tcPr>
          <w:p w14:paraId="7354AB5A" w14:textId="74E374A0" w:rsidR="00C90A82" w:rsidRPr="00C90A82" w:rsidRDefault="00C90A8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C90A82">
              <w:rPr>
                <w:color w:val="000000"/>
                <w:szCs w:val="20"/>
              </w:rPr>
              <w:t>17.9</w:t>
            </w:r>
          </w:p>
        </w:tc>
        <w:tc>
          <w:tcPr>
            <w:tcW w:w="971" w:type="dxa"/>
            <w:vAlign w:val="bottom"/>
          </w:tcPr>
          <w:p w14:paraId="123E9CF3" w14:textId="4F0D39F2" w:rsidR="00C90A82" w:rsidRPr="00C90A82" w:rsidRDefault="008F0A1D"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16.1</w:t>
            </w:r>
          </w:p>
        </w:tc>
        <w:tc>
          <w:tcPr>
            <w:tcW w:w="777" w:type="dxa"/>
            <w:vAlign w:val="bottom"/>
          </w:tcPr>
          <w:p w14:paraId="0717D67F" w14:textId="330997D5" w:rsidR="00C90A82" w:rsidRPr="00C90A82" w:rsidRDefault="00C90A8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C90A82">
              <w:rPr>
                <w:color w:val="000000"/>
                <w:szCs w:val="20"/>
              </w:rPr>
              <w:t>18.2</w:t>
            </w:r>
          </w:p>
        </w:tc>
        <w:tc>
          <w:tcPr>
            <w:tcW w:w="1121" w:type="dxa"/>
            <w:vAlign w:val="bottom"/>
          </w:tcPr>
          <w:p w14:paraId="388C6CCD" w14:textId="1212A4CB" w:rsidR="00C90A82" w:rsidRPr="00C90A82" w:rsidRDefault="00C90A8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C90A82">
              <w:rPr>
                <w:color w:val="000000"/>
                <w:szCs w:val="20"/>
              </w:rPr>
              <w:t>63.7</w:t>
            </w:r>
          </w:p>
        </w:tc>
        <w:tc>
          <w:tcPr>
            <w:tcW w:w="1121" w:type="dxa"/>
            <w:vAlign w:val="bottom"/>
          </w:tcPr>
          <w:p w14:paraId="7E36C3D1" w14:textId="7048AE20" w:rsidR="00C90A82" w:rsidRPr="00C90A82" w:rsidRDefault="00C90A8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C90A82">
              <w:rPr>
                <w:color w:val="000000"/>
                <w:szCs w:val="20"/>
              </w:rPr>
              <w:t>54.9</w:t>
            </w:r>
          </w:p>
        </w:tc>
        <w:tc>
          <w:tcPr>
            <w:tcW w:w="1234" w:type="dxa"/>
            <w:vAlign w:val="bottom"/>
          </w:tcPr>
          <w:p w14:paraId="160336D8" w14:textId="2F4CEC2D" w:rsidR="00C90A82" w:rsidRPr="00C90A82" w:rsidRDefault="00C90A8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C90A82">
              <w:rPr>
                <w:color w:val="000000"/>
                <w:szCs w:val="20"/>
              </w:rPr>
              <w:t>0.0</w:t>
            </w:r>
          </w:p>
        </w:tc>
        <w:tc>
          <w:tcPr>
            <w:tcW w:w="1234" w:type="dxa"/>
            <w:vAlign w:val="bottom"/>
          </w:tcPr>
          <w:p w14:paraId="145BB125" w14:textId="350D3937" w:rsidR="00C90A82" w:rsidRPr="00C90A82" w:rsidRDefault="00C90A8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C90A82">
              <w:rPr>
                <w:color w:val="000000"/>
                <w:szCs w:val="20"/>
              </w:rPr>
              <w:t>0.0</w:t>
            </w:r>
          </w:p>
        </w:tc>
        <w:tc>
          <w:tcPr>
            <w:tcW w:w="1162" w:type="dxa"/>
            <w:gridSpan w:val="2"/>
            <w:vAlign w:val="bottom"/>
          </w:tcPr>
          <w:p w14:paraId="1CA7A685" w14:textId="5758B5AA" w:rsidR="00C90A82" w:rsidRPr="00C90A82" w:rsidRDefault="00C90A8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C90A82">
              <w:rPr>
                <w:color w:val="000000"/>
                <w:szCs w:val="20"/>
              </w:rPr>
              <w:t>79.8</w:t>
            </w:r>
          </w:p>
        </w:tc>
        <w:tc>
          <w:tcPr>
            <w:tcW w:w="1034" w:type="dxa"/>
            <w:vAlign w:val="bottom"/>
          </w:tcPr>
          <w:p w14:paraId="66ABFA21" w14:textId="013E2DED" w:rsidR="00C90A82" w:rsidRPr="00C90A82" w:rsidRDefault="00C90A8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C90A82">
              <w:rPr>
                <w:color w:val="000000"/>
                <w:szCs w:val="20"/>
              </w:rPr>
              <w:t>73.1</w:t>
            </w:r>
          </w:p>
        </w:tc>
        <w:tc>
          <w:tcPr>
            <w:tcW w:w="1364" w:type="dxa"/>
            <w:gridSpan w:val="3"/>
            <w:vAlign w:val="bottom"/>
          </w:tcPr>
          <w:p w14:paraId="6EA7BE92" w14:textId="35304FD0" w:rsidR="00C90A82" w:rsidRPr="00C90A82" w:rsidRDefault="00EA3EE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83.4</w:t>
            </w:r>
          </w:p>
        </w:tc>
        <w:tc>
          <w:tcPr>
            <w:tcW w:w="1605" w:type="dxa"/>
            <w:vAlign w:val="bottom"/>
          </w:tcPr>
          <w:p w14:paraId="3446C72C" w14:textId="18E67D0D" w:rsidR="00C90A82" w:rsidRPr="00C90A82" w:rsidRDefault="00C90A8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C90A82">
              <w:rPr>
                <w:color w:val="000000"/>
                <w:szCs w:val="20"/>
              </w:rPr>
              <w:t>No</w:t>
            </w:r>
          </w:p>
        </w:tc>
      </w:tr>
      <w:tr w:rsidR="004E28CB" w:rsidRPr="004E28CB" w14:paraId="105977C9" w14:textId="77777777" w:rsidTr="00115EA1">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3A982485" w14:textId="24650544" w:rsidR="006B2889" w:rsidRPr="004E28CB" w:rsidRDefault="00F15553" w:rsidP="006B2889">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lastRenderedPageBreak/>
              <w:t>NSW</w:t>
            </w:r>
          </w:p>
        </w:tc>
        <w:tc>
          <w:tcPr>
            <w:tcW w:w="1708" w:type="dxa"/>
            <w:vAlign w:val="bottom"/>
          </w:tcPr>
          <w:p w14:paraId="79BDE6F1" w14:textId="3264338C" w:rsidR="006B2889" w:rsidRPr="004E28CB" w:rsidRDefault="006B2889"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Warrumbungle Basalt</w:t>
            </w:r>
          </w:p>
        </w:tc>
        <w:tc>
          <w:tcPr>
            <w:tcW w:w="843" w:type="dxa"/>
            <w:vAlign w:val="bottom"/>
          </w:tcPr>
          <w:p w14:paraId="0551A996" w14:textId="491A3DF4" w:rsidR="006B2889" w:rsidRPr="004E28CB" w:rsidRDefault="006B2889"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GS49</w:t>
            </w:r>
          </w:p>
        </w:tc>
        <w:tc>
          <w:tcPr>
            <w:tcW w:w="851" w:type="dxa"/>
            <w:vAlign w:val="bottom"/>
          </w:tcPr>
          <w:p w14:paraId="28E380B0" w14:textId="0EC7870B" w:rsidR="006B2889" w:rsidRPr="004E28CB" w:rsidRDefault="006B2889"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0.6</w:t>
            </w:r>
          </w:p>
        </w:tc>
        <w:tc>
          <w:tcPr>
            <w:tcW w:w="971" w:type="dxa"/>
            <w:vAlign w:val="bottom"/>
          </w:tcPr>
          <w:p w14:paraId="3ACCA552" w14:textId="17947CD4" w:rsidR="006B2889" w:rsidRPr="004E28CB" w:rsidRDefault="006B2889"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0.6</w:t>
            </w:r>
          </w:p>
        </w:tc>
        <w:tc>
          <w:tcPr>
            <w:tcW w:w="777" w:type="dxa"/>
            <w:vAlign w:val="bottom"/>
          </w:tcPr>
          <w:p w14:paraId="57EF1C45" w14:textId="36857D99" w:rsidR="006B2889" w:rsidRPr="004E28CB" w:rsidRDefault="006B2889"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0.6</w:t>
            </w:r>
          </w:p>
        </w:tc>
        <w:tc>
          <w:tcPr>
            <w:tcW w:w="1121" w:type="dxa"/>
            <w:vAlign w:val="bottom"/>
          </w:tcPr>
          <w:p w14:paraId="0B1C68F9" w14:textId="3A303358" w:rsidR="006B2889" w:rsidRPr="004E28CB" w:rsidRDefault="006B2889"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2.2</w:t>
            </w:r>
          </w:p>
        </w:tc>
        <w:tc>
          <w:tcPr>
            <w:tcW w:w="1121" w:type="dxa"/>
            <w:vAlign w:val="bottom"/>
          </w:tcPr>
          <w:p w14:paraId="5BF3CD21" w14:textId="662E8BDC" w:rsidR="006B2889" w:rsidRPr="004E28CB" w:rsidRDefault="006B2889"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2.2</w:t>
            </w:r>
          </w:p>
        </w:tc>
        <w:tc>
          <w:tcPr>
            <w:tcW w:w="1234" w:type="dxa"/>
            <w:vAlign w:val="bottom"/>
          </w:tcPr>
          <w:p w14:paraId="33115F6E" w14:textId="22B86F69" w:rsidR="006B2889" w:rsidRPr="004E28CB" w:rsidRDefault="006B2889"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3C86BCC7" w14:textId="1896C59F" w:rsidR="006B2889" w:rsidRPr="004E28CB" w:rsidRDefault="006B2889"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1804F284" w14:textId="6B281A42" w:rsidR="006B2889" w:rsidRPr="004E28CB" w:rsidRDefault="006B2889"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2.8</w:t>
            </w:r>
          </w:p>
        </w:tc>
        <w:tc>
          <w:tcPr>
            <w:tcW w:w="1034" w:type="dxa"/>
            <w:vAlign w:val="bottom"/>
          </w:tcPr>
          <w:p w14:paraId="10D86BBA" w14:textId="7C844A56" w:rsidR="006B2889" w:rsidRPr="004E28CB" w:rsidRDefault="006B2889"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2.8</w:t>
            </w:r>
          </w:p>
        </w:tc>
        <w:tc>
          <w:tcPr>
            <w:tcW w:w="1364" w:type="dxa"/>
            <w:gridSpan w:val="3"/>
            <w:vAlign w:val="bottom"/>
          </w:tcPr>
          <w:p w14:paraId="59A973C5" w14:textId="7A24C8E3" w:rsidR="006B2889" w:rsidRPr="004E28CB" w:rsidRDefault="006B2889"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2.9</w:t>
            </w:r>
          </w:p>
        </w:tc>
        <w:tc>
          <w:tcPr>
            <w:tcW w:w="1605" w:type="dxa"/>
            <w:vAlign w:val="bottom"/>
          </w:tcPr>
          <w:p w14:paraId="54CB250E" w14:textId="703BB236" w:rsidR="006B2889" w:rsidRPr="004E28CB" w:rsidRDefault="006B2889"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No</w:t>
            </w:r>
          </w:p>
        </w:tc>
      </w:tr>
      <w:tr w:rsidR="00E904D8" w:rsidRPr="004E28CB" w14:paraId="48EA0D39" w14:textId="77777777" w:rsidTr="00115E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5AD93F6D" w14:textId="57E0D9B4" w:rsidR="00731EE8" w:rsidRPr="004E28CB" w:rsidRDefault="00F15553" w:rsidP="00731EE8">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NSW</w:t>
            </w:r>
          </w:p>
        </w:tc>
        <w:tc>
          <w:tcPr>
            <w:tcW w:w="1708" w:type="dxa"/>
            <w:vAlign w:val="bottom"/>
          </w:tcPr>
          <w:p w14:paraId="5B630DDD" w14:textId="45CB304A" w:rsidR="00731EE8" w:rsidRPr="004E28CB" w:rsidRDefault="00731EE8"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Western Porous Rock</w:t>
            </w:r>
          </w:p>
        </w:tc>
        <w:tc>
          <w:tcPr>
            <w:tcW w:w="843" w:type="dxa"/>
            <w:vAlign w:val="bottom"/>
          </w:tcPr>
          <w:p w14:paraId="0217CC41" w14:textId="1F0867D8" w:rsidR="00731EE8" w:rsidRPr="004E28CB" w:rsidRDefault="00731EE8"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GS50</w:t>
            </w:r>
          </w:p>
        </w:tc>
        <w:tc>
          <w:tcPr>
            <w:tcW w:w="851" w:type="dxa"/>
            <w:vAlign w:val="bottom"/>
          </w:tcPr>
          <w:p w14:paraId="66037B7B" w14:textId="20849599" w:rsidR="00731EE8" w:rsidRPr="004E28CB" w:rsidRDefault="00731EE8"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226.0</w:t>
            </w:r>
          </w:p>
        </w:tc>
        <w:tc>
          <w:tcPr>
            <w:tcW w:w="971" w:type="dxa"/>
            <w:vAlign w:val="bottom"/>
          </w:tcPr>
          <w:p w14:paraId="2EA4FB6C" w14:textId="196BD70A" w:rsidR="00731EE8" w:rsidRPr="004E28CB" w:rsidRDefault="00731EE8"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226.0</w:t>
            </w:r>
          </w:p>
        </w:tc>
        <w:tc>
          <w:tcPr>
            <w:tcW w:w="777" w:type="dxa"/>
            <w:vAlign w:val="bottom"/>
          </w:tcPr>
          <w:p w14:paraId="0A4E31A2" w14:textId="592566E9" w:rsidR="00731EE8" w:rsidRPr="004E28CB" w:rsidRDefault="00731EE8"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32.0</w:t>
            </w:r>
          </w:p>
        </w:tc>
        <w:tc>
          <w:tcPr>
            <w:tcW w:w="1121" w:type="dxa"/>
            <w:vAlign w:val="bottom"/>
          </w:tcPr>
          <w:p w14:paraId="74D2CDB1" w14:textId="0AE9CF0A" w:rsidR="00731EE8" w:rsidRPr="004E28CB" w:rsidRDefault="00731EE8"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904.0</w:t>
            </w:r>
          </w:p>
        </w:tc>
        <w:tc>
          <w:tcPr>
            <w:tcW w:w="1121" w:type="dxa"/>
            <w:vAlign w:val="bottom"/>
          </w:tcPr>
          <w:p w14:paraId="562A0832" w14:textId="46B876AB" w:rsidR="00731EE8" w:rsidRPr="004E28CB" w:rsidRDefault="00731EE8"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130.1</w:t>
            </w:r>
          </w:p>
        </w:tc>
        <w:tc>
          <w:tcPr>
            <w:tcW w:w="1234" w:type="dxa"/>
            <w:vAlign w:val="bottom"/>
          </w:tcPr>
          <w:p w14:paraId="25893A9C" w14:textId="2DAD5544" w:rsidR="00731EE8" w:rsidRPr="004E28CB" w:rsidRDefault="00731EE8"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1C9A4159" w14:textId="6DACCEB1" w:rsidR="00731EE8" w:rsidRPr="004E28CB" w:rsidRDefault="00731EE8"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64C9C288" w14:textId="198256F6" w:rsidR="00731EE8" w:rsidRPr="004E28CB" w:rsidRDefault="00731EE8"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1130.0</w:t>
            </w:r>
          </w:p>
        </w:tc>
        <w:tc>
          <w:tcPr>
            <w:tcW w:w="1034" w:type="dxa"/>
            <w:vAlign w:val="bottom"/>
          </w:tcPr>
          <w:p w14:paraId="2B38B506" w14:textId="384EDC2E" w:rsidR="00731EE8" w:rsidRPr="004E28CB" w:rsidRDefault="00731EE8"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162.0</w:t>
            </w:r>
          </w:p>
        </w:tc>
        <w:tc>
          <w:tcPr>
            <w:tcW w:w="1364" w:type="dxa"/>
            <w:gridSpan w:val="3"/>
            <w:vAlign w:val="bottom"/>
          </w:tcPr>
          <w:p w14:paraId="398563F2" w14:textId="4461AF1F" w:rsidR="00731EE8" w:rsidRPr="004E28CB" w:rsidRDefault="00731EE8"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1175.2</w:t>
            </w:r>
          </w:p>
        </w:tc>
        <w:tc>
          <w:tcPr>
            <w:tcW w:w="1605" w:type="dxa"/>
            <w:vAlign w:val="bottom"/>
          </w:tcPr>
          <w:p w14:paraId="4D5820AB" w14:textId="72880D01" w:rsidR="00731EE8" w:rsidRPr="004E28CB" w:rsidRDefault="00731EE8"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No</w:t>
            </w:r>
          </w:p>
        </w:tc>
      </w:tr>
      <w:tr w:rsidR="004E28CB" w:rsidRPr="004E28CB" w14:paraId="42D828C1" w14:textId="77777777" w:rsidTr="00115EA1">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1744041B" w14:textId="7B0B630B" w:rsidR="001221D7" w:rsidRPr="004E28CB" w:rsidRDefault="00F15553" w:rsidP="001221D7">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NSW</w:t>
            </w:r>
          </w:p>
        </w:tc>
        <w:tc>
          <w:tcPr>
            <w:tcW w:w="1708" w:type="dxa"/>
            <w:vAlign w:val="bottom"/>
          </w:tcPr>
          <w:p w14:paraId="275E47AB" w14:textId="770417C0" w:rsidR="001221D7" w:rsidRPr="004E28CB" w:rsidRDefault="001221D7"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Young Granite</w:t>
            </w:r>
          </w:p>
        </w:tc>
        <w:tc>
          <w:tcPr>
            <w:tcW w:w="843" w:type="dxa"/>
            <w:vAlign w:val="bottom"/>
          </w:tcPr>
          <w:p w14:paraId="66F02603" w14:textId="73101111" w:rsidR="001221D7" w:rsidRPr="004E28CB" w:rsidRDefault="001221D7"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GS51</w:t>
            </w:r>
          </w:p>
        </w:tc>
        <w:tc>
          <w:tcPr>
            <w:tcW w:w="851" w:type="dxa"/>
            <w:vAlign w:val="bottom"/>
          </w:tcPr>
          <w:p w14:paraId="25EF3874" w14:textId="4A6B9DCE" w:rsidR="001221D7" w:rsidRPr="004E28CB" w:rsidRDefault="001221D7"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7.1</w:t>
            </w:r>
          </w:p>
        </w:tc>
        <w:tc>
          <w:tcPr>
            <w:tcW w:w="971" w:type="dxa"/>
            <w:vAlign w:val="bottom"/>
          </w:tcPr>
          <w:p w14:paraId="65557B2D" w14:textId="1D91BF94" w:rsidR="001221D7" w:rsidRPr="004E28CB" w:rsidRDefault="001221D7"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7.1</w:t>
            </w:r>
          </w:p>
        </w:tc>
        <w:tc>
          <w:tcPr>
            <w:tcW w:w="777" w:type="dxa"/>
            <w:vAlign w:val="bottom"/>
          </w:tcPr>
          <w:p w14:paraId="1B6360AA" w14:textId="7B6F5F23" w:rsidR="001221D7" w:rsidRPr="004E28CB" w:rsidRDefault="001221D7"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2.0</w:t>
            </w:r>
          </w:p>
        </w:tc>
        <w:tc>
          <w:tcPr>
            <w:tcW w:w="1121" w:type="dxa"/>
            <w:vAlign w:val="bottom"/>
          </w:tcPr>
          <w:p w14:paraId="4E802223" w14:textId="7AA1C1C4" w:rsidR="001221D7" w:rsidRPr="004E28CB" w:rsidRDefault="001221D7"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28.4</w:t>
            </w:r>
          </w:p>
        </w:tc>
        <w:tc>
          <w:tcPr>
            <w:tcW w:w="1121" w:type="dxa"/>
            <w:vAlign w:val="bottom"/>
          </w:tcPr>
          <w:p w14:paraId="24AA8464" w14:textId="2A936661" w:rsidR="001221D7" w:rsidRPr="004E28CB" w:rsidRDefault="001221D7"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6.8</w:t>
            </w:r>
          </w:p>
        </w:tc>
        <w:tc>
          <w:tcPr>
            <w:tcW w:w="1234" w:type="dxa"/>
            <w:vAlign w:val="bottom"/>
          </w:tcPr>
          <w:p w14:paraId="3CA5A47B" w14:textId="73CB598C" w:rsidR="001221D7" w:rsidRPr="004E28CB" w:rsidRDefault="001221D7"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39A3C658" w14:textId="5B37468B" w:rsidR="001221D7" w:rsidRPr="004E28CB" w:rsidRDefault="001221D7"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5AFCF8A1" w14:textId="729A37E8" w:rsidR="001221D7" w:rsidRPr="004E28CB" w:rsidRDefault="001221D7"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35.6</w:t>
            </w:r>
          </w:p>
        </w:tc>
        <w:tc>
          <w:tcPr>
            <w:tcW w:w="1034" w:type="dxa"/>
            <w:vAlign w:val="bottom"/>
          </w:tcPr>
          <w:p w14:paraId="35DB3073" w14:textId="215FB153" w:rsidR="001221D7" w:rsidRPr="004E28CB" w:rsidRDefault="001221D7"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8.8</w:t>
            </w:r>
          </w:p>
        </w:tc>
        <w:tc>
          <w:tcPr>
            <w:tcW w:w="1364" w:type="dxa"/>
            <w:gridSpan w:val="3"/>
            <w:vAlign w:val="bottom"/>
          </w:tcPr>
          <w:p w14:paraId="34DE7E33" w14:textId="6F22824F" w:rsidR="001221D7" w:rsidRPr="004E28CB" w:rsidRDefault="001221D7"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37.0</w:t>
            </w:r>
          </w:p>
        </w:tc>
        <w:tc>
          <w:tcPr>
            <w:tcW w:w="1605" w:type="dxa"/>
            <w:vAlign w:val="bottom"/>
          </w:tcPr>
          <w:p w14:paraId="569C3CDF" w14:textId="19EE03A4" w:rsidR="001221D7" w:rsidRPr="004E28CB" w:rsidRDefault="001221D7"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No</w:t>
            </w:r>
          </w:p>
        </w:tc>
      </w:tr>
      <w:tr w:rsidR="00E904D8" w:rsidRPr="004E28CB" w14:paraId="4098FBDA" w14:textId="77777777" w:rsidTr="00115E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4520170D" w14:textId="61E6239E" w:rsidR="007620CC" w:rsidRPr="004E28CB" w:rsidRDefault="007620CC" w:rsidP="007620CC">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QLD</w:t>
            </w:r>
          </w:p>
        </w:tc>
        <w:tc>
          <w:tcPr>
            <w:tcW w:w="1708" w:type="dxa"/>
            <w:vAlign w:val="bottom"/>
          </w:tcPr>
          <w:p w14:paraId="7B211B92" w14:textId="50FB4AA3" w:rsidR="007620CC" w:rsidRPr="004E28CB" w:rsidRDefault="007620CC"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Condamine Fractured Rock</w:t>
            </w:r>
          </w:p>
        </w:tc>
        <w:tc>
          <w:tcPr>
            <w:tcW w:w="843" w:type="dxa"/>
            <w:vAlign w:val="bottom"/>
          </w:tcPr>
          <w:p w14:paraId="402BA5AD" w14:textId="536B2468" w:rsidR="007620CC" w:rsidRPr="004E28CB" w:rsidRDefault="007620CC"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GS53</w:t>
            </w:r>
          </w:p>
        </w:tc>
        <w:tc>
          <w:tcPr>
            <w:tcW w:w="851" w:type="dxa"/>
            <w:vAlign w:val="bottom"/>
          </w:tcPr>
          <w:p w14:paraId="657FBE94" w14:textId="506097C6" w:rsidR="007620CC" w:rsidRPr="004E28CB" w:rsidRDefault="007620CC"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1.5</w:t>
            </w:r>
          </w:p>
        </w:tc>
        <w:tc>
          <w:tcPr>
            <w:tcW w:w="971" w:type="dxa"/>
            <w:vAlign w:val="bottom"/>
          </w:tcPr>
          <w:p w14:paraId="70BF20B5" w14:textId="24AB79A6" w:rsidR="007620CC" w:rsidRPr="004E28CB" w:rsidRDefault="007620CC"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1.5</w:t>
            </w:r>
          </w:p>
        </w:tc>
        <w:tc>
          <w:tcPr>
            <w:tcW w:w="777" w:type="dxa"/>
            <w:vAlign w:val="bottom"/>
          </w:tcPr>
          <w:p w14:paraId="6F56C400" w14:textId="61668C4D" w:rsidR="007620CC" w:rsidRPr="004E28CB" w:rsidRDefault="007620CC"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0.7</w:t>
            </w:r>
          </w:p>
        </w:tc>
        <w:tc>
          <w:tcPr>
            <w:tcW w:w="1121" w:type="dxa"/>
            <w:vAlign w:val="bottom"/>
          </w:tcPr>
          <w:p w14:paraId="6EAA24C4" w14:textId="36214C40" w:rsidR="007620CC" w:rsidRPr="004E28CB" w:rsidRDefault="007620CC"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5.9</w:t>
            </w:r>
          </w:p>
        </w:tc>
        <w:tc>
          <w:tcPr>
            <w:tcW w:w="1121" w:type="dxa"/>
            <w:vAlign w:val="bottom"/>
          </w:tcPr>
          <w:p w14:paraId="10515B48" w14:textId="36770AC4" w:rsidR="007620CC" w:rsidRPr="004E28CB" w:rsidRDefault="007620CC"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2.7</w:t>
            </w:r>
          </w:p>
        </w:tc>
        <w:tc>
          <w:tcPr>
            <w:tcW w:w="1234" w:type="dxa"/>
            <w:vAlign w:val="bottom"/>
          </w:tcPr>
          <w:p w14:paraId="1C27982C" w14:textId="0FE4E10A" w:rsidR="007620CC" w:rsidRPr="004E28CB" w:rsidRDefault="007620CC"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3605A09C" w14:textId="5A99FC52" w:rsidR="007620CC" w:rsidRPr="004E28CB" w:rsidRDefault="007620CC"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10EF453C" w14:textId="6071BEC3" w:rsidR="007620CC" w:rsidRPr="004E28CB" w:rsidRDefault="007620CC"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7.4</w:t>
            </w:r>
          </w:p>
        </w:tc>
        <w:tc>
          <w:tcPr>
            <w:tcW w:w="1034" w:type="dxa"/>
            <w:vAlign w:val="bottom"/>
          </w:tcPr>
          <w:p w14:paraId="463FC9FD" w14:textId="06B02B0A" w:rsidR="007620CC" w:rsidRPr="004E28CB" w:rsidRDefault="007620CC"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3.4</w:t>
            </w:r>
          </w:p>
        </w:tc>
        <w:tc>
          <w:tcPr>
            <w:tcW w:w="1364" w:type="dxa"/>
            <w:gridSpan w:val="3"/>
            <w:vAlign w:val="bottom"/>
          </w:tcPr>
          <w:p w14:paraId="1834DBC9" w14:textId="2F6FDD33" w:rsidR="007620CC" w:rsidRPr="004E28CB" w:rsidRDefault="007620CC"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7.7</w:t>
            </w:r>
          </w:p>
        </w:tc>
        <w:tc>
          <w:tcPr>
            <w:tcW w:w="1605" w:type="dxa"/>
            <w:vAlign w:val="bottom"/>
          </w:tcPr>
          <w:p w14:paraId="3EE05E93" w14:textId="7185BAB3" w:rsidR="007620CC" w:rsidRPr="004E28CB" w:rsidRDefault="007620CC"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No</w:t>
            </w:r>
          </w:p>
        </w:tc>
      </w:tr>
      <w:tr w:rsidR="004E28CB" w:rsidRPr="004E28CB" w14:paraId="27005FBC" w14:textId="77777777" w:rsidTr="00115EA1">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09CEF4EF" w14:textId="5910F2B6" w:rsidR="000E0FE1" w:rsidRPr="004E28CB" w:rsidRDefault="008B3252" w:rsidP="000E0FE1">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QLD</w:t>
            </w:r>
          </w:p>
        </w:tc>
        <w:tc>
          <w:tcPr>
            <w:tcW w:w="1708" w:type="dxa"/>
            <w:vAlign w:val="bottom"/>
          </w:tcPr>
          <w:p w14:paraId="639725D3" w14:textId="5A0C01DA" w:rsidR="000E0FE1" w:rsidRPr="004E28CB" w:rsidRDefault="000E0FE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Queensland Border Rivers Alluvium</w:t>
            </w:r>
          </w:p>
        </w:tc>
        <w:tc>
          <w:tcPr>
            <w:tcW w:w="843" w:type="dxa"/>
            <w:vAlign w:val="bottom"/>
          </w:tcPr>
          <w:p w14:paraId="389307EA" w14:textId="19AFF5E5" w:rsidR="000E0FE1" w:rsidRPr="004E28CB" w:rsidRDefault="000E0FE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GS54</w:t>
            </w:r>
          </w:p>
        </w:tc>
        <w:tc>
          <w:tcPr>
            <w:tcW w:w="851" w:type="dxa"/>
            <w:vAlign w:val="bottom"/>
          </w:tcPr>
          <w:p w14:paraId="7BA363F0" w14:textId="0E7902AC" w:rsidR="000E0FE1" w:rsidRPr="004E28CB" w:rsidRDefault="000E0FE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14.0</w:t>
            </w:r>
          </w:p>
        </w:tc>
        <w:tc>
          <w:tcPr>
            <w:tcW w:w="971" w:type="dxa"/>
            <w:vAlign w:val="bottom"/>
          </w:tcPr>
          <w:p w14:paraId="463DD66A" w14:textId="536847F7" w:rsidR="000E0FE1" w:rsidRPr="004E28CB" w:rsidRDefault="000E0FE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14.0</w:t>
            </w:r>
          </w:p>
        </w:tc>
        <w:tc>
          <w:tcPr>
            <w:tcW w:w="777" w:type="dxa"/>
            <w:vAlign w:val="bottom"/>
          </w:tcPr>
          <w:p w14:paraId="4D576D75" w14:textId="629DB382" w:rsidR="000E0FE1" w:rsidRPr="004E28CB" w:rsidRDefault="000E0FE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11.5</w:t>
            </w:r>
          </w:p>
        </w:tc>
        <w:tc>
          <w:tcPr>
            <w:tcW w:w="1121" w:type="dxa"/>
            <w:vAlign w:val="bottom"/>
          </w:tcPr>
          <w:p w14:paraId="2E0F1040" w14:textId="56FC67D4" w:rsidR="000E0FE1" w:rsidRPr="004E28CB" w:rsidRDefault="000E0FE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56.0</w:t>
            </w:r>
          </w:p>
        </w:tc>
        <w:tc>
          <w:tcPr>
            <w:tcW w:w="1121" w:type="dxa"/>
            <w:vAlign w:val="bottom"/>
          </w:tcPr>
          <w:p w14:paraId="12EF2C90" w14:textId="2C28158C" w:rsidR="000E0FE1" w:rsidRPr="004E28CB" w:rsidRDefault="000E0FE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43.2</w:t>
            </w:r>
          </w:p>
        </w:tc>
        <w:tc>
          <w:tcPr>
            <w:tcW w:w="1234" w:type="dxa"/>
            <w:vAlign w:val="bottom"/>
          </w:tcPr>
          <w:p w14:paraId="7C8D4476" w14:textId="18CF540F" w:rsidR="000E0FE1" w:rsidRPr="004E28CB" w:rsidRDefault="000E0FE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52884CE4" w14:textId="64D87FC4" w:rsidR="000E0FE1" w:rsidRPr="004E28CB" w:rsidRDefault="000E0FE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51FAA191" w14:textId="60AA6482" w:rsidR="000E0FE1" w:rsidRPr="004E28CB" w:rsidRDefault="000E0FE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70.0</w:t>
            </w:r>
          </w:p>
        </w:tc>
        <w:tc>
          <w:tcPr>
            <w:tcW w:w="1034" w:type="dxa"/>
            <w:vAlign w:val="bottom"/>
          </w:tcPr>
          <w:p w14:paraId="1715103E" w14:textId="03DEB50F" w:rsidR="000E0FE1" w:rsidRPr="004E28CB" w:rsidRDefault="000E0FE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54.7</w:t>
            </w:r>
          </w:p>
        </w:tc>
        <w:tc>
          <w:tcPr>
            <w:tcW w:w="1364" w:type="dxa"/>
            <w:gridSpan w:val="3"/>
            <w:vAlign w:val="bottom"/>
          </w:tcPr>
          <w:p w14:paraId="1E1CE8D3" w14:textId="11D4AE29" w:rsidR="000E0FE1" w:rsidRPr="004E28CB" w:rsidRDefault="000E0FE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72.8</w:t>
            </w:r>
          </w:p>
        </w:tc>
        <w:tc>
          <w:tcPr>
            <w:tcW w:w="1605" w:type="dxa"/>
            <w:vAlign w:val="bottom"/>
          </w:tcPr>
          <w:p w14:paraId="561CB95F" w14:textId="272A06BB" w:rsidR="000E0FE1" w:rsidRPr="004E28CB" w:rsidRDefault="000E0FE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No</w:t>
            </w:r>
          </w:p>
        </w:tc>
      </w:tr>
      <w:tr w:rsidR="00E904D8" w:rsidRPr="004E28CB" w14:paraId="105CBF69" w14:textId="77777777" w:rsidTr="00115E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43983571" w14:textId="6C9E9C73" w:rsidR="00BC58D9" w:rsidRPr="004E28CB" w:rsidRDefault="008B3252" w:rsidP="00BC58D9">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QLD</w:t>
            </w:r>
          </w:p>
        </w:tc>
        <w:tc>
          <w:tcPr>
            <w:tcW w:w="1708" w:type="dxa"/>
            <w:vAlign w:val="bottom"/>
          </w:tcPr>
          <w:p w14:paraId="4147010C" w14:textId="7178044F" w:rsidR="00BC58D9" w:rsidRPr="004E28CB" w:rsidRDefault="00BC58D9"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Queensland Border Rivers Fractured Rock</w:t>
            </w:r>
          </w:p>
        </w:tc>
        <w:tc>
          <w:tcPr>
            <w:tcW w:w="843" w:type="dxa"/>
            <w:vAlign w:val="bottom"/>
          </w:tcPr>
          <w:p w14:paraId="5C0010C2" w14:textId="244A32A0" w:rsidR="00BC58D9" w:rsidRPr="004E28CB" w:rsidRDefault="00BC58D9"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GS55</w:t>
            </w:r>
          </w:p>
        </w:tc>
        <w:tc>
          <w:tcPr>
            <w:tcW w:w="851" w:type="dxa"/>
            <w:vAlign w:val="bottom"/>
          </w:tcPr>
          <w:p w14:paraId="098FD5CB" w14:textId="4D84FB91" w:rsidR="00BC58D9" w:rsidRPr="004E28CB" w:rsidRDefault="00BC58D9"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10.5</w:t>
            </w:r>
          </w:p>
        </w:tc>
        <w:tc>
          <w:tcPr>
            <w:tcW w:w="971" w:type="dxa"/>
            <w:vAlign w:val="bottom"/>
          </w:tcPr>
          <w:p w14:paraId="6E099520" w14:textId="01B3C28B" w:rsidR="00BC58D9" w:rsidRPr="004E28CB" w:rsidRDefault="00BC58D9"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10.5</w:t>
            </w:r>
          </w:p>
        </w:tc>
        <w:tc>
          <w:tcPr>
            <w:tcW w:w="777" w:type="dxa"/>
            <w:vAlign w:val="bottom"/>
          </w:tcPr>
          <w:p w14:paraId="00AAD84D" w14:textId="683B124E" w:rsidR="00BC58D9" w:rsidRPr="004E28CB" w:rsidRDefault="00BC58D9"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9.0</w:t>
            </w:r>
          </w:p>
        </w:tc>
        <w:tc>
          <w:tcPr>
            <w:tcW w:w="1121" w:type="dxa"/>
            <w:vAlign w:val="bottom"/>
          </w:tcPr>
          <w:p w14:paraId="3538B633" w14:textId="3D3A22F0" w:rsidR="00BC58D9" w:rsidRPr="004E28CB" w:rsidRDefault="00BC58D9"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42.0</w:t>
            </w:r>
          </w:p>
        </w:tc>
        <w:tc>
          <w:tcPr>
            <w:tcW w:w="1121" w:type="dxa"/>
            <w:vAlign w:val="bottom"/>
          </w:tcPr>
          <w:p w14:paraId="5BB28D28" w14:textId="7A5B318B" w:rsidR="00BC58D9" w:rsidRPr="004E28CB" w:rsidRDefault="00BC58D9"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36.1</w:t>
            </w:r>
          </w:p>
        </w:tc>
        <w:tc>
          <w:tcPr>
            <w:tcW w:w="1234" w:type="dxa"/>
            <w:vAlign w:val="bottom"/>
          </w:tcPr>
          <w:p w14:paraId="6BDE1993" w14:textId="178891F7" w:rsidR="00BC58D9" w:rsidRPr="004E28CB" w:rsidRDefault="00BC58D9"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4287FD0F" w14:textId="6D547CEE" w:rsidR="00BC58D9" w:rsidRPr="004E28CB" w:rsidRDefault="00BC58D9"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76040E93" w14:textId="5D49AC3F" w:rsidR="00BC58D9" w:rsidRPr="004E28CB" w:rsidRDefault="00BC58D9"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52.5</w:t>
            </w:r>
          </w:p>
        </w:tc>
        <w:tc>
          <w:tcPr>
            <w:tcW w:w="1034" w:type="dxa"/>
            <w:vAlign w:val="bottom"/>
          </w:tcPr>
          <w:p w14:paraId="14B00D59" w14:textId="6E61DB67" w:rsidR="00BC58D9" w:rsidRPr="004E28CB" w:rsidRDefault="00BC58D9"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45.1</w:t>
            </w:r>
          </w:p>
        </w:tc>
        <w:tc>
          <w:tcPr>
            <w:tcW w:w="1364" w:type="dxa"/>
            <w:gridSpan w:val="3"/>
            <w:vAlign w:val="bottom"/>
          </w:tcPr>
          <w:p w14:paraId="40FCD132" w14:textId="3B2AFB8D" w:rsidR="00BC58D9" w:rsidRPr="004E28CB" w:rsidRDefault="00BC58D9"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54.6</w:t>
            </w:r>
          </w:p>
        </w:tc>
        <w:tc>
          <w:tcPr>
            <w:tcW w:w="1605" w:type="dxa"/>
            <w:vAlign w:val="bottom"/>
          </w:tcPr>
          <w:p w14:paraId="3DF2380A" w14:textId="7B0110E2" w:rsidR="00BC58D9" w:rsidRPr="004E28CB" w:rsidRDefault="00BC58D9"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No</w:t>
            </w:r>
          </w:p>
        </w:tc>
      </w:tr>
      <w:tr w:rsidR="004E28CB" w:rsidRPr="004E28CB" w14:paraId="0830A15C" w14:textId="77777777" w:rsidTr="00115EA1">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1C8BCCBC" w14:textId="0C48D334" w:rsidR="00AC0B9A" w:rsidRPr="004E28CB" w:rsidRDefault="008B3252" w:rsidP="00AC0B9A">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QLD</w:t>
            </w:r>
          </w:p>
        </w:tc>
        <w:tc>
          <w:tcPr>
            <w:tcW w:w="1708" w:type="dxa"/>
            <w:vAlign w:val="bottom"/>
          </w:tcPr>
          <w:p w14:paraId="3A3A0B0F" w14:textId="32AFBD2D" w:rsidR="00AC0B9A" w:rsidRPr="004E28CB" w:rsidRDefault="00AC0B9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Queensland MDB: deep</w:t>
            </w:r>
          </w:p>
        </w:tc>
        <w:tc>
          <w:tcPr>
            <w:tcW w:w="843" w:type="dxa"/>
            <w:vAlign w:val="bottom"/>
          </w:tcPr>
          <w:p w14:paraId="5FC71238" w14:textId="1AF93F17" w:rsidR="00AC0B9A" w:rsidRPr="004E28CB" w:rsidRDefault="00AC0B9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GS56</w:t>
            </w:r>
          </w:p>
        </w:tc>
        <w:tc>
          <w:tcPr>
            <w:tcW w:w="851" w:type="dxa"/>
            <w:vAlign w:val="bottom"/>
          </w:tcPr>
          <w:p w14:paraId="7312CB07" w14:textId="66F623BA" w:rsidR="00AC0B9A" w:rsidRPr="004E28CB" w:rsidRDefault="00AC0B9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100.0</w:t>
            </w:r>
          </w:p>
        </w:tc>
        <w:tc>
          <w:tcPr>
            <w:tcW w:w="971" w:type="dxa"/>
            <w:vAlign w:val="bottom"/>
          </w:tcPr>
          <w:p w14:paraId="3303BFD5" w14:textId="0BC596A0" w:rsidR="00AC0B9A" w:rsidRPr="004E28CB" w:rsidRDefault="00AC0B9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100.0</w:t>
            </w:r>
          </w:p>
        </w:tc>
        <w:tc>
          <w:tcPr>
            <w:tcW w:w="777" w:type="dxa"/>
            <w:vAlign w:val="bottom"/>
          </w:tcPr>
          <w:p w14:paraId="31E3249F" w14:textId="36303BDC" w:rsidR="00AC0B9A" w:rsidRPr="004E28CB" w:rsidRDefault="00AC0B9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121" w:type="dxa"/>
            <w:vAlign w:val="bottom"/>
          </w:tcPr>
          <w:p w14:paraId="7200C438" w14:textId="7375488D" w:rsidR="00AC0B9A" w:rsidRPr="004E28CB" w:rsidRDefault="00AC0B9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400.0</w:t>
            </w:r>
          </w:p>
        </w:tc>
        <w:tc>
          <w:tcPr>
            <w:tcW w:w="1121" w:type="dxa"/>
            <w:vAlign w:val="bottom"/>
          </w:tcPr>
          <w:p w14:paraId="22749E18" w14:textId="756D3D0F" w:rsidR="00AC0B9A" w:rsidRPr="004E28CB" w:rsidRDefault="00AC0B9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6EE1BB09" w14:textId="7ACC61C1" w:rsidR="00AC0B9A" w:rsidRPr="004E28CB" w:rsidRDefault="00AC0B9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64D12A93" w14:textId="0DCF2C51" w:rsidR="00AC0B9A" w:rsidRPr="004E28CB" w:rsidRDefault="00AC0B9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475B2F3B" w14:textId="5FE3D4FF" w:rsidR="00AC0B9A" w:rsidRPr="004E28CB" w:rsidRDefault="00AC0B9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500.0</w:t>
            </w:r>
          </w:p>
        </w:tc>
        <w:tc>
          <w:tcPr>
            <w:tcW w:w="1034" w:type="dxa"/>
            <w:vAlign w:val="bottom"/>
          </w:tcPr>
          <w:p w14:paraId="102FBE82" w14:textId="426F35F8" w:rsidR="00AC0B9A" w:rsidRPr="004E28CB" w:rsidRDefault="00AC0B9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364" w:type="dxa"/>
            <w:gridSpan w:val="3"/>
            <w:vAlign w:val="bottom"/>
          </w:tcPr>
          <w:p w14:paraId="12AC2D10" w14:textId="3F76442F" w:rsidR="00AC0B9A" w:rsidRPr="004E28CB" w:rsidRDefault="00AC0B9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520.0</w:t>
            </w:r>
          </w:p>
        </w:tc>
        <w:tc>
          <w:tcPr>
            <w:tcW w:w="1605" w:type="dxa"/>
            <w:vAlign w:val="bottom"/>
          </w:tcPr>
          <w:p w14:paraId="72497C40" w14:textId="372297CA" w:rsidR="00AC0B9A" w:rsidRPr="004E28CB" w:rsidRDefault="00AC0B9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No</w:t>
            </w:r>
          </w:p>
        </w:tc>
      </w:tr>
      <w:tr w:rsidR="00E904D8" w:rsidRPr="004E28CB" w14:paraId="3B94B254" w14:textId="77777777" w:rsidTr="00115E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79D6DD0D" w14:textId="501BEC9D" w:rsidR="00E814A3" w:rsidRPr="004E28CB" w:rsidRDefault="008B3252" w:rsidP="00E814A3">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QLD</w:t>
            </w:r>
          </w:p>
        </w:tc>
        <w:tc>
          <w:tcPr>
            <w:tcW w:w="1708" w:type="dxa"/>
            <w:vAlign w:val="bottom"/>
          </w:tcPr>
          <w:p w14:paraId="42EB2260" w14:textId="0D737CF3" w:rsidR="00E814A3" w:rsidRPr="004E28CB" w:rsidRDefault="00E814A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Sediments above the Great Artesian Basin: Border Rivers-Moonie</w:t>
            </w:r>
          </w:p>
        </w:tc>
        <w:tc>
          <w:tcPr>
            <w:tcW w:w="843" w:type="dxa"/>
            <w:vAlign w:val="bottom"/>
          </w:tcPr>
          <w:p w14:paraId="51929105" w14:textId="228D36DE" w:rsidR="00E814A3" w:rsidRPr="004E28CB" w:rsidRDefault="00E814A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GS57</w:t>
            </w:r>
          </w:p>
        </w:tc>
        <w:tc>
          <w:tcPr>
            <w:tcW w:w="851" w:type="dxa"/>
            <w:vAlign w:val="bottom"/>
          </w:tcPr>
          <w:p w14:paraId="7ED245FA" w14:textId="1E7EAC28" w:rsidR="00E814A3" w:rsidRPr="004E28CB" w:rsidRDefault="00E814A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46.9</w:t>
            </w:r>
          </w:p>
        </w:tc>
        <w:tc>
          <w:tcPr>
            <w:tcW w:w="971" w:type="dxa"/>
            <w:vAlign w:val="bottom"/>
          </w:tcPr>
          <w:p w14:paraId="63D38DDD" w14:textId="7C9F3546" w:rsidR="00E814A3" w:rsidRPr="004E28CB" w:rsidRDefault="00E814A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46.9</w:t>
            </w:r>
          </w:p>
        </w:tc>
        <w:tc>
          <w:tcPr>
            <w:tcW w:w="777" w:type="dxa"/>
            <w:vAlign w:val="bottom"/>
          </w:tcPr>
          <w:p w14:paraId="45F655D7" w14:textId="02CBA7DC" w:rsidR="00E814A3" w:rsidRPr="004E28CB" w:rsidRDefault="00E814A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0.5</w:t>
            </w:r>
          </w:p>
        </w:tc>
        <w:tc>
          <w:tcPr>
            <w:tcW w:w="1121" w:type="dxa"/>
            <w:vAlign w:val="bottom"/>
          </w:tcPr>
          <w:p w14:paraId="1647EAEE" w14:textId="59F345EA" w:rsidR="00E814A3" w:rsidRPr="004E28CB" w:rsidRDefault="00E814A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187.6</w:t>
            </w:r>
          </w:p>
        </w:tc>
        <w:tc>
          <w:tcPr>
            <w:tcW w:w="1121" w:type="dxa"/>
            <w:vAlign w:val="bottom"/>
          </w:tcPr>
          <w:p w14:paraId="600C6D6C" w14:textId="64CDF52E" w:rsidR="00E814A3" w:rsidRPr="004E28CB" w:rsidRDefault="00E814A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2.1</w:t>
            </w:r>
          </w:p>
        </w:tc>
        <w:tc>
          <w:tcPr>
            <w:tcW w:w="1234" w:type="dxa"/>
            <w:vAlign w:val="bottom"/>
          </w:tcPr>
          <w:p w14:paraId="57CEB494" w14:textId="4C43C804" w:rsidR="00E814A3" w:rsidRPr="004E28CB" w:rsidRDefault="00E814A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2FF284A2" w14:textId="5F5D2747" w:rsidR="00E814A3" w:rsidRPr="004E28CB" w:rsidRDefault="00E814A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05D6FFCA" w14:textId="13B8C93B" w:rsidR="00E814A3" w:rsidRPr="004E28CB" w:rsidRDefault="00E814A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234.5</w:t>
            </w:r>
          </w:p>
        </w:tc>
        <w:tc>
          <w:tcPr>
            <w:tcW w:w="1034" w:type="dxa"/>
            <w:vAlign w:val="bottom"/>
          </w:tcPr>
          <w:p w14:paraId="241FA00E" w14:textId="330C8845" w:rsidR="00E814A3" w:rsidRPr="004E28CB" w:rsidRDefault="00E814A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2.6</w:t>
            </w:r>
          </w:p>
        </w:tc>
        <w:tc>
          <w:tcPr>
            <w:tcW w:w="1364" w:type="dxa"/>
            <w:gridSpan w:val="3"/>
            <w:vAlign w:val="bottom"/>
          </w:tcPr>
          <w:p w14:paraId="6C4C1159" w14:textId="02D47C83" w:rsidR="00E814A3" w:rsidRPr="004E28CB" w:rsidRDefault="00E814A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243.9</w:t>
            </w:r>
          </w:p>
        </w:tc>
        <w:tc>
          <w:tcPr>
            <w:tcW w:w="1605" w:type="dxa"/>
            <w:vAlign w:val="bottom"/>
          </w:tcPr>
          <w:p w14:paraId="3D42827C" w14:textId="2CB95EF8" w:rsidR="00E814A3" w:rsidRPr="004E28CB" w:rsidRDefault="00E814A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No</w:t>
            </w:r>
          </w:p>
        </w:tc>
      </w:tr>
      <w:tr w:rsidR="004E28CB" w:rsidRPr="004E28CB" w14:paraId="13D137BB" w14:textId="77777777" w:rsidTr="00115EA1">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0F4CEDCF" w14:textId="73A07262" w:rsidR="00394ADE" w:rsidRPr="004E28CB" w:rsidRDefault="008B3252" w:rsidP="00394ADE">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QLD</w:t>
            </w:r>
          </w:p>
        </w:tc>
        <w:tc>
          <w:tcPr>
            <w:tcW w:w="1708" w:type="dxa"/>
            <w:vAlign w:val="bottom"/>
          </w:tcPr>
          <w:p w14:paraId="154BE8FB" w14:textId="298A9A67" w:rsidR="00394ADE" w:rsidRPr="004E28CB" w:rsidRDefault="00394ADE"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Sediments above the Great Artesian Basin: Condamine–Balonne</w:t>
            </w:r>
          </w:p>
        </w:tc>
        <w:tc>
          <w:tcPr>
            <w:tcW w:w="843" w:type="dxa"/>
            <w:vAlign w:val="bottom"/>
          </w:tcPr>
          <w:p w14:paraId="1C35A34D" w14:textId="455229B9" w:rsidR="00394ADE" w:rsidRPr="004E28CB" w:rsidRDefault="00394ADE"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GS58</w:t>
            </w:r>
          </w:p>
        </w:tc>
        <w:tc>
          <w:tcPr>
            <w:tcW w:w="851" w:type="dxa"/>
            <w:vAlign w:val="bottom"/>
          </w:tcPr>
          <w:p w14:paraId="50C68AB4" w14:textId="7C1782E8" w:rsidR="00394ADE" w:rsidRPr="004E28CB" w:rsidRDefault="00394ADE"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18.1</w:t>
            </w:r>
          </w:p>
        </w:tc>
        <w:tc>
          <w:tcPr>
            <w:tcW w:w="971" w:type="dxa"/>
            <w:vAlign w:val="bottom"/>
          </w:tcPr>
          <w:p w14:paraId="6BC3EB09" w14:textId="2D060348" w:rsidR="00394ADE" w:rsidRPr="004E28CB" w:rsidRDefault="00394ADE"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18.1</w:t>
            </w:r>
          </w:p>
        </w:tc>
        <w:tc>
          <w:tcPr>
            <w:tcW w:w="777" w:type="dxa"/>
            <w:vAlign w:val="bottom"/>
          </w:tcPr>
          <w:p w14:paraId="561CBBB1" w14:textId="5AB8A484" w:rsidR="00394ADE" w:rsidRPr="004E28CB" w:rsidRDefault="00394ADE"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0.5</w:t>
            </w:r>
          </w:p>
        </w:tc>
        <w:tc>
          <w:tcPr>
            <w:tcW w:w="1121" w:type="dxa"/>
            <w:vAlign w:val="bottom"/>
          </w:tcPr>
          <w:p w14:paraId="27596638" w14:textId="788C411A" w:rsidR="00394ADE" w:rsidRPr="004E28CB" w:rsidRDefault="00394ADE"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72.4</w:t>
            </w:r>
          </w:p>
        </w:tc>
        <w:tc>
          <w:tcPr>
            <w:tcW w:w="1121" w:type="dxa"/>
            <w:vAlign w:val="bottom"/>
          </w:tcPr>
          <w:p w14:paraId="2BB341EB" w14:textId="37AA8AE4" w:rsidR="00394ADE" w:rsidRPr="004E28CB" w:rsidRDefault="00394ADE"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1.8</w:t>
            </w:r>
          </w:p>
        </w:tc>
        <w:tc>
          <w:tcPr>
            <w:tcW w:w="1234" w:type="dxa"/>
            <w:vAlign w:val="bottom"/>
          </w:tcPr>
          <w:p w14:paraId="16F4AA77" w14:textId="249F1DD4" w:rsidR="00394ADE" w:rsidRPr="004E28CB" w:rsidRDefault="00394ADE"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433C65C1" w14:textId="07480F0F" w:rsidR="00394ADE" w:rsidRPr="004E28CB" w:rsidRDefault="00394ADE"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7F1884BC" w14:textId="72765909" w:rsidR="00394ADE" w:rsidRPr="004E28CB" w:rsidRDefault="00394ADE"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90.5</w:t>
            </w:r>
          </w:p>
        </w:tc>
        <w:tc>
          <w:tcPr>
            <w:tcW w:w="1034" w:type="dxa"/>
            <w:vAlign w:val="bottom"/>
          </w:tcPr>
          <w:p w14:paraId="6AA92884" w14:textId="41429D04" w:rsidR="00394ADE" w:rsidRPr="004E28CB" w:rsidRDefault="00394ADE"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2.3</w:t>
            </w:r>
          </w:p>
        </w:tc>
        <w:tc>
          <w:tcPr>
            <w:tcW w:w="1364" w:type="dxa"/>
            <w:gridSpan w:val="3"/>
            <w:vAlign w:val="bottom"/>
          </w:tcPr>
          <w:p w14:paraId="7684327B" w14:textId="338E67EA" w:rsidR="00394ADE" w:rsidRPr="004E28CB" w:rsidRDefault="00394ADE"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94.1</w:t>
            </w:r>
          </w:p>
        </w:tc>
        <w:tc>
          <w:tcPr>
            <w:tcW w:w="1605" w:type="dxa"/>
            <w:vAlign w:val="bottom"/>
          </w:tcPr>
          <w:p w14:paraId="4891936A" w14:textId="79353E17" w:rsidR="00394ADE" w:rsidRPr="004E28CB" w:rsidRDefault="00394ADE"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No</w:t>
            </w:r>
          </w:p>
        </w:tc>
      </w:tr>
      <w:tr w:rsidR="00E904D8" w:rsidRPr="004E28CB" w14:paraId="0E87220F" w14:textId="77777777" w:rsidTr="00115E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024EA969" w14:textId="7758847C" w:rsidR="00FC0CF8" w:rsidRPr="004E28CB" w:rsidRDefault="008B3252" w:rsidP="00FC0CF8">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QLD</w:t>
            </w:r>
          </w:p>
        </w:tc>
        <w:tc>
          <w:tcPr>
            <w:tcW w:w="1708" w:type="dxa"/>
            <w:vAlign w:val="bottom"/>
          </w:tcPr>
          <w:p w14:paraId="1EC5D66C" w14:textId="67AB221B" w:rsidR="00FC0CF8" w:rsidRPr="004E28CB" w:rsidRDefault="00FC0CF8"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 xml:space="preserve">Sediments above the Great Artesian </w:t>
            </w:r>
            <w:r w:rsidRPr="004E28CB">
              <w:rPr>
                <w:color w:val="000000"/>
                <w:szCs w:val="20"/>
              </w:rPr>
              <w:lastRenderedPageBreak/>
              <w:t>Basin: Warrego–Paroo–Nebine</w:t>
            </w:r>
          </w:p>
        </w:tc>
        <w:tc>
          <w:tcPr>
            <w:tcW w:w="843" w:type="dxa"/>
            <w:vAlign w:val="bottom"/>
          </w:tcPr>
          <w:p w14:paraId="26BFA655" w14:textId="2B484FC2" w:rsidR="00FC0CF8" w:rsidRPr="004E28CB" w:rsidRDefault="00FC0CF8"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lastRenderedPageBreak/>
              <w:t>GS60</w:t>
            </w:r>
          </w:p>
        </w:tc>
        <w:tc>
          <w:tcPr>
            <w:tcW w:w="851" w:type="dxa"/>
            <w:vAlign w:val="bottom"/>
          </w:tcPr>
          <w:p w14:paraId="215CE518" w14:textId="1028992D" w:rsidR="00FC0CF8" w:rsidRPr="004E28CB" w:rsidRDefault="00FC0CF8"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99.2</w:t>
            </w:r>
          </w:p>
        </w:tc>
        <w:tc>
          <w:tcPr>
            <w:tcW w:w="971" w:type="dxa"/>
            <w:vAlign w:val="bottom"/>
          </w:tcPr>
          <w:p w14:paraId="03CD97DF" w14:textId="008902B5" w:rsidR="00FC0CF8" w:rsidRPr="004E28CB" w:rsidRDefault="00FC0CF8"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0.7</w:t>
            </w:r>
          </w:p>
        </w:tc>
        <w:tc>
          <w:tcPr>
            <w:tcW w:w="777" w:type="dxa"/>
            <w:vAlign w:val="bottom"/>
          </w:tcPr>
          <w:p w14:paraId="01480ACD" w14:textId="23398570" w:rsidR="00FC0CF8" w:rsidRPr="004E28CB" w:rsidRDefault="00FC0CF8"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0.7</w:t>
            </w:r>
          </w:p>
        </w:tc>
        <w:tc>
          <w:tcPr>
            <w:tcW w:w="1121" w:type="dxa"/>
            <w:vAlign w:val="bottom"/>
          </w:tcPr>
          <w:p w14:paraId="43D30435" w14:textId="70C0EF8E" w:rsidR="00FC0CF8" w:rsidRPr="004E28CB" w:rsidRDefault="00FC0CF8"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2.9</w:t>
            </w:r>
          </w:p>
        </w:tc>
        <w:tc>
          <w:tcPr>
            <w:tcW w:w="1121" w:type="dxa"/>
            <w:vAlign w:val="bottom"/>
          </w:tcPr>
          <w:p w14:paraId="115545C4" w14:textId="34B30612" w:rsidR="00FC0CF8" w:rsidRPr="004E28CB" w:rsidRDefault="00FC0CF8"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2.9</w:t>
            </w:r>
          </w:p>
        </w:tc>
        <w:tc>
          <w:tcPr>
            <w:tcW w:w="1234" w:type="dxa"/>
            <w:vAlign w:val="bottom"/>
          </w:tcPr>
          <w:p w14:paraId="0F622D59" w14:textId="52FCBCED" w:rsidR="00FC0CF8" w:rsidRPr="004E28CB" w:rsidRDefault="00FC0CF8"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44726B33" w14:textId="44E8A883" w:rsidR="00FC0CF8" w:rsidRPr="004E28CB" w:rsidRDefault="00FC0CF8"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74876262" w14:textId="2C959051" w:rsidR="00FC0CF8" w:rsidRPr="004E28CB" w:rsidRDefault="00FC0CF8"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3.7</w:t>
            </w:r>
          </w:p>
        </w:tc>
        <w:tc>
          <w:tcPr>
            <w:tcW w:w="1034" w:type="dxa"/>
            <w:vAlign w:val="bottom"/>
          </w:tcPr>
          <w:p w14:paraId="08D64829" w14:textId="00CE4E65" w:rsidR="00FC0CF8" w:rsidRPr="004E28CB" w:rsidRDefault="00FC0CF8"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3.7</w:t>
            </w:r>
          </w:p>
        </w:tc>
        <w:tc>
          <w:tcPr>
            <w:tcW w:w="1364" w:type="dxa"/>
            <w:gridSpan w:val="3"/>
            <w:vAlign w:val="bottom"/>
          </w:tcPr>
          <w:p w14:paraId="1F9AF86E" w14:textId="05A21970" w:rsidR="00FC0CF8" w:rsidRPr="004E28CB" w:rsidRDefault="00FC0CF8"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23.5</w:t>
            </w:r>
          </w:p>
        </w:tc>
        <w:tc>
          <w:tcPr>
            <w:tcW w:w="1605" w:type="dxa"/>
            <w:vAlign w:val="bottom"/>
          </w:tcPr>
          <w:p w14:paraId="17395BE5" w14:textId="36B69FA0" w:rsidR="00FC0CF8" w:rsidRPr="004E28CB" w:rsidRDefault="00FC0CF8"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No</w:t>
            </w:r>
          </w:p>
        </w:tc>
      </w:tr>
      <w:tr w:rsidR="004E28CB" w:rsidRPr="004E28CB" w14:paraId="61178815" w14:textId="77777777" w:rsidTr="00115EA1">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50CDAEAD" w14:textId="5425FD56" w:rsidR="004E2F85" w:rsidRPr="004E28CB" w:rsidRDefault="008B3252" w:rsidP="004E2F85">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QLD</w:t>
            </w:r>
          </w:p>
        </w:tc>
        <w:tc>
          <w:tcPr>
            <w:tcW w:w="1708" w:type="dxa"/>
            <w:vAlign w:val="bottom"/>
          </w:tcPr>
          <w:p w14:paraId="7DB2FC9C" w14:textId="255B0CFE" w:rsidR="004E2F85" w:rsidRPr="004E28CB" w:rsidRDefault="004E2F8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St George Alluvium: Condamine–Balonne (shallow)</w:t>
            </w:r>
          </w:p>
        </w:tc>
        <w:tc>
          <w:tcPr>
            <w:tcW w:w="843" w:type="dxa"/>
            <w:vAlign w:val="bottom"/>
          </w:tcPr>
          <w:p w14:paraId="5691DDBD" w14:textId="310E2D16" w:rsidR="004E2F85" w:rsidRPr="004E28CB" w:rsidRDefault="004E2F8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GS61a</w:t>
            </w:r>
          </w:p>
        </w:tc>
        <w:tc>
          <w:tcPr>
            <w:tcW w:w="851" w:type="dxa"/>
            <w:vAlign w:val="bottom"/>
          </w:tcPr>
          <w:p w14:paraId="34F4793F" w14:textId="07E48368" w:rsidR="004E2F85" w:rsidRPr="004E28CB" w:rsidRDefault="004E2F8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27.7</w:t>
            </w:r>
          </w:p>
        </w:tc>
        <w:tc>
          <w:tcPr>
            <w:tcW w:w="971" w:type="dxa"/>
            <w:vAlign w:val="bottom"/>
          </w:tcPr>
          <w:p w14:paraId="21DC3AB5" w14:textId="6491DB29" w:rsidR="004E2F85" w:rsidRPr="004E28CB" w:rsidRDefault="004E2F8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27.7</w:t>
            </w:r>
          </w:p>
        </w:tc>
        <w:tc>
          <w:tcPr>
            <w:tcW w:w="777" w:type="dxa"/>
            <w:vAlign w:val="bottom"/>
          </w:tcPr>
          <w:p w14:paraId="18C4FCE9" w14:textId="4A919E71" w:rsidR="004E2F85" w:rsidRPr="004E28CB" w:rsidRDefault="004E2F8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0.3</w:t>
            </w:r>
          </w:p>
        </w:tc>
        <w:tc>
          <w:tcPr>
            <w:tcW w:w="1121" w:type="dxa"/>
            <w:vAlign w:val="bottom"/>
          </w:tcPr>
          <w:p w14:paraId="5827313D" w14:textId="4F783A21" w:rsidR="004E2F85" w:rsidRPr="004E28CB" w:rsidRDefault="004E2F8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110.8</w:t>
            </w:r>
          </w:p>
        </w:tc>
        <w:tc>
          <w:tcPr>
            <w:tcW w:w="1121" w:type="dxa"/>
            <w:vAlign w:val="bottom"/>
          </w:tcPr>
          <w:p w14:paraId="7298CCA5" w14:textId="525ADF1A" w:rsidR="004E2F85" w:rsidRPr="004E28CB" w:rsidRDefault="004E2F8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1.6</w:t>
            </w:r>
          </w:p>
        </w:tc>
        <w:tc>
          <w:tcPr>
            <w:tcW w:w="1234" w:type="dxa"/>
            <w:vAlign w:val="bottom"/>
          </w:tcPr>
          <w:p w14:paraId="6AEFCDD3" w14:textId="032DBD7E" w:rsidR="004E2F85" w:rsidRPr="004E28CB" w:rsidRDefault="004E2F8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0CB80979" w14:textId="0CCB4479" w:rsidR="004E2F85" w:rsidRPr="004E28CB" w:rsidRDefault="004E2F8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0B501724" w14:textId="6D0E8430" w:rsidR="004E2F85" w:rsidRPr="004E28CB" w:rsidRDefault="004E2F8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138.5</w:t>
            </w:r>
          </w:p>
        </w:tc>
        <w:tc>
          <w:tcPr>
            <w:tcW w:w="1034" w:type="dxa"/>
            <w:vAlign w:val="bottom"/>
          </w:tcPr>
          <w:p w14:paraId="1A946BB0" w14:textId="60F2190A" w:rsidR="004E2F85" w:rsidRPr="004E28CB" w:rsidRDefault="004E2F8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1.9</w:t>
            </w:r>
          </w:p>
        </w:tc>
        <w:tc>
          <w:tcPr>
            <w:tcW w:w="1364" w:type="dxa"/>
            <w:gridSpan w:val="3"/>
            <w:vAlign w:val="bottom"/>
          </w:tcPr>
          <w:p w14:paraId="4AF40DD6" w14:textId="42B7900A" w:rsidR="004E2F85" w:rsidRPr="004E28CB" w:rsidRDefault="004E2F8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144.0</w:t>
            </w:r>
          </w:p>
        </w:tc>
        <w:tc>
          <w:tcPr>
            <w:tcW w:w="1605" w:type="dxa"/>
            <w:vAlign w:val="bottom"/>
          </w:tcPr>
          <w:p w14:paraId="0FC3AEDA" w14:textId="171DAFB2" w:rsidR="004E2F85" w:rsidRPr="004E28CB" w:rsidRDefault="004E2F85"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No</w:t>
            </w:r>
          </w:p>
        </w:tc>
      </w:tr>
      <w:tr w:rsidR="00E904D8" w:rsidRPr="004E28CB" w14:paraId="432C1667" w14:textId="77777777" w:rsidTr="00115E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25F30BF3" w14:textId="78A65AC4" w:rsidR="006D6282" w:rsidRPr="004E28CB" w:rsidRDefault="008B3252" w:rsidP="006D6282">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QLD</w:t>
            </w:r>
          </w:p>
        </w:tc>
        <w:tc>
          <w:tcPr>
            <w:tcW w:w="1708" w:type="dxa"/>
            <w:vAlign w:val="bottom"/>
          </w:tcPr>
          <w:p w14:paraId="781E310E" w14:textId="3C1FDD9A" w:rsidR="006D6282" w:rsidRPr="004E28CB" w:rsidRDefault="006D628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St George Alluvium: Condamine–Balonne (deep)</w:t>
            </w:r>
          </w:p>
        </w:tc>
        <w:tc>
          <w:tcPr>
            <w:tcW w:w="843" w:type="dxa"/>
            <w:vAlign w:val="bottom"/>
          </w:tcPr>
          <w:p w14:paraId="394CE6BD" w14:textId="2D852F38" w:rsidR="006D6282" w:rsidRPr="004E28CB" w:rsidRDefault="006D628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GS61b</w:t>
            </w:r>
          </w:p>
        </w:tc>
        <w:tc>
          <w:tcPr>
            <w:tcW w:w="851" w:type="dxa"/>
            <w:vAlign w:val="bottom"/>
          </w:tcPr>
          <w:p w14:paraId="563CB5DA" w14:textId="69713BC0" w:rsidR="006D6282" w:rsidRPr="004E28CB" w:rsidRDefault="006D628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12.6</w:t>
            </w:r>
          </w:p>
        </w:tc>
        <w:tc>
          <w:tcPr>
            <w:tcW w:w="971" w:type="dxa"/>
            <w:vAlign w:val="bottom"/>
          </w:tcPr>
          <w:p w14:paraId="72195A30" w14:textId="380E2EBC" w:rsidR="006D6282" w:rsidRPr="004E28CB" w:rsidRDefault="006D628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12.6</w:t>
            </w:r>
          </w:p>
        </w:tc>
        <w:tc>
          <w:tcPr>
            <w:tcW w:w="777" w:type="dxa"/>
            <w:vAlign w:val="bottom"/>
          </w:tcPr>
          <w:p w14:paraId="51A5D627" w14:textId="1323B10D" w:rsidR="006D6282" w:rsidRPr="004E28CB" w:rsidRDefault="006D628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11.7</w:t>
            </w:r>
          </w:p>
        </w:tc>
        <w:tc>
          <w:tcPr>
            <w:tcW w:w="1121" w:type="dxa"/>
            <w:vAlign w:val="bottom"/>
          </w:tcPr>
          <w:p w14:paraId="6215739A" w14:textId="5B4BEF87" w:rsidR="006D6282" w:rsidRPr="004E28CB" w:rsidRDefault="006D628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50.4</w:t>
            </w:r>
          </w:p>
        </w:tc>
        <w:tc>
          <w:tcPr>
            <w:tcW w:w="1121" w:type="dxa"/>
            <w:vAlign w:val="bottom"/>
          </w:tcPr>
          <w:p w14:paraId="6C00C830" w14:textId="0B30E38A" w:rsidR="006D6282" w:rsidRPr="004E28CB" w:rsidRDefault="006D628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46.6</w:t>
            </w:r>
          </w:p>
        </w:tc>
        <w:tc>
          <w:tcPr>
            <w:tcW w:w="1234" w:type="dxa"/>
            <w:vAlign w:val="bottom"/>
          </w:tcPr>
          <w:p w14:paraId="750CD331" w14:textId="6D95E246" w:rsidR="006D6282" w:rsidRPr="004E28CB" w:rsidRDefault="006D628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080F0573" w14:textId="2A1679AA" w:rsidR="006D6282" w:rsidRPr="004E28CB" w:rsidRDefault="006D628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4350CFFD" w14:textId="3B462754" w:rsidR="006D6282" w:rsidRPr="004E28CB" w:rsidRDefault="006D628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63.0</w:t>
            </w:r>
          </w:p>
        </w:tc>
        <w:tc>
          <w:tcPr>
            <w:tcW w:w="1034" w:type="dxa"/>
            <w:vAlign w:val="bottom"/>
          </w:tcPr>
          <w:p w14:paraId="0E47F421" w14:textId="0D5FA0AE" w:rsidR="006D6282" w:rsidRPr="004E28CB" w:rsidRDefault="006D628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58.3</w:t>
            </w:r>
          </w:p>
        </w:tc>
        <w:tc>
          <w:tcPr>
            <w:tcW w:w="1364" w:type="dxa"/>
            <w:gridSpan w:val="3"/>
            <w:vAlign w:val="bottom"/>
          </w:tcPr>
          <w:p w14:paraId="796D59F2" w14:textId="28A3DA8D" w:rsidR="006D6282" w:rsidRPr="004E28CB" w:rsidRDefault="006D628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65.5</w:t>
            </w:r>
          </w:p>
        </w:tc>
        <w:tc>
          <w:tcPr>
            <w:tcW w:w="1605" w:type="dxa"/>
            <w:vAlign w:val="bottom"/>
          </w:tcPr>
          <w:p w14:paraId="73208F73" w14:textId="31041490" w:rsidR="006D6282" w:rsidRPr="004E28CB" w:rsidRDefault="006D628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No</w:t>
            </w:r>
          </w:p>
        </w:tc>
      </w:tr>
      <w:tr w:rsidR="004E28CB" w:rsidRPr="004E28CB" w14:paraId="62CC7856" w14:textId="77777777" w:rsidTr="00115EA1">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48B98D11" w14:textId="01D32240" w:rsidR="00795C53" w:rsidRPr="004E28CB" w:rsidRDefault="008B3252" w:rsidP="00795C53">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QLD</w:t>
            </w:r>
          </w:p>
        </w:tc>
        <w:tc>
          <w:tcPr>
            <w:tcW w:w="1708" w:type="dxa"/>
            <w:vAlign w:val="bottom"/>
          </w:tcPr>
          <w:p w14:paraId="11659341" w14:textId="7B8A7924" w:rsidR="00795C53" w:rsidRPr="004E28CB" w:rsidRDefault="00795C5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St George Alluvium: Moonie</w:t>
            </w:r>
          </w:p>
        </w:tc>
        <w:tc>
          <w:tcPr>
            <w:tcW w:w="843" w:type="dxa"/>
            <w:vAlign w:val="bottom"/>
          </w:tcPr>
          <w:p w14:paraId="00CEE26F" w14:textId="0A56594F" w:rsidR="00795C53" w:rsidRPr="004E28CB" w:rsidRDefault="00795C5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GS62</w:t>
            </w:r>
          </w:p>
        </w:tc>
        <w:tc>
          <w:tcPr>
            <w:tcW w:w="851" w:type="dxa"/>
            <w:vAlign w:val="bottom"/>
          </w:tcPr>
          <w:p w14:paraId="1BD16A2F" w14:textId="2DACEFA9" w:rsidR="00795C53" w:rsidRPr="004E28CB" w:rsidRDefault="00795C5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0.7</w:t>
            </w:r>
          </w:p>
        </w:tc>
        <w:tc>
          <w:tcPr>
            <w:tcW w:w="971" w:type="dxa"/>
            <w:vAlign w:val="bottom"/>
          </w:tcPr>
          <w:p w14:paraId="4BE346D8" w14:textId="5E72F691" w:rsidR="00795C53" w:rsidRPr="004E28CB" w:rsidRDefault="00795C5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0.7</w:t>
            </w:r>
          </w:p>
        </w:tc>
        <w:tc>
          <w:tcPr>
            <w:tcW w:w="777" w:type="dxa"/>
            <w:vAlign w:val="bottom"/>
          </w:tcPr>
          <w:p w14:paraId="6921B388" w14:textId="7B6A0026" w:rsidR="00795C53" w:rsidRPr="004E28CB" w:rsidRDefault="00795C5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121" w:type="dxa"/>
            <w:vAlign w:val="bottom"/>
          </w:tcPr>
          <w:p w14:paraId="4CF14F82" w14:textId="2C94AC17" w:rsidR="00795C53" w:rsidRPr="004E28CB" w:rsidRDefault="00795C5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2.8</w:t>
            </w:r>
          </w:p>
        </w:tc>
        <w:tc>
          <w:tcPr>
            <w:tcW w:w="1121" w:type="dxa"/>
            <w:vAlign w:val="bottom"/>
          </w:tcPr>
          <w:p w14:paraId="608405AB" w14:textId="5E9AB29D" w:rsidR="00795C53" w:rsidRPr="004E28CB" w:rsidRDefault="00795C5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0.1</w:t>
            </w:r>
          </w:p>
        </w:tc>
        <w:tc>
          <w:tcPr>
            <w:tcW w:w="1234" w:type="dxa"/>
            <w:vAlign w:val="bottom"/>
          </w:tcPr>
          <w:p w14:paraId="43DA49FC" w14:textId="6FC31D14" w:rsidR="00795C53" w:rsidRPr="004E28CB" w:rsidRDefault="00795C5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285532B9" w14:textId="2B3F859F" w:rsidR="00795C53" w:rsidRPr="004E28CB" w:rsidRDefault="00795C5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6787A571" w14:textId="3EF5FA41" w:rsidR="00795C53" w:rsidRPr="004E28CB" w:rsidRDefault="00795C5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3.5</w:t>
            </w:r>
          </w:p>
        </w:tc>
        <w:tc>
          <w:tcPr>
            <w:tcW w:w="1034" w:type="dxa"/>
            <w:vAlign w:val="bottom"/>
          </w:tcPr>
          <w:p w14:paraId="59E2CFC5" w14:textId="7D8E731D" w:rsidR="00795C53" w:rsidRPr="004E28CB" w:rsidRDefault="00795C5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0.1</w:t>
            </w:r>
          </w:p>
        </w:tc>
        <w:tc>
          <w:tcPr>
            <w:tcW w:w="1364" w:type="dxa"/>
            <w:gridSpan w:val="3"/>
            <w:vAlign w:val="bottom"/>
          </w:tcPr>
          <w:p w14:paraId="6D498BBC" w14:textId="5CE32821" w:rsidR="00795C53" w:rsidRPr="004E28CB" w:rsidRDefault="00795C5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3.6</w:t>
            </w:r>
          </w:p>
        </w:tc>
        <w:tc>
          <w:tcPr>
            <w:tcW w:w="1605" w:type="dxa"/>
            <w:vAlign w:val="bottom"/>
          </w:tcPr>
          <w:p w14:paraId="39829CF7" w14:textId="118758ED" w:rsidR="00795C53" w:rsidRPr="004E28CB" w:rsidRDefault="00795C5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No</w:t>
            </w:r>
          </w:p>
        </w:tc>
      </w:tr>
      <w:tr w:rsidR="00E904D8" w:rsidRPr="004E28CB" w14:paraId="7C44C937" w14:textId="77777777" w:rsidTr="00115E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0ABAF466" w14:textId="0DA8C99B" w:rsidR="00D66BE2" w:rsidRPr="004E28CB" w:rsidRDefault="008B3252" w:rsidP="00D66BE2">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QLD</w:t>
            </w:r>
          </w:p>
        </w:tc>
        <w:tc>
          <w:tcPr>
            <w:tcW w:w="1708" w:type="dxa"/>
            <w:vAlign w:val="bottom"/>
          </w:tcPr>
          <w:p w14:paraId="413EA5C7" w14:textId="49753F72" w:rsidR="00D66BE2" w:rsidRPr="004E28CB" w:rsidRDefault="00D66BE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St George Alluvium: Warrego–Paroo–Nebine</w:t>
            </w:r>
          </w:p>
        </w:tc>
        <w:tc>
          <w:tcPr>
            <w:tcW w:w="843" w:type="dxa"/>
            <w:vAlign w:val="bottom"/>
          </w:tcPr>
          <w:p w14:paraId="1B6A8A07" w14:textId="320FE2AA" w:rsidR="00D66BE2" w:rsidRPr="004E28CB" w:rsidRDefault="00D66BE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GS63</w:t>
            </w:r>
          </w:p>
        </w:tc>
        <w:tc>
          <w:tcPr>
            <w:tcW w:w="851" w:type="dxa"/>
            <w:vAlign w:val="bottom"/>
          </w:tcPr>
          <w:p w14:paraId="613DF400" w14:textId="26775CF7" w:rsidR="00D66BE2" w:rsidRPr="004E28CB" w:rsidRDefault="00D66BE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24.6</w:t>
            </w:r>
          </w:p>
        </w:tc>
        <w:tc>
          <w:tcPr>
            <w:tcW w:w="971" w:type="dxa"/>
            <w:vAlign w:val="bottom"/>
          </w:tcPr>
          <w:p w14:paraId="20C68C74" w14:textId="4C3634F7" w:rsidR="00D66BE2" w:rsidRPr="004E28CB" w:rsidRDefault="00D66BE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0.1</w:t>
            </w:r>
          </w:p>
        </w:tc>
        <w:tc>
          <w:tcPr>
            <w:tcW w:w="777" w:type="dxa"/>
            <w:vAlign w:val="bottom"/>
          </w:tcPr>
          <w:p w14:paraId="7C06F98E" w14:textId="569ABB46" w:rsidR="00D66BE2" w:rsidRPr="004E28CB" w:rsidRDefault="00D66BE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0.1</w:t>
            </w:r>
          </w:p>
        </w:tc>
        <w:tc>
          <w:tcPr>
            <w:tcW w:w="1121" w:type="dxa"/>
            <w:vAlign w:val="bottom"/>
          </w:tcPr>
          <w:p w14:paraId="32A0BE5D" w14:textId="090F5A94" w:rsidR="00D66BE2" w:rsidRPr="004E28CB" w:rsidRDefault="00D66BE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0.3</w:t>
            </w:r>
          </w:p>
        </w:tc>
        <w:tc>
          <w:tcPr>
            <w:tcW w:w="1121" w:type="dxa"/>
            <w:vAlign w:val="bottom"/>
          </w:tcPr>
          <w:p w14:paraId="5BB3C056" w14:textId="2D1293B1" w:rsidR="00D66BE2" w:rsidRPr="004E28CB" w:rsidRDefault="00D66BE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0.3</w:t>
            </w:r>
          </w:p>
        </w:tc>
        <w:tc>
          <w:tcPr>
            <w:tcW w:w="1234" w:type="dxa"/>
            <w:vAlign w:val="bottom"/>
          </w:tcPr>
          <w:p w14:paraId="19E6992F" w14:textId="3CB8C26B" w:rsidR="00D66BE2" w:rsidRPr="004E28CB" w:rsidRDefault="00D66BE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3E8F4FCE" w14:textId="170769E6" w:rsidR="00D66BE2" w:rsidRPr="004E28CB" w:rsidRDefault="00D66BE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1AF5605D" w14:textId="12766D08" w:rsidR="00D66BE2" w:rsidRPr="004E28CB" w:rsidRDefault="00D66BE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0.4</w:t>
            </w:r>
          </w:p>
        </w:tc>
        <w:tc>
          <w:tcPr>
            <w:tcW w:w="1034" w:type="dxa"/>
            <w:vAlign w:val="bottom"/>
          </w:tcPr>
          <w:p w14:paraId="527E910C" w14:textId="64418287" w:rsidR="00D66BE2" w:rsidRPr="004E28CB" w:rsidRDefault="00D66BE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0.4</w:t>
            </w:r>
          </w:p>
        </w:tc>
        <w:tc>
          <w:tcPr>
            <w:tcW w:w="1364" w:type="dxa"/>
            <w:gridSpan w:val="3"/>
            <w:vAlign w:val="bottom"/>
          </w:tcPr>
          <w:p w14:paraId="5C8F5B37" w14:textId="40395ED8" w:rsidR="00D66BE2" w:rsidRPr="004E28CB" w:rsidRDefault="00D66BE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5.3</w:t>
            </w:r>
          </w:p>
        </w:tc>
        <w:tc>
          <w:tcPr>
            <w:tcW w:w="1605" w:type="dxa"/>
            <w:vAlign w:val="bottom"/>
          </w:tcPr>
          <w:p w14:paraId="02AB2F5E" w14:textId="73F84A39" w:rsidR="00D66BE2" w:rsidRPr="004E28CB" w:rsidRDefault="00D66BE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No</w:t>
            </w:r>
          </w:p>
        </w:tc>
      </w:tr>
      <w:tr w:rsidR="004E28CB" w:rsidRPr="004E28CB" w14:paraId="6B18276E" w14:textId="77777777" w:rsidTr="00115EA1">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142850F3" w14:textId="7748A450" w:rsidR="00125C38" w:rsidRPr="004E28CB" w:rsidRDefault="008B3252" w:rsidP="00125C38">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QLD</w:t>
            </w:r>
          </w:p>
        </w:tc>
        <w:tc>
          <w:tcPr>
            <w:tcW w:w="1708" w:type="dxa"/>
            <w:vAlign w:val="bottom"/>
          </w:tcPr>
          <w:p w14:paraId="69B62EF3" w14:textId="518A5295" w:rsidR="00125C38" w:rsidRPr="004E28CB" w:rsidRDefault="00125C38"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Upper Condamine Alluvium (Central Condamine Alluvium)</w:t>
            </w:r>
          </w:p>
        </w:tc>
        <w:tc>
          <w:tcPr>
            <w:tcW w:w="843" w:type="dxa"/>
            <w:vAlign w:val="bottom"/>
          </w:tcPr>
          <w:p w14:paraId="0D3414B8" w14:textId="428EF233" w:rsidR="00125C38" w:rsidRPr="004E28CB" w:rsidRDefault="00125C38"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GS64a</w:t>
            </w:r>
          </w:p>
        </w:tc>
        <w:tc>
          <w:tcPr>
            <w:tcW w:w="851" w:type="dxa"/>
            <w:vAlign w:val="bottom"/>
          </w:tcPr>
          <w:p w14:paraId="220B94A9" w14:textId="00EE60BA" w:rsidR="00125C38" w:rsidRPr="004E28CB" w:rsidRDefault="00125C38"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46.0</w:t>
            </w:r>
          </w:p>
        </w:tc>
        <w:tc>
          <w:tcPr>
            <w:tcW w:w="971" w:type="dxa"/>
            <w:vAlign w:val="bottom"/>
          </w:tcPr>
          <w:p w14:paraId="3152EB9D" w14:textId="54017D03" w:rsidR="00125C38" w:rsidRPr="004E28CB" w:rsidRDefault="00125C38"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46.0</w:t>
            </w:r>
          </w:p>
        </w:tc>
        <w:tc>
          <w:tcPr>
            <w:tcW w:w="777" w:type="dxa"/>
            <w:vAlign w:val="bottom"/>
          </w:tcPr>
          <w:p w14:paraId="5525C62B" w14:textId="5825B3D5" w:rsidR="00125C38" w:rsidRPr="004E28CB" w:rsidRDefault="00125C38"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40.0</w:t>
            </w:r>
          </w:p>
        </w:tc>
        <w:tc>
          <w:tcPr>
            <w:tcW w:w="1121" w:type="dxa"/>
            <w:vAlign w:val="bottom"/>
          </w:tcPr>
          <w:p w14:paraId="25303B2F" w14:textId="3970CC38" w:rsidR="00125C38" w:rsidRPr="004E28CB" w:rsidRDefault="00125C38"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184.0</w:t>
            </w:r>
          </w:p>
        </w:tc>
        <w:tc>
          <w:tcPr>
            <w:tcW w:w="1121" w:type="dxa"/>
            <w:vAlign w:val="bottom"/>
          </w:tcPr>
          <w:p w14:paraId="465B5291" w14:textId="37575204" w:rsidR="00125C38" w:rsidRPr="004E28CB" w:rsidRDefault="00125C38"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145.5</w:t>
            </w:r>
          </w:p>
        </w:tc>
        <w:tc>
          <w:tcPr>
            <w:tcW w:w="1234" w:type="dxa"/>
            <w:vAlign w:val="bottom"/>
          </w:tcPr>
          <w:p w14:paraId="387B4C02" w14:textId="2BF23CD8" w:rsidR="00125C38" w:rsidRPr="004E28CB" w:rsidRDefault="00125C38"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0.2</w:t>
            </w:r>
          </w:p>
        </w:tc>
        <w:tc>
          <w:tcPr>
            <w:tcW w:w="1234" w:type="dxa"/>
            <w:vAlign w:val="bottom"/>
          </w:tcPr>
          <w:p w14:paraId="6D1FBF91" w14:textId="0714F8B3" w:rsidR="00125C38" w:rsidRPr="004E28CB" w:rsidRDefault="00125C38"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1.4</w:t>
            </w:r>
          </w:p>
        </w:tc>
        <w:tc>
          <w:tcPr>
            <w:tcW w:w="1162" w:type="dxa"/>
            <w:gridSpan w:val="2"/>
            <w:vAlign w:val="bottom"/>
          </w:tcPr>
          <w:p w14:paraId="76050B85" w14:textId="4A95906B" w:rsidR="00125C38" w:rsidRPr="004E28CB" w:rsidRDefault="00125C38"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230.0</w:t>
            </w:r>
          </w:p>
        </w:tc>
        <w:tc>
          <w:tcPr>
            <w:tcW w:w="1034" w:type="dxa"/>
            <w:vAlign w:val="bottom"/>
          </w:tcPr>
          <w:p w14:paraId="3A97D23F" w14:textId="66D224D9" w:rsidR="00125C38" w:rsidRPr="004E28CB" w:rsidRDefault="00125C38"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185.4</w:t>
            </w:r>
          </w:p>
        </w:tc>
        <w:tc>
          <w:tcPr>
            <w:tcW w:w="1364" w:type="dxa"/>
            <w:gridSpan w:val="3"/>
            <w:vAlign w:val="bottom"/>
          </w:tcPr>
          <w:p w14:paraId="6D698823" w14:textId="26DC79B7" w:rsidR="00125C38" w:rsidRPr="004E28CB" w:rsidRDefault="00125C38"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240.6</w:t>
            </w:r>
          </w:p>
        </w:tc>
        <w:tc>
          <w:tcPr>
            <w:tcW w:w="1605" w:type="dxa"/>
            <w:vAlign w:val="bottom"/>
          </w:tcPr>
          <w:p w14:paraId="04988AF9" w14:textId="733635FF" w:rsidR="00125C38" w:rsidRPr="004E28CB" w:rsidRDefault="00125C38"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No</w:t>
            </w:r>
          </w:p>
        </w:tc>
      </w:tr>
      <w:tr w:rsidR="00E904D8" w:rsidRPr="004E28CB" w14:paraId="42D1B0E7" w14:textId="77777777" w:rsidTr="00115E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517DBA69" w14:textId="24120F56" w:rsidR="00273CDE" w:rsidRPr="004E28CB" w:rsidRDefault="008B3252" w:rsidP="00273CDE">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QLD</w:t>
            </w:r>
          </w:p>
        </w:tc>
        <w:tc>
          <w:tcPr>
            <w:tcW w:w="1708" w:type="dxa"/>
            <w:vAlign w:val="bottom"/>
          </w:tcPr>
          <w:p w14:paraId="5F65291B" w14:textId="55F82B77" w:rsidR="00273CDE" w:rsidRPr="004E28CB" w:rsidRDefault="00273CDE"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Upper Condamine Alluvium (Tributaries)</w:t>
            </w:r>
          </w:p>
        </w:tc>
        <w:tc>
          <w:tcPr>
            <w:tcW w:w="843" w:type="dxa"/>
            <w:vAlign w:val="bottom"/>
          </w:tcPr>
          <w:p w14:paraId="46E6DE47" w14:textId="2CA848C0" w:rsidR="00273CDE" w:rsidRPr="004E28CB" w:rsidRDefault="00273CDE"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GS64b</w:t>
            </w:r>
          </w:p>
        </w:tc>
        <w:tc>
          <w:tcPr>
            <w:tcW w:w="851" w:type="dxa"/>
            <w:vAlign w:val="bottom"/>
          </w:tcPr>
          <w:p w14:paraId="21EA3218" w14:textId="4EFBC364" w:rsidR="00273CDE" w:rsidRPr="004E28CB" w:rsidRDefault="00273CDE"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40.5</w:t>
            </w:r>
          </w:p>
        </w:tc>
        <w:tc>
          <w:tcPr>
            <w:tcW w:w="971" w:type="dxa"/>
            <w:vAlign w:val="bottom"/>
          </w:tcPr>
          <w:p w14:paraId="30909691" w14:textId="2B83C4C5" w:rsidR="00273CDE" w:rsidRPr="004E28CB" w:rsidRDefault="00273CDE"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40.5</w:t>
            </w:r>
          </w:p>
        </w:tc>
        <w:tc>
          <w:tcPr>
            <w:tcW w:w="777" w:type="dxa"/>
            <w:vAlign w:val="bottom"/>
          </w:tcPr>
          <w:p w14:paraId="35ECF5F8" w14:textId="7920938D" w:rsidR="00273CDE" w:rsidRPr="004E28CB" w:rsidRDefault="00273CDE"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33.8</w:t>
            </w:r>
          </w:p>
        </w:tc>
        <w:tc>
          <w:tcPr>
            <w:tcW w:w="1121" w:type="dxa"/>
            <w:vAlign w:val="bottom"/>
          </w:tcPr>
          <w:p w14:paraId="5EA4F4E6" w14:textId="71C98E31" w:rsidR="00273CDE" w:rsidRPr="004E28CB" w:rsidRDefault="00273CDE"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162.0</w:t>
            </w:r>
          </w:p>
        </w:tc>
        <w:tc>
          <w:tcPr>
            <w:tcW w:w="1121" w:type="dxa"/>
            <w:vAlign w:val="bottom"/>
          </w:tcPr>
          <w:p w14:paraId="7953F22B" w14:textId="5C60E54F" w:rsidR="00273CDE" w:rsidRPr="004E28CB" w:rsidRDefault="00273CDE"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110.4</w:t>
            </w:r>
          </w:p>
        </w:tc>
        <w:tc>
          <w:tcPr>
            <w:tcW w:w="1234" w:type="dxa"/>
            <w:vAlign w:val="bottom"/>
          </w:tcPr>
          <w:p w14:paraId="247E5AED" w14:textId="0C49FD1E" w:rsidR="00273CDE" w:rsidRPr="004E28CB" w:rsidRDefault="00273CDE"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3.0</w:t>
            </w:r>
          </w:p>
        </w:tc>
        <w:tc>
          <w:tcPr>
            <w:tcW w:w="1234" w:type="dxa"/>
            <w:vAlign w:val="bottom"/>
          </w:tcPr>
          <w:p w14:paraId="1E7300F4" w14:textId="0D800D37" w:rsidR="00273CDE" w:rsidRPr="004E28CB" w:rsidRDefault="00273CDE"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11.8</w:t>
            </w:r>
          </w:p>
        </w:tc>
        <w:tc>
          <w:tcPr>
            <w:tcW w:w="1162" w:type="dxa"/>
            <w:gridSpan w:val="2"/>
            <w:vAlign w:val="bottom"/>
          </w:tcPr>
          <w:p w14:paraId="3CF855BA" w14:textId="0487BBFE" w:rsidR="00273CDE" w:rsidRPr="004E28CB" w:rsidRDefault="00273CDE"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202.5</w:t>
            </w:r>
          </w:p>
        </w:tc>
        <w:tc>
          <w:tcPr>
            <w:tcW w:w="1034" w:type="dxa"/>
            <w:vAlign w:val="bottom"/>
          </w:tcPr>
          <w:p w14:paraId="1DFD862E" w14:textId="6643BDE9" w:rsidR="00273CDE" w:rsidRPr="004E28CB" w:rsidRDefault="00273CDE"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144.1</w:t>
            </w:r>
          </w:p>
        </w:tc>
        <w:tc>
          <w:tcPr>
            <w:tcW w:w="1364" w:type="dxa"/>
            <w:gridSpan w:val="3"/>
            <w:vAlign w:val="bottom"/>
          </w:tcPr>
          <w:p w14:paraId="221162BD" w14:textId="4FD98E27" w:rsidR="00273CDE" w:rsidRPr="004E28CB" w:rsidRDefault="00273CDE"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222.4</w:t>
            </w:r>
          </w:p>
        </w:tc>
        <w:tc>
          <w:tcPr>
            <w:tcW w:w="1605" w:type="dxa"/>
            <w:vAlign w:val="bottom"/>
          </w:tcPr>
          <w:p w14:paraId="10059FD7" w14:textId="682F4755" w:rsidR="00273CDE" w:rsidRPr="004E28CB" w:rsidRDefault="00273CDE"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No</w:t>
            </w:r>
          </w:p>
        </w:tc>
      </w:tr>
      <w:tr w:rsidR="004E28CB" w:rsidRPr="004E28CB" w14:paraId="50280488" w14:textId="77777777" w:rsidTr="00115EA1">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4D56CEE8" w14:textId="67C636F9" w:rsidR="003D6846" w:rsidRPr="004E28CB" w:rsidRDefault="00FA678C" w:rsidP="003D6846">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lastRenderedPageBreak/>
              <w:t>QLD</w:t>
            </w:r>
          </w:p>
        </w:tc>
        <w:tc>
          <w:tcPr>
            <w:tcW w:w="1708" w:type="dxa"/>
            <w:vAlign w:val="bottom"/>
          </w:tcPr>
          <w:p w14:paraId="164C72ED" w14:textId="2E05A361" w:rsidR="003D6846" w:rsidRPr="004E28CB" w:rsidRDefault="003D6846"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Upper Condamine Basalts</w:t>
            </w:r>
          </w:p>
        </w:tc>
        <w:tc>
          <w:tcPr>
            <w:tcW w:w="843" w:type="dxa"/>
            <w:vAlign w:val="bottom"/>
          </w:tcPr>
          <w:p w14:paraId="0DE19D02" w14:textId="295997D5" w:rsidR="003D6846" w:rsidRPr="004E28CB" w:rsidRDefault="003D6846"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GS65</w:t>
            </w:r>
          </w:p>
        </w:tc>
        <w:tc>
          <w:tcPr>
            <w:tcW w:w="851" w:type="dxa"/>
            <w:vAlign w:val="bottom"/>
          </w:tcPr>
          <w:p w14:paraId="2350FDF7" w14:textId="6D2286D1" w:rsidR="003D6846" w:rsidRPr="004E28CB" w:rsidRDefault="003D6846"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79.0</w:t>
            </w:r>
          </w:p>
        </w:tc>
        <w:tc>
          <w:tcPr>
            <w:tcW w:w="971" w:type="dxa"/>
            <w:vAlign w:val="bottom"/>
          </w:tcPr>
          <w:p w14:paraId="752BB4F5" w14:textId="609AE1DB" w:rsidR="003D6846" w:rsidRPr="004E28CB" w:rsidRDefault="003D6846"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79.0</w:t>
            </w:r>
          </w:p>
        </w:tc>
        <w:tc>
          <w:tcPr>
            <w:tcW w:w="777" w:type="dxa"/>
            <w:vAlign w:val="bottom"/>
          </w:tcPr>
          <w:p w14:paraId="28CA1F1B" w14:textId="30D777FC" w:rsidR="003D6846" w:rsidRPr="004E28CB" w:rsidRDefault="003D6846"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67.6</w:t>
            </w:r>
          </w:p>
        </w:tc>
        <w:tc>
          <w:tcPr>
            <w:tcW w:w="1121" w:type="dxa"/>
            <w:vAlign w:val="bottom"/>
          </w:tcPr>
          <w:p w14:paraId="6D180B46" w14:textId="5522C7D3" w:rsidR="003D6846" w:rsidRPr="004E28CB" w:rsidRDefault="003D6846"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316.0</w:t>
            </w:r>
          </w:p>
        </w:tc>
        <w:tc>
          <w:tcPr>
            <w:tcW w:w="1121" w:type="dxa"/>
            <w:vAlign w:val="bottom"/>
          </w:tcPr>
          <w:p w14:paraId="4E756CAC" w14:textId="3258DC38" w:rsidR="003D6846" w:rsidRPr="004E28CB" w:rsidRDefault="003D6846"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213.5</w:t>
            </w:r>
          </w:p>
        </w:tc>
        <w:tc>
          <w:tcPr>
            <w:tcW w:w="1234" w:type="dxa"/>
            <w:vAlign w:val="bottom"/>
          </w:tcPr>
          <w:p w14:paraId="09D6E039" w14:textId="16051FC5" w:rsidR="003D6846" w:rsidRPr="004E28CB" w:rsidRDefault="003D6846"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1364A71A" w14:textId="5DA090B9" w:rsidR="003D6846" w:rsidRPr="004E28CB" w:rsidRDefault="003D6846"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176B535C" w14:textId="73DCDFF9" w:rsidR="003D6846" w:rsidRPr="004E28CB" w:rsidRDefault="003D6846"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395.0</w:t>
            </w:r>
          </w:p>
        </w:tc>
        <w:tc>
          <w:tcPr>
            <w:tcW w:w="1034" w:type="dxa"/>
            <w:vAlign w:val="bottom"/>
          </w:tcPr>
          <w:p w14:paraId="0B69ABC5" w14:textId="7B893A55" w:rsidR="003D6846" w:rsidRPr="004E28CB" w:rsidRDefault="003D6846"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281.2</w:t>
            </w:r>
          </w:p>
        </w:tc>
        <w:tc>
          <w:tcPr>
            <w:tcW w:w="1364" w:type="dxa"/>
            <w:gridSpan w:val="3"/>
            <w:vAlign w:val="bottom"/>
          </w:tcPr>
          <w:p w14:paraId="6FEF52A5" w14:textId="5A8FB7DA" w:rsidR="003D6846" w:rsidRPr="004E28CB" w:rsidRDefault="003D6846"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410.8</w:t>
            </w:r>
          </w:p>
        </w:tc>
        <w:tc>
          <w:tcPr>
            <w:tcW w:w="1605" w:type="dxa"/>
            <w:vAlign w:val="bottom"/>
          </w:tcPr>
          <w:p w14:paraId="4B4278FB" w14:textId="568D1277" w:rsidR="003D6846" w:rsidRPr="004E28CB" w:rsidRDefault="003D6846"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No</w:t>
            </w:r>
          </w:p>
        </w:tc>
      </w:tr>
      <w:tr w:rsidR="00E904D8" w:rsidRPr="004E28CB" w14:paraId="49794F6C" w14:textId="77777777" w:rsidTr="00115E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209F46D9" w14:textId="6F218402" w:rsidR="00D20EBA" w:rsidRPr="004E28CB" w:rsidRDefault="00FA678C" w:rsidP="00D20EBA">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QLD</w:t>
            </w:r>
          </w:p>
        </w:tc>
        <w:tc>
          <w:tcPr>
            <w:tcW w:w="1708" w:type="dxa"/>
            <w:vAlign w:val="bottom"/>
          </w:tcPr>
          <w:p w14:paraId="196DC4BB" w14:textId="04CC318D" w:rsidR="00D20EBA" w:rsidRPr="004E28CB" w:rsidRDefault="00D20EB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Warrego Alluvium</w:t>
            </w:r>
          </w:p>
        </w:tc>
        <w:tc>
          <w:tcPr>
            <w:tcW w:w="843" w:type="dxa"/>
            <w:vAlign w:val="bottom"/>
          </w:tcPr>
          <w:p w14:paraId="232101DE" w14:textId="28959E07" w:rsidR="00D20EBA" w:rsidRPr="004E28CB" w:rsidRDefault="00D20EB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GS66</w:t>
            </w:r>
          </w:p>
        </w:tc>
        <w:tc>
          <w:tcPr>
            <w:tcW w:w="851" w:type="dxa"/>
            <w:vAlign w:val="bottom"/>
          </w:tcPr>
          <w:p w14:paraId="44516383" w14:textId="0EDC480A" w:rsidR="00D20EBA" w:rsidRPr="004E28CB" w:rsidRDefault="00D20EB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10.2</w:t>
            </w:r>
          </w:p>
        </w:tc>
        <w:tc>
          <w:tcPr>
            <w:tcW w:w="971" w:type="dxa"/>
            <w:vAlign w:val="bottom"/>
          </w:tcPr>
          <w:p w14:paraId="01636578" w14:textId="33C464C6" w:rsidR="00D20EBA" w:rsidRPr="004E28CB" w:rsidRDefault="00D20EB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0.8</w:t>
            </w:r>
          </w:p>
        </w:tc>
        <w:tc>
          <w:tcPr>
            <w:tcW w:w="777" w:type="dxa"/>
            <w:vAlign w:val="bottom"/>
          </w:tcPr>
          <w:p w14:paraId="5D386E01" w14:textId="105AE22A" w:rsidR="00D20EBA" w:rsidRPr="004E28CB" w:rsidRDefault="00D20EB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0.8</w:t>
            </w:r>
          </w:p>
        </w:tc>
        <w:tc>
          <w:tcPr>
            <w:tcW w:w="1121" w:type="dxa"/>
            <w:vAlign w:val="bottom"/>
          </w:tcPr>
          <w:p w14:paraId="58E10C28" w14:textId="09A31DC2" w:rsidR="00D20EBA" w:rsidRPr="004E28CB" w:rsidRDefault="00D20EB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3.1</w:t>
            </w:r>
          </w:p>
        </w:tc>
        <w:tc>
          <w:tcPr>
            <w:tcW w:w="1121" w:type="dxa"/>
            <w:vAlign w:val="bottom"/>
          </w:tcPr>
          <w:p w14:paraId="4C9C4022" w14:textId="51B94D4E" w:rsidR="00D20EBA" w:rsidRPr="004E28CB" w:rsidRDefault="00D20EB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3.1</w:t>
            </w:r>
          </w:p>
        </w:tc>
        <w:tc>
          <w:tcPr>
            <w:tcW w:w="1234" w:type="dxa"/>
            <w:vAlign w:val="bottom"/>
          </w:tcPr>
          <w:p w14:paraId="21553DE2" w14:textId="4CD77B28" w:rsidR="00D20EBA" w:rsidRPr="004E28CB" w:rsidRDefault="00D20EB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5E33BF4C" w14:textId="019C94DD" w:rsidR="00D20EBA" w:rsidRPr="004E28CB" w:rsidRDefault="00D20EB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023EA94B" w14:textId="6F0781E7" w:rsidR="00D20EBA" w:rsidRPr="004E28CB" w:rsidRDefault="00D20EB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3.8</w:t>
            </w:r>
          </w:p>
        </w:tc>
        <w:tc>
          <w:tcPr>
            <w:tcW w:w="1034" w:type="dxa"/>
            <w:vAlign w:val="bottom"/>
          </w:tcPr>
          <w:p w14:paraId="38F15E31" w14:textId="0E0F6DCA" w:rsidR="00D20EBA" w:rsidRPr="004E28CB" w:rsidRDefault="00D20EB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3.8</w:t>
            </w:r>
          </w:p>
        </w:tc>
        <w:tc>
          <w:tcPr>
            <w:tcW w:w="1364" w:type="dxa"/>
            <w:gridSpan w:val="3"/>
            <w:vAlign w:val="bottom"/>
          </w:tcPr>
          <w:p w14:paraId="1EB73D45" w14:textId="00F38892" w:rsidR="00D20EBA" w:rsidRPr="004E28CB" w:rsidRDefault="00D20EB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5.9</w:t>
            </w:r>
          </w:p>
        </w:tc>
        <w:tc>
          <w:tcPr>
            <w:tcW w:w="1605" w:type="dxa"/>
            <w:vAlign w:val="bottom"/>
          </w:tcPr>
          <w:p w14:paraId="76B644C6" w14:textId="19CB06A2" w:rsidR="00D20EBA" w:rsidRPr="004E28CB" w:rsidRDefault="00D20EB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No</w:t>
            </w:r>
          </w:p>
        </w:tc>
      </w:tr>
      <w:tr w:rsidR="004E28CB" w:rsidRPr="004E28CB" w14:paraId="56265699" w14:textId="77777777" w:rsidTr="00115EA1">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0D918FD8" w14:textId="1647145A" w:rsidR="00FA678C" w:rsidRPr="004E28CB" w:rsidRDefault="00BB610B" w:rsidP="00FA678C">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SA</w:t>
            </w:r>
          </w:p>
        </w:tc>
        <w:tc>
          <w:tcPr>
            <w:tcW w:w="1708" w:type="dxa"/>
            <w:vAlign w:val="bottom"/>
          </w:tcPr>
          <w:p w14:paraId="24481249" w14:textId="02C1C47E" w:rsidR="00FA678C" w:rsidRPr="004E28CB" w:rsidRDefault="00FA678C"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Angas Bremer (Quaternary Sediments)</w:t>
            </w:r>
          </w:p>
        </w:tc>
        <w:tc>
          <w:tcPr>
            <w:tcW w:w="843" w:type="dxa"/>
            <w:vAlign w:val="bottom"/>
          </w:tcPr>
          <w:p w14:paraId="7BF23290" w14:textId="5E9BCE58" w:rsidR="00FA678C" w:rsidRPr="004E28CB" w:rsidRDefault="00FA678C"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GS1a</w:t>
            </w:r>
          </w:p>
        </w:tc>
        <w:tc>
          <w:tcPr>
            <w:tcW w:w="851" w:type="dxa"/>
            <w:vAlign w:val="bottom"/>
          </w:tcPr>
          <w:p w14:paraId="158AB96C" w14:textId="1A47E522" w:rsidR="00FA678C" w:rsidRPr="004E28CB" w:rsidRDefault="00FA678C"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1.1</w:t>
            </w:r>
          </w:p>
        </w:tc>
        <w:tc>
          <w:tcPr>
            <w:tcW w:w="971" w:type="dxa"/>
            <w:vAlign w:val="bottom"/>
          </w:tcPr>
          <w:p w14:paraId="05F8287F" w14:textId="532E07B1" w:rsidR="00FA678C" w:rsidRPr="004E28CB" w:rsidRDefault="00FA678C"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0.3</w:t>
            </w:r>
          </w:p>
        </w:tc>
        <w:tc>
          <w:tcPr>
            <w:tcW w:w="777" w:type="dxa"/>
            <w:vAlign w:val="bottom"/>
          </w:tcPr>
          <w:p w14:paraId="1C3655D3" w14:textId="27E9EFF0" w:rsidR="00FA678C" w:rsidRPr="004E28CB" w:rsidRDefault="00FA678C"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121" w:type="dxa"/>
            <w:vAlign w:val="bottom"/>
          </w:tcPr>
          <w:p w14:paraId="6B873047" w14:textId="54A68D79" w:rsidR="00FA678C" w:rsidRPr="004E28CB" w:rsidRDefault="00FA678C"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1.0</w:t>
            </w:r>
          </w:p>
        </w:tc>
        <w:tc>
          <w:tcPr>
            <w:tcW w:w="1121" w:type="dxa"/>
            <w:vAlign w:val="bottom"/>
          </w:tcPr>
          <w:p w14:paraId="3C540F93" w14:textId="148E3925" w:rsidR="00FA678C" w:rsidRPr="004E28CB" w:rsidRDefault="00FA678C"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7FE656EF" w14:textId="2F330048" w:rsidR="00FA678C" w:rsidRPr="004E28CB" w:rsidRDefault="00FA678C"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42A21B8A" w14:textId="529E9AB4" w:rsidR="00FA678C" w:rsidRPr="004E28CB" w:rsidRDefault="00FA678C"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60075BC4" w14:textId="29A1CF59" w:rsidR="00FA678C" w:rsidRPr="004E28CB" w:rsidRDefault="00FA678C"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1.3</w:t>
            </w:r>
          </w:p>
        </w:tc>
        <w:tc>
          <w:tcPr>
            <w:tcW w:w="1034" w:type="dxa"/>
            <w:vAlign w:val="bottom"/>
          </w:tcPr>
          <w:p w14:paraId="155857DB" w14:textId="3F9C48A6" w:rsidR="00FA678C" w:rsidRPr="004E28CB" w:rsidRDefault="00FA678C"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364" w:type="dxa"/>
            <w:gridSpan w:val="3"/>
            <w:vAlign w:val="bottom"/>
          </w:tcPr>
          <w:p w14:paraId="792F2461" w14:textId="699BCE6F" w:rsidR="00FA678C" w:rsidRPr="004E28CB" w:rsidRDefault="00FA678C"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1.5</w:t>
            </w:r>
          </w:p>
        </w:tc>
        <w:tc>
          <w:tcPr>
            <w:tcW w:w="1605" w:type="dxa"/>
            <w:vAlign w:val="bottom"/>
          </w:tcPr>
          <w:p w14:paraId="20938371" w14:textId="194B7921" w:rsidR="00FA678C" w:rsidRPr="004E28CB" w:rsidRDefault="00FA678C"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No</w:t>
            </w:r>
          </w:p>
        </w:tc>
      </w:tr>
      <w:tr w:rsidR="00E904D8" w:rsidRPr="004E28CB" w14:paraId="09013953" w14:textId="77777777" w:rsidTr="00115E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767A1082" w14:textId="797CFFC9" w:rsidR="00871CBA" w:rsidRPr="004E28CB" w:rsidRDefault="00871CBA" w:rsidP="00871CBA">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SA</w:t>
            </w:r>
          </w:p>
        </w:tc>
        <w:tc>
          <w:tcPr>
            <w:tcW w:w="1708" w:type="dxa"/>
            <w:vAlign w:val="bottom"/>
          </w:tcPr>
          <w:p w14:paraId="43D842BD" w14:textId="45D178A3" w:rsidR="00871CBA" w:rsidRPr="004E28CB" w:rsidRDefault="00871CB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Angas Bremer (Murray Group Limestone)</w:t>
            </w:r>
          </w:p>
        </w:tc>
        <w:tc>
          <w:tcPr>
            <w:tcW w:w="843" w:type="dxa"/>
            <w:vAlign w:val="bottom"/>
          </w:tcPr>
          <w:p w14:paraId="5A851BB5" w14:textId="100DED12" w:rsidR="00871CBA" w:rsidRPr="004E28CB" w:rsidRDefault="00871CB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GS1b</w:t>
            </w:r>
          </w:p>
        </w:tc>
        <w:tc>
          <w:tcPr>
            <w:tcW w:w="851" w:type="dxa"/>
            <w:vAlign w:val="bottom"/>
          </w:tcPr>
          <w:p w14:paraId="3F84E0CC" w14:textId="014C7594" w:rsidR="00871CBA" w:rsidRPr="004E28CB" w:rsidRDefault="00871CB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6.6</w:t>
            </w:r>
          </w:p>
        </w:tc>
        <w:tc>
          <w:tcPr>
            <w:tcW w:w="971" w:type="dxa"/>
            <w:vAlign w:val="bottom"/>
          </w:tcPr>
          <w:p w14:paraId="67B0B71E" w14:textId="6D475E6B" w:rsidR="00871CBA" w:rsidRPr="004E28CB" w:rsidRDefault="00871CB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6.6</w:t>
            </w:r>
          </w:p>
        </w:tc>
        <w:tc>
          <w:tcPr>
            <w:tcW w:w="777" w:type="dxa"/>
            <w:vAlign w:val="bottom"/>
          </w:tcPr>
          <w:p w14:paraId="016DDEE8" w14:textId="65FE1CCA" w:rsidR="00871CBA" w:rsidRPr="004E28CB" w:rsidRDefault="00871CB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0.8</w:t>
            </w:r>
          </w:p>
        </w:tc>
        <w:tc>
          <w:tcPr>
            <w:tcW w:w="1121" w:type="dxa"/>
            <w:vAlign w:val="bottom"/>
          </w:tcPr>
          <w:p w14:paraId="6F0D180F" w14:textId="60A368BE" w:rsidR="00871CBA" w:rsidRPr="004E28CB" w:rsidRDefault="00871CB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26.3</w:t>
            </w:r>
          </w:p>
        </w:tc>
        <w:tc>
          <w:tcPr>
            <w:tcW w:w="1121" w:type="dxa"/>
            <w:vAlign w:val="bottom"/>
          </w:tcPr>
          <w:p w14:paraId="6460F6FA" w14:textId="77F6286C" w:rsidR="00871CBA" w:rsidRPr="004E28CB" w:rsidRDefault="00871CB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4.3</w:t>
            </w:r>
          </w:p>
        </w:tc>
        <w:tc>
          <w:tcPr>
            <w:tcW w:w="1234" w:type="dxa"/>
            <w:vAlign w:val="bottom"/>
          </w:tcPr>
          <w:p w14:paraId="76EFC00A" w14:textId="3979AA8D" w:rsidR="00871CBA" w:rsidRPr="004E28CB" w:rsidRDefault="00871CB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66A73D10" w14:textId="0B90ABAF" w:rsidR="00871CBA" w:rsidRPr="004E28CB" w:rsidRDefault="00871CB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38DE6B5A" w14:textId="4816FE7D" w:rsidR="00871CBA" w:rsidRPr="004E28CB" w:rsidRDefault="00871CB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32.9</w:t>
            </w:r>
          </w:p>
        </w:tc>
        <w:tc>
          <w:tcPr>
            <w:tcW w:w="1034" w:type="dxa"/>
            <w:vAlign w:val="bottom"/>
          </w:tcPr>
          <w:p w14:paraId="47C91BAF" w14:textId="352DD7CE" w:rsidR="00871CBA" w:rsidRPr="004E28CB" w:rsidRDefault="00871CB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5.0</w:t>
            </w:r>
          </w:p>
        </w:tc>
        <w:tc>
          <w:tcPr>
            <w:tcW w:w="1364" w:type="dxa"/>
            <w:gridSpan w:val="3"/>
            <w:vAlign w:val="bottom"/>
          </w:tcPr>
          <w:p w14:paraId="0937E710" w14:textId="3ABCBDDF" w:rsidR="00871CBA" w:rsidRPr="004E28CB" w:rsidRDefault="00871CB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34.2</w:t>
            </w:r>
          </w:p>
        </w:tc>
        <w:tc>
          <w:tcPr>
            <w:tcW w:w="1605" w:type="dxa"/>
            <w:vAlign w:val="bottom"/>
          </w:tcPr>
          <w:p w14:paraId="40A80629" w14:textId="75CCEB26" w:rsidR="00871CBA" w:rsidRPr="004E28CB" w:rsidRDefault="00871CBA"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No</w:t>
            </w:r>
          </w:p>
        </w:tc>
      </w:tr>
      <w:tr w:rsidR="004E28CB" w:rsidRPr="004E28CB" w14:paraId="223977EF" w14:textId="77777777" w:rsidTr="00115EA1">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27A48FC4" w14:textId="4DB9295E" w:rsidR="004B635D" w:rsidRPr="004E28CB" w:rsidRDefault="004B635D" w:rsidP="004B635D">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SA</w:t>
            </w:r>
          </w:p>
        </w:tc>
        <w:tc>
          <w:tcPr>
            <w:tcW w:w="1708" w:type="dxa"/>
            <w:vAlign w:val="bottom"/>
          </w:tcPr>
          <w:p w14:paraId="6F2C234F" w14:textId="41B03346" w:rsidR="004B635D" w:rsidRPr="004E28CB" w:rsidRDefault="004B635D"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Eastern Mount Lofty Ranges</w:t>
            </w:r>
          </w:p>
        </w:tc>
        <w:tc>
          <w:tcPr>
            <w:tcW w:w="843" w:type="dxa"/>
            <w:vAlign w:val="bottom"/>
          </w:tcPr>
          <w:p w14:paraId="0B5392BD" w14:textId="1FABE5EA" w:rsidR="004B635D" w:rsidRPr="004E28CB" w:rsidRDefault="004B635D"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GS2</w:t>
            </w:r>
          </w:p>
        </w:tc>
        <w:tc>
          <w:tcPr>
            <w:tcW w:w="851" w:type="dxa"/>
            <w:vAlign w:val="bottom"/>
          </w:tcPr>
          <w:p w14:paraId="2031104A" w14:textId="20A0018D" w:rsidR="004B635D" w:rsidRPr="004E28CB" w:rsidRDefault="004B635D"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38.5</w:t>
            </w:r>
          </w:p>
        </w:tc>
        <w:tc>
          <w:tcPr>
            <w:tcW w:w="971" w:type="dxa"/>
            <w:vAlign w:val="bottom"/>
          </w:tcPr>
          <w:p w14:paraId="154AA022" w14:textId="356832E6" w:rsidR="004B635D" w:rsidRPr="004E28CB" w:rsidRDefault="004B635D"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38.5</w:t>
            </w:r>
          </w:p>
        </w:tc>
        <w:tc>
          <w:tcPr>
            <w:tcW w:w="777" w:type="dxa"/>
            <w:vAlign w:val="bottom"/>
          </w:tcPr>
          <w:p w14:paraId="6AEDE322" w14:textId="79756FA0" w:rsidR="004B635D" w:rsidRPr="004E28CB" w:rsidRDefault="004B635D"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9.5</w:t>
            </w:r>
          </w:p>
        </w:tc>
        <w:tc>
          <w:tcPr>
            <w:tcW w:w="1121" w:type="dxa"/>
            <w:vAlign w:val="bottom"/>
          </w:tcPr>
          <w:p w14:paraId="432F84B0" w14:textId="294857AB" w:rsidR="004B635D" w:rsidRPr="004E28CB" w:rsidRDefault="004B635D"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154.0</w:t>
            </w:r>
          </w:p>
        </w:tc>
        <w:tc>
          <w:tcPr>
            <w:tcW w:w="1121" w:type="dxa"/>
            <w:vAlign w:val="bottom"/>
          </w:tcPr>
          <w:p w14:paraId="11023F2A" w14:textId="57580F6A" w:rsidR="004B635D" w:rsidRPr="004E28CB" w:rsidRDefault="004B635D"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39.9</w:t>
            </w:r>
          </w:p>
        </w:tc>
        <w:tc>
          <w:tcPr>
            <w:tcW w:w="1234" w:type="dxa"/>
            <w:vAlign w:val="bottom"/>
          </w:tcPr>
          <w:p w14:paraId="1E3DDEF7" w14:textId="68543C9B" w:rsidR="004B635D" w:rsidRPr="004E28CB" w:rsidRDefault="004B635D"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469F5FC1" w14:textId="02A6041E" w:rsidR="004B635D" w:rsidRPr="004E28CB" w:rsidRDefault="004B635D"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6B294787" w14:textId="35F8A567" w:rsidR="004B635D" w:rsidRPr="004E28CB" w:rsidRDefault="004B635D"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192.5</w:t>
            </w:r>
          </w:p>
        </w:tc>
        <w:tc>
          <w:tcPr>
            <w:tcW w:w="1034" w:type="dxa"/>
            <w:vAlign w:val="bottom"/>
          </w:tcPr>
          <w:p w14:paraId="29A9ECC5" w14:textId="1EEE243C" w:rsidR="004B635D" w:rsidRPr="004E28CB" w:rsidRDefault="004B635D"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49.4</w:t>
            </w:r>
          </w:p>
        </w:tc>
        <w:tc>
          <w:tcPr>
            <w:tcW w:w="1364" w:type="dxa"/>
            <w:gridSpan w:val="3"/>
            <w:vAlign w:val="bottom"/>
          </w:tcPr>
          <w:p w14:paraId="76ED1C9A" w14:textId="30F0C4AD" w:rsidR="004B635D" w:rsidRPr="004E28CB" w:rsidRDefault="004B635D"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200.2</w:t>
            </w:r>
          </w:p>
        </w:tc>
        <w:tc>
          <w:tcPr>
            <w:tcW w:w="1605" w:type="dxa"/>
            <w:vAlign w:val="bottom"/>
          </w:tcPr>
          <w:p w14:paraId="016F3463" w14:textId="1FB5E123" w:rsidR="004B635D" w:rsidRPr="004E28CB" w:rsidRDefault="004B635D"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No</w:t>
            </w:r>
          </w:p>
        </w:tc>
      </w:tr>
      <w:tr w:rsidR="00E904D8" w:rsidRPr="004E28CB" w14:paraId="642D0EB5" w14:textId="77777777" w:rsidTr="00115E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1424A698" w14:textId="523BF1D7" w:rsidR="001A5D97" w:rsidRPr="004E28CB" w:rsidRDefault="001A5D97" w:rsidP="001A5D97">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SA</w:t>
            </w:r>
          </w:p>
        </w:tc>
        <w:tc>
          <w:tcPr>
            <w:tcW w:w="1708" w:type="dxa"/>
            <w:vAlign w:val="bottom"/>
          </w:tcPr>
          <w:p w14:paraId="5D17D595" w14:textId="220F263E" w:rsidR="001A5D97" w:rsidRPr="004E28CB" w:rsidRDefault="001A5D97"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Mallee (Pliocene Sands)</w:t>
            </w:r>
          </w:p>
        </w:tc>
        <w:tc>
          <w:tcPr>
            <w:tcW w:w="843" w:type="dxa"/>
            <w:vAlign w:val="bottom"/>
          </w:tcPr>
          <w:p w14:paraId="76699017" w14:textId="3A3AD331" w:rsidR="001A5D97" w:rsidRPr="004E28CB" w:rsidRDefault="001A5D97"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GS3a</w:t>
            </w:r>
          </w:p>
        </w:tc>
        <w:tc>
          <w:tcPr>
            <w:tcW w:w="851" w:type="dxa"/>
            <w:vAlign w:val="bottom"/>
          </w:tcPr>
          <w:p w14:paraId="4AC9AFD3" w14:textId="7DC4E141" w:rsidR="001A5D97" w:rsidRPr="004E28CB" w:rsidRDefault="001A5D97"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41.4</w:t>
            </w:r>
          </w:p>
        </w:tc>
        <w:tc>
          <w:tcPr>
            <w:tcW w:w="971" w:type="dxa"/>
            <w:vAlign w:val="bottom"/>
          </w:tcPr>
          <w:p w14:paraId="366B1A07" w14:textId="05026E62" w:rsidR="001A5D97" w:rsidRPr="004E28CB" w:rsidRDefault="001A5D97"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41.4</w:t>
            </w:r>
          </w:p>
        </w:tc>
        <w:tc>
          <w:tcPr>
            <w:tcW w:w="777" w:type="dxa"/>
            <w:vAlign w:val="bottom"/>
          </w:tcPr>
          <w:p w14:paraId="45D2595B" w14:textId="49514B24" w:rsidR="001A5D97" w:rsidRPr="004E28CB" w:rsidRDefault="001A5D97"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121" w:type="dxa"/>
            <w:vAlign w:val="bottom"/>
          </w:tcPr>
          <w:p w14:paraId="31BAD798" w14:textId="4EBC7DFE" w:rsidR="001A5D97" w:rsidRPr="004E28CB" w:rsidRDefault="001A5D97"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165.6</w:t>
            </w:r>
          </w:p>
        </w:tc>
        <w:tc>
          <w:tcPr>
            <w:tcW w:w="1121" w:type="dxa"/>
            <w:vAlign w:val="bottom"/>
          </w:tcPr>
          <w:p w14:paraId="67EDAC65" w14:textId="303A51EA" w:rsidR="001A5D97" w:rsidRPr="004E28CB" w:rsidRDefault="001A5D97"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23FB9827" w14:textId="48655347" w:rsidR="001A5D97" w:rsidRPr="004E28CB" w:rsidRDefault="001A5D97"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0608D482" w14:textId="72389964" w:rsidR="001A5D97" w:rsidRPr="004E28CB" w:rsidRDefault="001A5D97"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1BCD2584" w14:textId="00617FED" w:rsidR="001A5D97" w:rsidRPr="004E28CB" w:rsidRDefault="001A5D97"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207.0</w:t>
            </w:r>
          </w:p>
        </w:tc>
        <w:tc>
          <w:tcPr>
            <w:tcW w:w="1034" w:type="dxa"/>
            <w:vAlign w:val="bottom"/>
          </w:tcPr>
          <w:p w14:paraId="28250BD3" w14:textId="37755E78" w:rsidR="001A5D97" w:rsidRPr="004E28CB" w:rsidRDefault="001A5D97"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364" w:type="dxa"/>
            <w:gridSpan w:val="3"/>
            <w:vAlign w:val="bottom"/>
          </w:tcPr>
          <w:p w14:paraId="30437372" w14:textId="2CB6045A" w:rsidR="001A5D97" w:rsidRPr="004E28CB" w:rsidRDefault="001A5D97"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215.3</w:t>
            </w:r>
          </w:p>
        </w:tc>
        <w:tc>
          <w:tcPr>
            <w:tcW w:w="1605" w:type="dxa"/>
            <w:vAlign w:val="bottom"/>
          </w:tcPr>
          <w:p w14:paraId="26B0B56E" w14:textId="5DD1C1FE" w:rsidR="001A5D97" w:rsidRPr="004E28CB" w:rsidRDefault="001A5D97"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No</w:t>
            </w:r>
          </w:p>
        </w:tc>
      </w:tr>
      <w:tr w:rsidR="004E28CB" w:rsidRPr="004E28CB" w14:paraId="7D7520A6" w14:textId="77777777" w:rsidTr="00115EA1">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79CB5F6B" w14:textId="603ED80A" w:rsidR="00C83AEC" w:rsidRPr="004E28CB" w:rsidRDefault="00C83AEC" w:rsidP="00C83AEC">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SA</w:t>
            </w:r>
          </w:p>
        </w:tc>
        <w:tc>
          <w:tcPr>
            <w:tcW w:w="1708" w:type="dxa"/>
            <w:vAlign w:val="bottom"/>
          </w:tcPr>
          <w:p w14:paraId="0A188AF4" w14:textId="4DF544AC" w:rsidR="00C83AEC" w:rsidRPr="004E28CB" w:rsidRDefault="00C83AEC"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Mallee (Murray Group Limestone)</w:t>
            </w:r>
          </w:p>
        </w:tc>
        <w:tc>
          <w:tcPr>
            <w:tcW w:w="843" w:type="dxa"/>
            <w:vAlign w:val="bottom"/>
          </w:tcPr>
          <w:p w14:paraId="6A976883" w14:textId="55584FAD" w:rsidR="00C83AEC" w:rsidRPr="004E28CB" w:rsidRDefault="00C83AEC"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GS3b</w:t>
            </w:r>
          </w:p>
        </w:tc>
        <w:tc>
          <w:tcPr>
            <w:tcW w:w="851" w:type="dxa"/>
            <w:vAlign w:val="bottom"/>
          </w:tcPr>
          <w:p w14:paraId="4D915A6E" w14:textId="37F58DD8" w:rsidR="00C83AEC" w:rsidRPr="004E28CB" w:rsidRDefault="00C83AEC"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63.6</w:t>
            </w:r>
          </w:p>
        </w:tc>
        <w:tc>
          <w:tcPr>
            <w:tcW w:w="971" w:type="dxa"/>
            <w:vAlign w:val="bottom"/>
          </w:tcPr>
          <w:p w14:paraId="5C471CEE" w14:textId="624F63D2" w:rsidR="00C83AEC" w:rsidRPr="004E28CB" w:rsidRDefault="00C83AEC"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63.6</w:t>
            </w:r>
          </w:p>
        </w:tc>
        <w:tc>
          <w:tcPr>
            <w:tcW w:w="777" w:type="dxa"/>
            <w:vAlign w:val="bottom"/>
          </w:tcPr>
          <w:p w14:paraId="2F2DB0AD" w14:textId="1AB54CA7" w:rsidR="00C83AEC" w:rsidRPr="004E28CB" w:rsidRDefault="00C83AEC"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38.0</w:t>
            </w:r>
          </w:p>
        </w:tc>
        <w:tc>
          <w:tcPr>
            <w:tcW w:w="1121" w:type="dxa"/>
            <w:vAlign w:val="bottom"/>
          </w:tcPr>
          <w:p w14:paraId="06DFAB00" w14:textId="384A6295" w:rsidR="00C83AEC" w:rsidRPr="004E28CB" w:rsidRDefault="00C83AEC"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254.4</w:t>
            </w:r>
          </w:p>
        </w:tc>
        <w:tc>
          <w:tcPr>
            <w:tcW w:w="1121" w:type="dxa"/>
            <w:vAlign w:val="bottom"/>
          </w:tcPr>
          <w:p w14:paraId="4DAFE3C9" w14:textId="18B4C5A6" w:rsidR="00C83AEC" w:rsidRPr="004E28CB" w:rsidRDefault="00C83AEC"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136.5</w:t>
            </w:r>
          </w:p>
        </w:tc>
        <w:tc>
          <w:tcPr>
            <w:tcW w:w="1234" w:type="dxa"/>
            <w:vAlign w:val="bottom"/>
          </w:tcPr>
          <w:p w14:paraId="6FC2661E" w14:textId="6A0F2AC6" w:rsidR="00C83AEC" w:rsidRPr="004E28CB" w:rsidRDefault="00C83AEC"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0FD46D69" w14:textId="62E8D3FB" w:rsidR="00C83AEC" w:rsidRPr="004E28CB" w:rsidRDefault="00C83AEC"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637606D2" w14:textId="19192D29" w:rsidR="00C83AEC" w:rsidRPr="004E28CB" w:rsidRDefault="00C83AEC"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318.0</w:t>
            </w:r>
          </w:p>
        </w:tc>
        <w:tc>
          <w:tcPr>
            <w:tcW w:w="1034" w:type="dxa"/>
            <w:vAlign w:val="bottom"/>
          </w:tcPr>
          <w:p w14:paraId="41F0908A" w14:textId="75E643BA" w:rsidR="00C83AEC" w:rsidRPr="004E28CB" w:rsidRDefault="00C83AEC"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174.5</w:t>
            </w:r>
          </w:p>
        </w:tc>
        <w:tc>
          <w:tcPr>
            <w:tcW w:w="1364" w:type="dxa"/>
            <w:gridSpan w:val="3"/>
            <w:vAlign w:val="bottom"/>
          </w:tcPr>
          <w:p w14:paraId="44E5C756" w14:textId="1DC11B80" w:rsidR="00C83AEC" w:rsidRPr="004E28CB" w:rsidRDefault="00C83AEC"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330.7</w:t>
            </w:r>
          </w:p>
        </w:tc>
        <w:tc>
          <w:tcPr>
            <w:tcW w:w="1605" w:type="dxa"/>
            <w:vAlign w:val="bottom"/>
          </w:tcPr>
          <w:p w14:paraId="3E1D19D7" w14:textId="1448CAC1" w:rsidR="00C83AEC" w:rsidRPr="004E28CB" w:rsidRDefault="00C83AEC"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No</w:t>
            </w:r>
          </w:p>
        </w:tc>
      </w:tr>
      <w:tr w:rsidR="00E904D8" w:rsidRPr="004E28CB" w14:paraId="4196FAA6" w14:textId="77777777" w:rsidTr="00115E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69777E78" w14:textId="0BBD9AC2" w:rsidR="00670BE3" w:rsidRPr="004E28CB" w:rsidRDefault="00670BE3" w:rsidP="00670BE3">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SA</w:t>
            </w:r>
          </w:p>
        </w:tc>
        <w:tc>
          <w:tcPr>
            <w:tcW w:w="1708" w:type="dxa"/>
            <w:vAlign w:val="bottom"/>
          </w:tcPr>
          <w:p w14:paraId="283BA76C" w14:textId="0F6B79D8" w:rsidR="00670BE3" w:rsidRPr="004E28CB" w:rsidRDefault="00670BE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Mallee (Renmark Group)</w:t>
            </w:r>
          </w:p>
        </w:tc>
        <w:tc>
          <w:tcPr>
            <w:tcW w:w="843" w:type="dxa"/>
            <w:vAlign w:val="bottom"/>
          </w:tcPr>
          <w:p w14:paraId="1392AE4F" w14:textId="292E0B4B" w:rsidR="00670BE3" w:rsidRPr="004E28CB" w:rsidRDefault="00670BE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GS3c</w:t>
            </w:r>
          </w:p>
        </w:tc>
        <w:tc>
          <w:tcPr>
            <w:tcW w:w="851" w:type="dxa"/>
            <w:vAlign w:val="bottom"/>
          </w:tcPr>
          <w:p w14:paraId="7D35B887" w14:textId="6673FC15" w:rsidR="00670BE3" w:rsidRPr="004E28CB" w:rsidRDefault="00670BE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2.0</w:t>
            </w:r>
          </w:p>
        </w:tc>
        <w:tc>
          <w:tcPr>
            <w:tcW w:w="971" w:type="dxa"/>
            <w:vAlign w:val="bottom"/>
          </w:tcPr>
          <w:p w14:paraId="10F51D37" w14:textId="0A9AA88B" w:rsidR="00670BE3" w:rsidRPr="004E28CB" w:rsidRDefault="00670BE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2.0</w:t>
            </w:r>
          </w:p>
        </w:tc>
        <w:tc>
          <w:tcPr>
            <w:tcW w:w="777" w:type="dxa"/>
            <w:vAlign w:val="bottom"/>
          </w:tcPr>
          <w:p w14:paraId="266E785C" w14:textId="6A409A16" w:rsidR="00670BE3" w:rsidRPr="004E28CB" w:rsidRDefault="00670BE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121" w:type="dxa"/>
            <w:vAlign w:val="bottom"/>
          </w:tcPr>
          <w:p w14:paraId="770C2FCB" w14:textId="4B6423AB" w:rsidR="00670BE3" w:rsidRPr="004E28CB" w:rsidRDefault="00670BE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8.0</w:t>
            </w:r>
          </w:p>
        </w:tc>
        <w:tc>
          <w:tcPr>
            <w:tcW w:w="1121" w:type="dxa"/>
            <w:vAlign w:val="bottom"/>
          </w:tcPr>
          <w:p w14:paraId="29927ECD" w14:textId="5BB9439E" w:rsidR="00670BE3" w:rsidRPr="004E28CB" w:rsidRDefault="00670BE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74174248" w14:textId="6D63DED6" w:rsidR="00670BE3" w:rsidRPr="004E28CB" w:rsidRDefault="00670BE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3B56ACC2" w14:textId="2B689ACD" w:rsidR="00670BE3" w:rsidRPr="004E28CB" w:rsidRDefault="00670BE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072E57D6" w14:textId="6707630B" w:rsidR="00670BE3" w:rsidRPr="004E28CB" w:rsidRDefault="00670BE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10.0</w:t>
            </w:r>
          </w:p>
        </w:tc>
        <w:tc>
          <w:tcPr>
            <w:tcW w:w="1034" w:type="dxa"/>
            <w:vAlign w:val="bottom"/>
          </w:tcPr>
          <w:p w14:paraId="17EC598D" w14:textId="216F7C28" w:rsidR="00670BE3" w:rsidRPr="004E28CB" w:rsidRDefault="00670BE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364" w:type="dxa"/>
            <w:gridSpan w:val="3"/>
            <w:vAlign w:val="bottom"/>
          </w:tcPr>
          <w:p w14:paraId="61344186" w14:textId="4CFAD83B" w:rsidR="00670BE3" w:rsidRPr="004E28CB" w:rsidRDefault="00670BE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10.4</w:t>
            </w:r>
          </w:p>
        </w:tc>
        <w:tc>
          <w:tcPr>
            <w:tcW w:w="1605" w:type="dxa"/>
            <w:vAlign w:val="bottom"/>
          </w:tcPr>
          <w:p w14:paraId="2CC2A093" w14:textId="4E463722" w:rsidR="00670BE3" w:rsidRPr="004E28CB" w:rsidRDefault="00670BE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No</w:t>
            </w:r>
          </w:p>
        </w:tc>
      </w:tr>
      <w:tr w:rsidR="004E28CB" w:rsidRPr="004E28CB" w14:paraId="57CDB8B9" w14:textId="77777777" w:rsidTr="00115EA1">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423FDCE8" w14:textId="692F5D06" w:rsidR="00670BE3" w:rsidRPr="004E28CB" w:rsidRDefault="00670BE3" w:rsidP="00670BE3">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SA</w:t>
            </w:r>
          </w:p>
        </w:tc>
        <w:tc>
          <w:tcPr>
            <w:tcW w:w="1708" w:type="dxa"/>
            <w:vAlign w:val="bottom"/>
          </w:tcPr>
          <w:p w14:paraId="270A8733" w14:textId="64D955D8" w:rsidR="00670BE3" w:rsidRPr="004E28CB" w:rsidRDefault="00670BE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Marne Saunders (Fractured Rock)</w:t>
            </w:r>
          </w:p>
        </w:tc>
        <w:tc>
          <w:tcPr>
            <w:tcW w:w="843" w:type="dxa"/>
            <w:vAlign w:val="bottom"/>
          </w:tcPr>
          <w:p w14:paraId="59F17DFA" w14:textId="00BF224E" w:rsidR="00670BE3" w:rsidRPr="004E28CB" w:rsidRDefault="00670BE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GS4a</w:t>
            </w:r>
          </w:p>
        </w:tc>
        <w:tc>
          <w:tcPr>
            <w:tcW w:w="851" w:type="dxa"/>
            <w:vAlign w:val="bottom"/>
          </w:tcPr>
          <w:p w14:paraId="207AC07B" w14:textId="3F93ADDA" w:rsidR="00670BE3" w:rsidRPr="004E28CB" w:rsidRDefault="00670BE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2.1</w:t>
            </w:r>
          </w:p>
        </w:tc>
        <w:tc>
          <w:tcPr>
            <w:tcW w:w="971" w:type="dxa"/>
            <w:vAlign w:val="bottom"/>
          </w:tcPr>
          <w:p w14:paraId="2036EE4D" w14:textId="1F8161C9" w:rsidR="00670BE3" w:rsidRPr="004E28CB" w:rsidRDefault="00670BE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2.1</w:t>
            </w:r>
          </w:p>
        </w:tc>
        <w:tc>
          <w:tcPr>
            <w:tcW w:w="777" w:type="dxa"/>
            <w:vAlign w:val="bottom"/>
          </w:tcPr>
          <w:p w14:paraId="7660BB9D" w14:textId="419115F0" w:rsidR="00670BE3" w:rsidRPr="004E28CB" w:rsidRDefault="00670BE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0.5</w:t>
            </w:r>
          </w:p>
        </w:tc>
        <w:tc>
          <w:tcPr>
            <w:tcW w:w="1121" w:type="dxa"/>
            <w:vAlign w:val="bottom"/>
          </w:tcPr>
          <w:p w14:paraId="780A6659" w14:textId="760381AF" w:rsidR="00670BE3" w:rsidRPr="004E28CB" w:rsidRDefault="00670BE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8.4</w:t>
            </w:r>
          </w:p>
        </w:tc>
        <w:tc>
          <w:tcPr>
            <w:tcW w:w="1121" w:type="dxa"/>
            <w:vAlign w:val="bottom"/>
          </w:tcPr>
          <w:p w14:paraId="42056F53" w14:textId="7F930D2F" w:rsidR="00670BE3" w:rsidRPr="004E28CB" w:rsidRDefault="00670BE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1.8</w:t>
            </w:r>
          </w:p>
        </w:tc>
        <w:tc>
          <w:tcPr>
            <w:tcW w:w="1234" w:type="dxa"/>
            <w:vAlign w:val="bottom"/>
          </w:tcPr>
          <w:p w14:paraId="658C9AE4" w14:textId="476DB298" w:rsidR="00670BE3" w:rsidRPr="004E28CB" w:rsidRDefault="00670BE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5E1F1191" w14:textId="5669480F" w:rsidR="00670BE3" w:rsidRPr="004E28CB" w:rsidRDefault="00670BE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68F1C15D" w14:textId="1FFE554C" w:rsidR="00670BE3" w:rsidRPr="004E28CB" w:rsidRDefault="00670BE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10.5</w:t>
            </w:r>
          </w:p>
        </w:tc>
        <w:tc>
          <w:tcPr>
            <w:tcW w:w="1034" w:type="dxa"/>
            <w:vAlign w:val="bottom"/>
          </w:tcPr>
          <w:p w14:paraId="1D93F6E3" w14:textId="7B1B0305" w:rsidR="00670BE3" w:rsidRPr="004E28CB" w:rsidRDefault="00670BE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2.3</w:t>
            </w:r>
          </w:p>
        </w:tc>
        <w:tc>
          <w:tcPr>
            <w:tcW w:w="1364" w:type="dxa"/>
            <w:gridSpan w:val="3"/>
            <w:vAlign w:val="bottom"/>
          </w:tcPr>
          <w:p w14:paraId="50731DBC" w14:textId="564FE2C8" w:rsidR="00670BE3" w:rsidRPr="004E28CB" w:rsidRDefault="00670BE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10.9</w:t>
            </w:r>
          </w:p>
        </w:tc>
        <w:tc>
          <w:tcPr>
            <w:tcW w:w="1605" w:type="dxa"/>
            <w:vAlign w:val="bottom"/>
          </w:tcPr>
          <w:p w14:paraId="6B4882C5" w14:textId="51BBF82F" w:rsidR="00670BE3" w:rsidRPr="004E28CB" w:rsidRDefault="00670BE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No</w:t>
            </w:r>
          </w:p>
        </w:tc>
      </w:tr>
      <w:tr w:rsidR="00E904D8" w:rsidRPr="004E28CB" w14:paraId="1E3F482A" w14:textId="77777777" w:rsidTr="00115E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6E768BA1" w14:textId="457FCD28" w:rsidR="007823CF" w:rsidRPr="004E28CB" w:rsidRDefault="007823CF" w:rsidP="007823CF">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SA</w:t>
            </w:r>
          </w:p>
        </w:tc>
        <w:tc>
          <w:tcPr>
            <w:tcW w:w="1708" w:type="dxa"/>
            <w:vAlign w:val="bottom"/>
          </w:tcPr>
          <w:p w14:paraId="54D788D6" w14:textId="1D682C44" w:rsidR="007823CF" w:rsidRPr="004E28CB" w:rsidRDefault="007823CF"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Marne Saunders (Murray Group Limestone)</w:t>
            </w:r>
          </w:p>
        </w:tc>
        <w:tc>
          <w:tcPr>
            <w:tcW w:w="843" w:type="dxa"/>
            <w:vAlign w:val="bottom"/>
          </w:tcPr>
          <w:p w14:paraId="6BA96291" w14:textId="4076DCF5" w:rsidR="007823CF" w:rsidRPr="004E28CB" w:rsidRDefault="007823CF"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GS4b</w:t>
            </w:r>
          </w:p>
        </w:tc>
        <w:tc>
          <w:tcPr>
            <w:tcW w:w="851" w:type="dxa"/>
            <w:vAlign w:val="bottom"/>
          </w:tcPr>
          <w:p w14:paraId="5C3732EF" w14:textId="2B077BF2" w:rsidR="007823CF" w:rsidRPr="004E28CB" w:rsidRDefault="007823CF"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2.4</w:t>
            </w:r>
          </w:p>
        </w:tc>
        <w:tc>
          <w:tcPr>
            <w:tcW w:w="971" w:type="dxa"/>
            <w:vAlign w:val="bottom"/>
          </w:tcPr>
          <w:p w14:paraId="4CA9E825" w14:textId="592ABDB1" w:rsidR="007823CF" w:rsidRPr="004E28CB" w:rsidRDefault="007823CF"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2.3</w:t>
            </w:r>
          </w:p>
        </w:tc>
        <w:tc>
          <w:tcPr>
            <w:tcW w:w="777" w:type="dxa"/>
            <w:vAlign w:val="bottom"/>
          </w:tcPr>
          <w:p w14:paraId="2D3BADCE" w14:textId="57BC13C7" w:rsidR="007823CF" w:rsidRPr="004E28CB" w:rsidRDefault="007823CF"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1.3</w:t>
            </w:r>
          </w:p>
        </w:tc>
        <w:tc>
          <w:tcPr>
            <w:tcW w:w="1121" w:type="dxa"/>
            <w:vAlign w:val="bottom"/>
          </w:tcPr>
          <w:p w14:paraId="658793EC" w14:textId="654FA962" w:rsidR="007823CF" w:rsidRPr="004E28CB" w:rsidRDefault="007823CF"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9.4</w:t>
            </w:r>
          </w:p>
        </w:tc>
        <w:tc>
          <w:tcPr>
            <w:tcW w:w="1121" w:type="dxa"/>
            <w:vAlign w:val="bottom"/>
          </w:tcPr>
          <w:p w14:paraId="1D42A7A4" w14:textId="3C220A9D" w:rsidR="007823CF" w:rsidRPr="004E28CB" w:rsidRDefault="007823CF"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4.8</w:t>
            </w:r>
          </w:p>
        </w:tc>
        <w:tc>
          <w:tcPr>
            <w:tcW w:w="1234" w:type="dxa"/>
            <w:vAlign w:val="bottom"/>
          </w:tcPr>
          <w:p w14:paraId="21260F6E" w14:textId="00FE061A" w:rsidR="007823CF" w:rsidRPr="004E28CB" w:rsidRDefault="007823CF"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4C2AA210" w14:textId="2C3CB77D" w:rsidR="007823CF" w:rsidRPr="004E28CB" w:rsidRDefault="007823CF"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1A981502" w14:textId="3057F80D" w:rsidR="007823CF" w:rsidRPr="004E28CB" w:rsidRDefault="007823CF"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11.7</w:t>
            </w:r>
          </w:p>
        </w:tc>
        <w:tc>
          <w:tcPr>
            <w:tcW w:w="1034" w:type="dxa"/>
            <w:vAlign w:val="bottom"/>
          </w:tcPr>
          <w:p w14:paraId="576AB55B" w14:textId="39D3CE32" w:rsidR="007823CF" w:rsidRPr="004E28CB" w:rsidRDefault="007823CF"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6.1</w:t>
            </w:r>
          </w:p>
        </w:tc>
        <w:tc>
          <w:tcPr>
            <w:tcW w:w="1364" w:type="dxa"/>
            <w:gridSpan w:val="3"/>
            <w:vAlign w:val="bottom"/>
          </w:tcPr>
          <w:p w14:paraId="33BC56C6" w14:textId="0D9A3097" w:rsidR="007823CF" w:rsidRPr="004E28CB" w:rsidRDefault="007823CF"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12.2</w:t>
            </w:r>
          </w:p>
        </w:tc>
        <w:tc>
          <w:tcPr>
            <w:tcW w:w="1605" w:type="dxa"/>
            <w:vAlign w:val="bottom"/>
          </w:tcPr>
          <w:p w14:paraId="5B59C74A" w14:textId="6F46D989" w:rsidR="007823CF" w:rsidRPr="004E28CB" w:rsidRDefault="007823CF"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No</w:t>
            </w:r>
          </w:p>
        </w:tc>
      </w:tr>
      <w:tr w:rsidR="004E28CB" w:rsidRPr="004E28CB" w14:paraId="63BFA8ED" w14:textId="77777777" w:rsidTr="00115EA1">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0625FED5" w14:textId="4E629038" w:rsidR="000226D1" w:rsidRPr="004E28CB" w:rsidRDefault="000226D1" w:rsidP="000226D1">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SA</w:t>
            </w:r>
          </w:p>
        </w:tc>
        <w:tc>
          <w:tcPr>
            <w:tcW w:w="1708" w:type="dxa"/>
            <w:vAlign w:val="bottom"/>
          </w:tcPr>
          <w:p w14:paraId="7AADDFAE" w14:textId="763C54AD" w:rsidR="000226D1" w:rsidRPr="004E28CB" w:rsidRDefault="000226D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 xml:space="preserve">Marne Saunders </w:t>
            </w:r>
            <w:r w:rsidRPr="004E28CB">
              <w:rPr>
                <w:color w:val="000000"/>
                <w:szCs w:val="20"/>
              </w:rPr>
              <w:lastRenderedPageBreak/>
              <w:t>(Renmark Group)</w:t>
            </w:r>
          </w:p>
        </w:tc>
        <w:tc>
          <w:tcPr>
            <w:tcW w:w="843" w:type="dxa"/>
            <w:vAlign w:val="bottom"/>
          </w:tcPr>
          <w:p w14:paraId="7B6B2027" w14:textId="03897613" w:rsidR="000226D1" w:rsidRPr="004E28CB" w:rsidRDefault="000226D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lastRenderedPageBreak/>
              <w:t>GS4c</w:t>
            </w:r>
          </w:p>
        </w:tc>
        <w:tc>
          <w:tcPr>
            <w:tcW w:w="851" w:type="dxa"/>
            <w:vAlign w:val="bottom"/>
          </w:tcPr>
          <w:p w14:paraId="57BD6171" w14:textId="4B8368E1" w:rsidR="000226D1" w:rsidRPr="004E28CB" w:rsidRDefault="000226D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0.5</w:t>
            </w:r>
          </w:p>
        </w:tc>
        <w:tc>
          <w:tcPr>
            <w:tcW w:w="971" w:type="dxa"/>
            <w:vAlign w:val="bottom"/>
          </w:tcPr>
          <w:p w14:paraId="17500DD6" w14:textId="0B5B5F80" w:rsidR="000226D1" w:rsidRPr="004E28CB" w:rsidRDefault="000226D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0.5</w:t>
            </w:r>
          </w:p>
        </w:tc>
        <w:tc>
          <w:tcPr>
            <w:tcW w:w="777" w:type="dxa"/>
            <w:vAlign w:val="bottom"/>
          </w:tcPr>
          <w:p w14:paraId="752F7FCA" w14:textId="4B6B6A38" w:rsidR="000226D1" w:rsidRPr="004E28CB" w:rsidRDefault="000226D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121" w:type="dxa"/>
            <w:vAlign w:val="bottom"/>
          </w:tcPr>
          <w:p w14:paraId="3A46594D" w14:textId="72D6D370" w:rsidR="000226D1" w:rsidRPr="004E28CB" w:rsidRDefault="000226D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2.0</w:t>
            </w:r>
          </w:p>
        </w:tc>
        <w:tc>
          <w:tcPr>
            <w:tcW w:w="1121" w:type="dxa"/>
            <w:vAlign w:val="bottom"/>
          </w:tcPr>
          <w:p w14:paraId="37DCAE9F" w14:textId="367A5B83" w:rsidR="000226D1" w:rsidRPr="004E28CB" w:rsidRDefault="000226D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2823E6D3" w14:textId="0F1572C1" w:rsidR="000226D1" w:rsidRPr="004E28CB" w:rsidRDefault="000226D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045AF70F" w14:textId="44E01880" w:rsidR="000226D1" w:rsidRPr="004E28CB" w:rsidRDefault="000226D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30C4BC16" w14:textId="6418BDCA" w:rsidR="000226D1" w:rsidRPr="004E28CB" w:rsidRDefault="000226D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2.5</w:t>
            </w:r>
          </w:p>
        </w:tc>
        <w:tc>
          <w:tcPr>
            <w:tcW w:w="1034" w:type="dxa"/>
            <w:vAlign w:val="bottom"/>
          </w:tcPr>
          <w:p w14:paraId="06707655" w14:textId="2435DFAD" w:rsidR="000226D1" w:rsidRPr="004E28CB" w:rsidRDefault="000226D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364" w:type="dxa"/>
            <w:gridSpan w:val="3"/>
            <w:vAlign w:val="bottom"/>
          </w:tcPr>
          <w:p w14:paraId="2378424B" w14:textId="41D2BBE6" w:rsidR="000226D1" w:rsidRPr="004E28CB" w:rsidRDefault="000226D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2.6</w:t>
            </w:r>
          </w:p>
        </w:tc>
        <w:tc>
          <w:tcPr>
            <w:tcW w:w="1605" w:type="dxa"/>
            <w:vAlign w:val="bottom"/>
          </w:tcPr>
          <w:p w14:paraId="5793FF8D" w14:textId="4C7F4E68" w:rsidR="000226D1" w:rsidRPr="004E28CB" w:rsidRDefault="000226D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No</w:t>
            </w:r>
          </w:p>
        </w:tc>
      </w:tr>
      <w:tr w:rsidR="00E904D8" w:rsidRPr="004E28CB" w14:paraId="44AA4D2B" w14:textId="77777777" w:rsidTr="00115E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2A904385" w14:textId="5B3FA32D" w:rsidR="00AC550C" w:rsidRPr="004E28CB" w:rsidRDefault="00AC550C" w:rsidP="00AC550C">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SA</w:t>
            </w:r>
          </w:p>
        </w:tc>
        <w:tc>
          <w:tcPr>
            <w:tcW w:w="1708" w:type="dxa"/>
            <w:vAlign w:val="bottom"/>
          </w:tcPr>
          <w:p w14:paraId="7B7B1423" w14:textId="409D263E" w:rsidR="00AC550C" w:rsidRPr="004E28CB" w:rsidRDefault="00AC550C"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Peake–Roby–Sherlock (unconfined)</w:t>
            </w:r>
          </w:p>
        </w:tc>
        <w:tc>
          <w:tcPr>
            <w:tcW w:w="843" w:type="dxa"/>
            <w:vAlign w:val="bottom"/>
          </w:tcPr>
          <w:p w14:paraId="3BC08637" w14:textId="67D1028B" w:rsidR="00AC550C" w:rsidRPr="004E28CB" w:rsidRDefault="00AC550C"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GS5a</w:t>
            </w:r>
          </w:p>
        </w:tc>
        <w:tc>
          <w:tcPr>
            <w:tcW w:w="851" w:type="dxa"/>
            <w:vAlign w:val="bottom"/>
          </w:tcPr>
          <w:p w14:paraId="63E9BD6D" w14:textId="585B8F85" w:rsidR="00AC550C" w:rsidRPr="004E28CB" w:rsidRDefault="00AC550C"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3.4</w:t>
            </w:r>
          </w:p>
        </w:tc>
        <w:tc>
          <w:tcPr>
            <w:tcW w:w="971" w:type="dxa"/>
            <w:vAlign w:val="bottom"/>
          </w:tcPr>
          <w:p w14:paraId="1914E973" w14:textId="4B9DD947" w:rsidR="00AC550C" w:rsidRPr="004E28CB" w:rsidRDefault="00AC550C"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3.4</w:t>
            </w:r>
          </w:p>
        </w:tc>
        <w:tc>
          <w:tcPr>
            <w:tcW w:w="777" w:type="dxa"/>
            <w:vAlign w:val="bottom"/>
          </w:tcPr>
          <w:p w14:paraId="524C9500" w14:textId="01A54B38" w:rsidR="00AC550C" w:rsidRPr="004E28CB" w:rsidRDefault="00AC550C"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0.2</w:t>
            </w:r>
          </w:p>
        </w:tc>
        <w:tc>
          <w:tcPr>
            <w:tcW w:w="1121" w:type="dxa"/>
            <w:vAlign w:val="bottom"/>
          </w:tcPr>
          <w:p w14:paraId="5EFD11FE" w14:textId="3D434F54" w:rsidR="00AC550C" w:rsidRPr="004E28CB" w:rsidRDefault="00AC550C"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13.6</w:t>
            </w:r>
          </w:p>
        </w:tc>
        <w:tc>
          <w:tcPr>
            <w:tcW w:w="1121" w:type="dxa"/>
            <w:vAlign w:val="bottom"/>
          </w:tcPr>
          <w:p w14:paraId="2DA813D1" w14:textId="5A4714E5" w:rsidR="00AC550C" w:rsidRPr="004E28CB" w:rsidRDefault="00AC550C"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0.8</w:t>
            </w:r>
          </w:p>
        </w:tc>
        <w:tc>
          <w:tcPr>
            <w:tcW w:w="1234" w:type="dxa"/>
            <w:vAlign w:val="bottom"/>
          </w:tcPr>
          <w:p w14:paraId="240D0AE6" w14:textId="73F97027" w:rsidR="00AC550C" w:rsidRPr="004E28CB" w:rsidRDefault="00AC550C"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2367E875" w14:textId="435075A3" w:rsidR="00AC550C" w:rsidRPr="004E28CB" w:rsidRDefault="00AC550C"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644D8E3E" w14:textId="00BDD698" w:rsidR="00AC550C" w:rsidRPr="004E28CB" w:rsidRDefault="00AC550C"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17.1</w:t>
            </w:r>
          </w:p>
        </w:tc>
        <w:tc>
          <w:tcPr>
            <w:tcW w:w="1034" w:type="dxa"/>
            <w:vAlign w:val="bottom"/>
          </w:tcPr>
          <w:p w14:paraId="0E56D424" w14:textId="0DDE39AC" w:rsidR="00AC550C" w:rsidRPr="004E28CB" w:rsidRDefault="00AC550C"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1.0</w:t>
            </w:r>
          </w:p>
        </w:tc>
        <w:tc>
          <w:tcPr>
            <w:tcW w:w="1364" w:type="dxa"/>
            <w:gridSpan w:val="3"/>
            <w:vAlign w:val="bottom"/>
          </w:tcPr>
          <w:p w14:paraId="341526F8" w14:textId="215734A8" w:rsidR="00AC550C" w:rsidRPr="004E28CB" w:rsidRDefault="00AC550C"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17.7</w:t>
            </w:r>
          </w:p>
        </w:tc>
        <w:tc>
          <w:tcPr>
            <w:tcW w:w="1605" w:type="dxa"/>
            <w:vAlign w:val="bottom"/>
          </w:tcPr>
          <w:p w14:paraId="2A84D348" w14:textId="298BE6B7" w:rsidR="00AC550C" w:rsidRPr="004E28CB" w:rsidRDefault="00AC550C"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No</w:t>
            </w:r>
          </w:p>
        </w:tc>
      </w:tr>
      <w:tr w:rsidR="004E28CB" w:rsidRPr="004E28CB" w14:paraId="6255604F" w14:textId="77777777" w:rsidTr="00115EA1">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241C964C" w14:textId="4A3A1E14" w:rsidR="00550933" w:rsidRPr="004E28CB" w:rsidRDefault="00550933" w:rsidP="00550933">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SA</w:t>
            </w:r>
          </w:p>
        </w:tc>
        <w:tc>
          <w:tcPr>
            <w:tcW w:w="1708" w:type="dxa"/>
            <w:vAlign w:val="bottom"/>
          </w:tcPr>
          <w:p w14:paraId="77BEACE9" w14:textId="428646E8" w:rsidR="00550933" w:rsidRPr="004E28CB" w:rsidRDefault="0055093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Peake–Roby–Sherlock (confined)</w:t>
            </w:r>
          </w:p>
        </w:tc>
        <w:tc>
          <w:tcPr>
            <w:tcW w:w="843" w:type="dxa"/>
            <w:vAlign w:val="bottom"/>
          </w:tcPr>
          <w:p w14:paraId="68FC5589" w14:textId="345AFDBC" w:rsidR="00550933" w:rsidRPr="004E28CB" w:rsidRDefault="0055093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GS5b</w:t>
            </w:r>
          </w:p>
        </w:tc>
        <w:tc>
          <w:tcPr>
            <w:tcW w:w="851" w:type="dxa"/>
            <w:vAlign w:val="bottom"/>
          </w:tcPr>
          <w:p w14:paraId="336A6261" w14:textId="21C4EBC4" w:rsidR="00550933" w:rsidRPr="004E28CB" w:rsidRDefault="0055093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2.6</w:t>
            </w:r>
          </w:p>
        </w:tc>
        <w:tc>
          <w:tcPr>
            <w:tcW w:w="971" w:type="dxa"/>
            <w:vAlign w:val="bottom"/>
          </w:tcPr>
          <w:p w14:paraId="134CF583" w14:textId="1A958935" w:rsidR="00550933" w:rsidRPr="004E28CB" w:rsidRDefault="0055093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2.6</w:t>
            </w:r>
          </w:p>
        </w:tc>
        <w:tc>
          <w:tcPr>
            <w:tcW w:w="777" w:type="dxa"/>
            <w:vAlign w:val="bottom"/>
          </w:tcPr>
          <w:p w14:paraId="0A736701" w14:textId="75BD8946" w:rsidR="00550933" w:rsidRPr="004E28CB" w:rsidRDefault="0055093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1.0</w:t>
            </w:r>
          </w:p>
        </w:tc>
        <w:tc>
          <w:tcPr>
            <w:tcW w:w="1121" w:type="dxa"/>
            <w:vAlign w:val="bottom"/>
          </w:tcPr>
          <w:p w14:paraId="08433EA0" w14:textId="0348262A" w:rsidR="00550933" w:rsidRPr="004E28CB" w:rsidRDefault="0055093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10.3</w:t>
            </w:r>
          </w:p>
        </w:tc>
        <w:tc>
          <w:tcPr>
            <w:tcW w:w="1121" w:type="dxa"/>
            <w:vAlign w:val="bottom"/>
          </w:tcPr>
          <w:p w14:paraId="16C62884" w14:textId="01ECC3BF" w:rsidR="00550933" w:rsidRPr="004E28CB" w:rsidRDefault="0055093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3.7</w:t>
            </w:r>
          </w:p>
        </w:tc>
        <w:tc>
          <w:tcPr>
            <w:tcW w:w="1234" w:type="dxa"/>
            <w:vAlign w:val="bottom"/>
          </w:tcPr>
          <w:p w14:paraId="4B0CFFC2" w14:textId="731E297D" w:rsidR="00550933" w:rsidRPr="004E28CB" w:rsidRDefault="0055093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4CBC8AF8" w14:textId="672A8C9A" w:rsidR="00550933" w:rsidRPr="004E28CB" w:rsidRDefault="0055093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782C2F98" w14:textId="6660CD61" w:rsidR="00550933" w:rsidRPr="004E28CB" w:rsidRDefault="0055093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12.9</w:t>
            </w:r>
          </w:p>
        </w:tc>
        <w:tc>
          <w:tcPr>
            <w:tcW w:w="1034" w:type="dxa"/>
            <w:vAlign w:val="bottom"/>
          </w:tcPr>
          <w:p w14:paraId="522AE2D0" w14:textId="2AB3EF7C" w:rsidR="00550933" w:rsidRPr="004E28CB" w:rsidRDefault="0055093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4.7</w:t>
            </w:r>
          </w:p>
        </w:tc>
        <w:tc>
          <w:tcPr>
            <w:tcW w:w="1364" w:type="dxa"/>
            <w:gridSpan w:val="3"/>
            <w:vAlign w:val="bottom"/>
          </w:tcPr>
          <w:p w14:paraId="524C247F" w14:textId="53F73B71" w:rsidR="00550933" w:rsidRPr="004E28CB" w:rsidRDefault="0055093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13.4</w:t>
            </w:r>
          </w:p>
        </w:tc>
        <w:tc>
          <w:tcPr>
            <w:tcW w:w="1605" w:type="dxa"/>
            <w:vAlign w:val="bottom"/>
          </w:tcPr>
          <w:p w14:paraId="4E20FB4C" w14:textId="4EB03E42" w:rsidR="00550933" w:rsidRPr="004E28CB" w:rsidRDefault="00550933"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No</w:t>
            </w:r>
          </w:p>
        </w:tc>
      </w:tr>
      <w:tr w:rsidR="00E904D8" w:rsidRPr="004E28CB" w14:paraId="79B85DAC" w14:textId="77777777" w:rsidTr="00115E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78F278AE" w14:textId="1B1EA931" w:rsidR="005A53B3" w:rsidRPr="004E28CB" w:rsidRDefault="005A53B3" w:rsidP="005A53B3">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SA</w:t>
            </w:r>
          </w:p>
        </w:tc>
        <w:tc>
          <w:tcPr>
            <w:tcW w:w="1708" w:type="dxa"/>
            <w:vAlign w:val="bottom"/>
          </w:tcPr>
          <w:p w14:paraId="090CA858" w14:textId="232B7DC3" w:rsidR="005A53B3" w:rsidRPr="004E28CB" w:rsidRDefault="005A53B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SA Murray</w:t>
            </w:r>
          </w:p>
        </w:tc>
        <w:tc>
          <w:tcPr>
            <w:tcW w:w="843" w:type="dxa"/>
            <w:vAlign w:val="bottom"/>
          </w:tcPr>
          <w:p w14:paraId="45A2F8A2" w14:textId="56846A25" w:rsidR="005A53B3" w:rsidRPr="004E28CB" w:rsidRDefault="005A53B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GS6</w:t>
            </w:r>
          </w:p>
        </w:tc>
        <w:tc>
          <w:tcPr>
            <w:tcW w:w="851" w:type="dxa"/>
            <w:vAlign w:val="bottom"/>
          </w:tcPr>
          <w:p w14:paraId="18292F54" w14:textId="30E8F225" w:rsidR="005A53B3" w:rsidRPr="004E28CB" w:rsidRDefault="005A53B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64.8</w:t>
            </w:r>
          </w:p>
        </w:tc>
        <w:tc>
          <w:tcPr>
            <w:tcW w:w="971" w:type="dxa"/>
            <w:vAlign w:val="bottom"/>
          </w:tcPr>
          <w:p w14:paraId="7F096023" w14:textId="739E5413" w:rsidR="005A53B3" w:rsidRPr="004E28CB" w:rsidRDefault="005A53B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64.8</w:t>
            </w:r>
          </w:p>
        </w:tc>
        <w:tc>
          <w:tcPr>
            <w:tcW w:w="777" w:type="dxa"/>
            <w:vAlign w:val="bottom"/>
          </w:tcPr>
          <w:p w14:paraId="25BA0884" w14:textId="1C0C468E" w:rsidR="005A53B3" w:rsidRPr="004E28CB" w:rsidRDefault="005A53B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1.8</w:t>
            </w:r>
          </w:p>
        </w:tc>
        <w:tc>
          <w:tcPr>
            <w:tcW w:w="1121" w:type="dxa"/>
            <w:vAlign w:val="bottom"/>
          </w:tcPr>
          <w:p w14:paraId="6CE575B5" w14:textId="1DFB6D8F" w:rsidR="005A53B3" w:rsidRPr="004E28CB" w:rsidRDefault="005A53B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259.2</w:t>
            </w:r>
          </w:p>
        </w:tc>
        <w:tc>
          <w:tcPr>
            <w:tcW w:w="1121" w:type="dxa"/>
            <w:vAlign w:val="bottom"/>
          </w:tcPr>
          <w:p w14:paraId="39E1A514" w14:textId="51A6D4B9" w:rsidR="005A53B3" w:rsidRPr="004E28CB" w:rsidRDefault="005A53B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7.2</w:t>
            </w:r>
          </w:p>
        </w:tc>
        <w:tc>
          <w:tcPr>
            <w:tcW w:w="1234" w:type="dxa"/>
            <w:vAlign w:val="bottom"/>
          </w:tcPr>
          <w:p w14:paraId="2086C1B7" w14:textId="083BABE1" w:rsidR="005A53B3" w:rsidRPr="004E28CB" w:rsidRDefault="005A53B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6CC24DF6" w14:textId="743D9513" w:rsidR="005A53B3" w:rsidRPr="004E28CB" w:rsidRDefault="005A53B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7535D751" w14:textId="798CFEE6" w:rsidR="005A53B3" w:rsidRPr="004E28CB" w:rsidRDefault="005A53B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324.0</w:t>
            </w:r>
          </w:p>
        </w:tc>
        <w:tc>
          <w:tcPr>
            <w:tcW w:w="1034" w:type="dxa"/>
            <w:vAlign w:val="bottom"/>
          </w:tcPr>
          <w:p w14:paraId="2D922F7E" w14:textId="311BA748" w:rsidR="005A53B3" w:rsidRPr="004E28CB" w:rsidRDefault="005A53B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9.0</w:t>
            </w:r>
          </w:p>
        </w:tc>
        <w:tc>
          <w:tcPr>
            <w:tcW w:w="1364" w:type="dxa"/>
            <w:gridSpan w:val="3"/>
            <w:vAlign w:val="bottom"/>
          </w:tcPr>
          <w:p w14:paraId="5C34D25C" w14:textId="0CED3406" w:rsidR="005A53B3" w:rsidRPr="004E28CB" w:rsidRDefault="005A53B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337.0</w:t>
            </w:r>
          </w:p>
        </w:tc>
        <w:tc>
          <w:tcPr>
            <w:tcW w:w="1605" w:type="dxa"/>
            <w:vAlign w:val="bottom"/>
          </w:tcPr>
          <w:p w14:paraId="7176E83D" w14:textId="02F18CDF" w:rsidR="005A53B3" w:rsidRPr="004E28CB" w:rsidRDefault="005A53B3"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No</w:t>
            </w:r>
          </w:p>
        </w:tc>
      </w:tr>
      <w:tr w:rsidR="004E28CB" w:rsidRPr="004E28CB" w14:paraId="098205BF" w14:textId="77777777" w:rsidTr="00115EA1">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4CFC2249" w14:textId="081B4A68" w:rsidR="00FE502A" w:rsidRPr="004E28CB" w:rsidRDefault="00FE502A" w:rsidP="00FE502A">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SA</w:t>
            </w:r>
          </w:p>
        </w:tc>
        <w:tc>
          <w:tcPr>
            <w:tcW w:w="1708" w:type="dxa"/>
            <w:vAlign w:val="bottom"/>
          </w:tcPr>
          <w:p w14:paraId="7FBC2B9F" w14:textId="652ECC33" w:rsidR="00FE502A" w:rsidRPr="004E28CB" w:rsidRDefault="00FE502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SA Murray Salt Interception Schemes</w:t>
            </w:r>
          </w:p>
        </w:tc>
        <w:tc>
          <w:tcPr>
            <w:tcW w:w="843" w:type="dxa"/>
            <w:vAlign w:val="bottom"/>
          </w:tcPr>
          <w:p w14:paraId="70E2828C" w14:textId="4F5CBDE2" w:rsidR="00FE502A" w:rsidRPr="004E28CB" w:rsidRDefault="00FE502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GS7</w:t>
            </w:r>
          </w:p>
        </w:tc>
        <w:tc>
          <w:tcPr>
            <w:tcW w:w="851" w:type="dxa"/>
            <w:vAlign w:val="bottom"/>
          </w:tcPr>
          <w:p w14:paraId="3CB72494" w14:textId="33ED5C85" w:rsidR="00FE502A" w:rsidRPr="004E28CB" w:rsidRDefault="00FE502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28.6</w:t>
            </w:r>
          </w:p>
        </w:tc>
        <w:tc>
          <w:tcPr>
            <w:tcW w:w="971" w:type="dxa"/>
            <w:vAlign w:val="bottom"/>
          </w:tcPr>
          <w:p w14:paraId="59031502" w14:textId="340336DB" w:rsidR="00FE502A" w:rsidRPr="004E28CB" w:rsidRDefault="00FE502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28.6</w:t>
            </w:r>
          </w:p>
        </w:tc>
        <w:tc>
          <w:tcPr>
            <w:tcW w:w="777" w:type="dxa"/>
            <w:vAlign w:val="bottom"/>
          </w:tcPr>
          <w:p w14:paraId="6649E65C" w14:textId="7A5C2F8B" w:rsidR="00FE502A" w:rsidRPr="004E28CB" w:rsidRDefault="00FE502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10.3</w:t>
            </w:r>
          </w:p>
        </w:tc>
        <w:tc>
          <w:tcPr>
            <w:tcW w:w="1121" w:type="dxa"/>
            <w:vAlign w:val="bottom"/>
          </w:tcPr>
          <w:p w14:paraId="3C174232" w14:textId="3D98EC58" w:rsidR="00FE502A" w:rsidRPr="004E28CB" w:rsidRDefault="00FE502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114.4</w:t>
            </w:r>
          </w:p>
        </w:tc>
        <w:tc>
          <w:tcPr>
            <w:tcW w:w="1121" w:type="dxa"/>
            <w:vAlign w:val="bottom"/>
          </w:tcPr>
          <w:p w14:paraId="63534BC8" w14:textId="2EAFC7C2" w:rsidR="00FE502A" w:rsidRPr="004E28CB" w:rsidRDefault="00FE502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51.2</w:t>
            </w:r>
          </w:p>
        </w:tc>
        <w:tc>
          <w:tcPr>
            <w:tcW w:w="1234" w:type="dxa"/>
            <w:vAlign w:val="bottom"/>
          </w:tcPr>
          <w:p w14:paraId="0D8F2CC6" w14:textId="288F2483" w:rsidR="00FE502A" w:rsidRPr="004E28CB" w:rsidRDefault="00FE502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48B557BC" w14:textId="16787090" w:rsidR="00FE502A" w:rsidRPr="004E28CB" w:rsidRDefault="00FE502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6FF39CCA" w14:textId="2582F5EB" w:rsidR="00FE502A" w:rsidRPr="004E28CB" w:rsidRDefault="00FE502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143.0</w:t>
            </w:r>
          </w:p>
        </w:tc>
        <w:tc>
          <w:tcPr>
            <w:tcW w:w="1034" w:type="dxa"/>
            <w:vAlign w:val="bottom"/>
          </w:tcPr>
          <w:p w14:paraId="6FD2D4E3" w14:textId="2C20F54A" w:rsidR="00FE502A" w:rsidRPr="004E28CB" w:rsidRDefault="00FE502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61.5</w:t>
            </w:r>
          </w:p>
        </w:tc>
        <w:tc>
          <w:tcPr>
            <w:tcW w:w="1364" w:type="dxa"/>
            <w:gridSpan w:val="3"/>
            <w:vAlign w:val="bottom"/>
          </w:tcPr>
          <w:p w14:paraId="063DEAB3" w14:textId="076EE536" w:rsidR="00FE502A" w:rsidRPr="004E28CB" w:rsidRDefault="00FE502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148.7</w:t>
            </w:r>
          </w:p>
        </w:tc>
        <w:tc>
          <w:tcPr>
            <w:tcW w:w="1605" w:type="dxa"/>
            <w:vAlign w:val="bottom"/>
          </w:tcPr>
          <w:p w14:paraId="10618D9A" w14:textId="445C0D7A" w:rsidR="00FE502A" w:rsidRPr="004E28CB" w:rsidRDefault="00FE502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No</w:t>
            </w:r>
          </w:p>
        </w:tc>
      </w:tr>
      <w:tr w:rsidR="00E904D8" w:rsidRPr="004E28CB" w14:paraId="6AD87413" w14:textId="77777777" w:rsidTr="00115E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78D181DE" w14:textId="6BF01B74" w:rsidR="00BE63A2" w:rsidRPr="004E28CB" w:rsidRDefault="00BE63A2" w:rsidP="00BE63A2">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VIC</w:t>
            </w:r>
          </w:p>
        </w:tc>
        <w:tc>
          <w:tcPr>
            <w:tcW w:w="1708" w:type="dxa"/>
            <w:vAlign w:val="bottom"/>
          </w:tcPr>
          <w:p w14:paraId="18701C4F" w14:textId="19488404" w:rsidR="00BE63A2" w:rsidRPr="004E28CB" w:rsidRDefault="00BE63A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Goulburn-Murray: Shepparton Irrigation Region</w:t>
            </w:r>
          </w:p>
        </w:tc>
        <w:tc>
          <w:tcPr>
            <w:tcW w:w="843" w:type="dxa"/>
            <w:vAlign w:val="bottom"/>
          </w:tcPr>
          <w:p w14:paraId="1FFAC384" w14:textId="0DFD49C6" w:rsidR="00BE63A2" w:rsidRPr="004E28CB" w:rsidRDefault="00BE63A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GS8a</w:t>
            </w:r>
          </w:p>
        </w:tc>
        <w:tc>
          <w:tcPr>
            <w:tcW w:w="851" w:type="dxa"/>
            <w:vAlign w:val="bottom"/>
          </w:tcPr>
          <w:p w14:paraId="722B56FF" w14:textId="4903ECDF" w:rsidR="00BE63A2" w:rsidRPr="004E28CB" w:rsidRDefault="00BE63A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244.1</w:t>
            </w:r>
          </w:p>
        </w:tc>
        <w:tc>
          <w:tcPr>
            <w:tcW w:w="971" w:type="dxa"/>
            <w:vAlign w:val="bottom"/>
          </w:tcPr>
          <w:p w14:paraId="03B56FBF" w14:textId="36A30CD7" w:rsidR="00BE63A2" w:rsidRPr="004E28CB" w:rsidRDefault="00BE63A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244.1</w:t>
            </w:r>
          </w:p>
        </w:tc>
        <w:tc>
          <w:tcPr>
            <w:tcW w:w="777" w:type="dxa"/>
            <w:vAlign w:val="bottom"/>
          </w:tcPr>
          <w:p w14:paraId="628CB6A5" w14:textId="2830682D" w:rsidR="00BE63A2" w:rsidRPr="004E28CB" w:rsidRDefault="00BE63A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13.4</w:t>
            </w:r>
          </w:p>
        </w:tc>
        <w:tc>
          <w:tcPr>
            <w:tcW w:w="1121" w:type="dxa"/>
            <w:vAlign w:val="bottom"/>
          </w:tcPr>
          <w:p w14:paraId="4B47C3FD" w14:textId="6419588B" w:rsidR="00BE63A2" w:rsidRPr="004E28CB" w:rsidRDefault="00BE63A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976.4</w:t>
            </w:r>
          </w:p>
        </w:tc>
        <w:tc>
          <w:tcPr>
            <w:tcW w:w="1121" w:type="dxa"/>
            <w:vAlign w:val="bottom"/>
          </w:tcPr>
          <w:p w14:paraId="1B3697E8" w14:textId="3B66B04D" w:rsidR="00BE63A2" w:rsidRPr="004E28CB" w:rsidRDefault="00BE63A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258.0</w:t>
            </w:r>
          </w:p>
        </w:tc>
        <w:tc>
          <w:tcPr>
            <w:tcW w:w="1234" w:type="dxa"/>
            <w:vAlign w:val="bottom"/>
          </w:tcPr>
          <w:p w14:paraId="186E4E57" w14:textId="6D8651B6" w:rsidR="00BE63A2" w:rsidRPr="004E28CB" w:rsidRDefault="00BE63A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5AC015C7" w14:textId="54F9A7DB" w:rsidR="00BE63A2" w:rsidRPr="004E28CB" w:rsidRDefault="00BE63A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161059A6" w14:textId="08A95667" w:rsidR="00BE63A2" w:rsidRPr="004E28CB" w:rsidRDefault="00BE63A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1220.5</w:t>
            </w:r>
          </w:p>
        </w:tc>
        <w:tc>
          <w:tcPr>
            <w:tcW w:w="1034" w:type="dxa"/>
            <w:vAlign w:val="bottom"/>
          </w:tcPr>
          <w:p w14:paraId="0C4BED6E" w14:textId="636458BA" w:rsidR="00BE63A2" w:rsidRPr="004E28CB" w:rsidRDefault="00BE63A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271.4</w:t>
            </w:r>
          </w:p>
        </w:tc>
        <w:tc>
          <w:tcPr>
            <w:tcW w:w="1364" w:type="dxa"/>
            <w:gridSpan w:val="3"/>
            <w:vAlign w:val="bottom"/>
          </w:tcPr>
          <w:p w14:paraId="57E04A4F" w14:textId="1BACB0F6" w:rsidR="00BE63A2" w:rsidRPr="004E28CB" w:rsidRDefault="00BE63A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1269.3</w:t>
            </w:r>
          </w:p>
        </w:tc>
        <w:tc>
          <w:tcPr>
            <w:tcW w:w="1605" w:type="dxa"/>
            <w:vAlign w:val="bottom"/>
          </w:tcPr>
          <w:p w14:paraId="528F9F20" w14:textId="4B0D9B98" w:rsidR="00BE63A2" w:rsidRPr="004E28CB" w:rsidRDefault="00BE63A2"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No</w:t>
            </w:r>
          </w:p>
        </w:tc>
      </w:tr>
      <w:tr w:rsidR="004E28CB" w:rsidRPr="004E28CB" w14:paraId="7A68F63C" w14:textId="77777777" w:rsidTr="00115EA1">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3F1B2C40" w14:textId="1DD540F9" w:rsidR="0099095B" w:rsidRPr="004E28CB" w:rsidRDefault="0099095B" w:rsidP="0099095B">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VIC</w:t>
            </w:r>
          </w:p>
        </w:tc>
        <w:tc>
          <w:tcPr>
            <w:tcW w:w="1708" w:type="dxa"/>
            <w:vAlign w:val="bottom"/>
          </w:tcPr>
          <w:p w14:paraId="107D68E5" w14:textId="0AC06A2D" w:rsidR="0099095B" w:rsidRPr="004E28CB" w:rsidRDefault="0099095B"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Goulburn-Murray: Highlands</w:t>
            </w:r>
          </w:p>
        </w:tc>
        <w:tc>
          <w:tcPr>
            <w:tcW w:w="843" w:type="dxa"/>
            <w:vAlign w:val="bottom"/>
          </w:tcPr>
          <w:p w14:paraId="362DE445" w14:textId="12B5F7B9" w:rsidR="0099095B" w:rsidRPr="004E28CB" w:rsidRDefault="0099095B"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GS8b</w:t>
            </w:r>
          </w:p>
        </w:tc>
        <w:tc>
          <w:tcPr>
            <w:tcW w:w="851" w:type="dxa"/>
            <w:vAlign w:val="bottom"/>
          </w:tcPr>
          <w:p w14:paraId="199B050F" w14:textId="69ED3099" w:rsidR="0099095B" w:rsidRPr="004E28CB" w:rsidRDefault="0099095B"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68.7</w:t>
            </w:r>
          </w:p>
        </w:tc>
        <w:tc>
          <w:tcPr>
            <w:tcW w:w="971" w:type="dxa"/>
            <w:vAlign w:val="bottom"/>
          </w:tcPr>
          <w:p w14:paraId="6B1DC9B1" w14:textId="4B6E46DB" w:rsidR="0099095B" w:rsidRPr="004E28CB" w:rsidRDefault="0099095B"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68.7</w:t>
            </w:r>
          </w:p>
        </w:tc>
        <w:tc>
          <w:tcPr>
            <w:tcW w:w="777" w:type="dxa"/>
            <w:vAlign w:val="bottom"/>
          </w:tcPr>
          <w:p w14:paraId="70CF82CF" w14:textId="60A12143" w:rsidR="0099095B" w:rsidRPr="004E28CB" w:rsidRDefault="0099095B"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13.1</w:t>
            </w:r>
          </w:p>
        </w:tc>
        <w:tc>
          <w:tcPr>
            <w:tcW w:w="1121" w:type="dxa"/>
            <w:vAlign w:val="bottom"/>
          </w:tcPr>
          <w:p w14:paraId="63DA349C" w14:textId="20860226" w:rsidR="0099095B" w:rsidRPr="004E28CB" w:rsidRDefault="0099095B"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274.8</w:t>
            </w:r>
          </w:p>
        </w:tc>
        <w:tc>
          <w:tcPr>
            <w:tcW w:w="1121" w:type="dxa"/>
            <w:vAlign w:val="bottom"/>
          </w:tcPr>
          <w:p w14:paraId="452136CA" w14:textId="500D3A7B" w:rsidR="0099095B" w:rsidRPr="004E28CB" w:rsidRDefault="0099095B"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55.6</w:t>
            </w:r>
          </w:p>
        </w:tc>
        <w:tc>
          <w:tcPr>
            <w:tcW w:w="1234" w:type="dxa"/>
            <w:vAlign w:val="bottom"/>
          </w:tcPr>
          <w:p w14:paraId="263FAF5D" w14:textId="26894FE2" w:rsidR="0099095B" w:rsidRPr="004E28CB" w:rsidRDefault="0099095B"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74373D4D" w14:textId="7CCA6AB6" w:rsidR="0099095B" w:rsidRPr="004E28CB" w:rsidRDefault="0099095B"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0637ADDC" w14:textId="7C6CD19B" w:rsidR="0099095B" w:rsidRPr="004E28CB" w:rsidRDefault="0099095B"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343.5</w:t>
            </w:r>
          </w:p>
        </w:tc>
        <w:tc>
          <w:tcPr>
            <w:tcW w:w="1034" w:type="dxa"/>
            <w:vAlign w:val="bottom"/>
          </w:tcPr>
          <w:p w14:paraId="21158034" w14:textId="75B2337F" w:rsidR="0099095B" w:rsidRPr="004E28CB" w:rsidRDefault="0099095B"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68.7</w:t>
            </w:r>
          </w:p>
        </w:tc>
        <w:tc>
          <w:tcPr>
            <w:tcW w:w="1364" w:type="dxa"/>
            <w:gridSpan w:val="3"/>
            <w:vAlign w:val="bottom"/>
          </w:tcPr>
          <w:p w14:paraId="50E415F8" w14:textId="506E89A5" w:rsidR="0099095B" w:rsidRPr="004E28CB" w:rsidRDefault="0099095B"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357.2</w:t>
            </w:r>
          </w:p>
        </w:tc>
        <w:tc>
          <w:tcPr>
            <w:tcW w:w="1605" w:type="dxa"/>
            <w:vAlign w:val="bottom"/>
          </w:tcPr>
          <w:p w14:paraId="592BA515" w14:textId="3BA3582E" w:rsidR="0099095B" w:rsidRPr="004E28CB" w:rsidRDefault="0099095B"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No</w:t>
            </w:r>
          </w:p>
        </w:tc>
      </w:tr>
      <w:tr w:rsidR="00E904D8" w:rsidRPr="004E28CB" w14:paraId="73697591" w14:textId="77777777" w:rsidTr="00115E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268C96D5" w14:textId="5D2DA319" w:rsidR="00924BB0" w:rsidRPr="004E28CB" w:rsidRDefault="00924BB0" w:rsidP="00924BB0">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VIC</w:t>
            </w:r>
          </w:p>
        </w:tc>
        <w:tc>
          <w:tcPr>
            <w:tcW w:w="1708" w:type="dxa"/>
            <w:vAlign w:val="bottom"/>
          </w:tcPr>
          <w:p w14:paraId="7A83277E" w14:textId="698FC80C" w:rsidR="00924BB0" w:rsidRPr="004E28CB" w:rsidRDefault="00924BB0"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Goulburn-Murray: Sedimentary Plain</w:t>
            </w:r>
          </w:p>
        </w:tc>
        <w:tc>
          <w:tcPr>
            <w:tcW w:w="843" w:type="dxa"/>
            <w:vAlign w:val="bottom"/>
          </w:tcPr>
          <w:p w14:paraId="148EFCDE" w14:textId="4BFA570A" w:rsidR="00924BB0" w:rsidRPr="004E28CB" w:rsidRDefault="00924BB0"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GS8c</w:t>
            </w:r>
          </w:p>
        </w:tc>
        <w:tc>
          <w:tcPr>
            <w:tcW w:w="851" w:type="dxa"/>
            <w:vAlign w:val="bottom"/>
          </w:tcPr>
          <w:p w14:paraId="4C87A04C" w14:textId="5DE9FCF0" w:rsidR="00924BB0" w:rsidRPr="004E28CB" w:rsidRDefault="00924BB0"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223.0</w:t>
            </w:r>
          </w:p>
        </w:tc>
        <w:tc>
          <w:tcPr>
            <w:tcW w:w="971" w:type="dxa"/>
            <w:vAlign w:val="bottom"/>
          </w:tcPr>
          <w:p w14:paraId="0A1D60AD" w14:textId="74996903" w:rsidR="00924BB0" w:rsidRPr="004E28CB" w:rsidRDefault="00924BB0"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223.0</w:t>
            </w:r>
          </w:p>
        </w:tc>
        <w:tc>
          <w:tcPr>
            <w:tcW w:w="777" w:type="dxa"/>
            <w:vAlign w:val="bottom"/>
          </w:tcPr>
          <w:p w14:paraId="241270E4" w14:textId="3C5E9286" w:rsidR="00924BB0" w:rsidRPr="004E28CB" w:rsidRDefault="00924BB0"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78.9</w:t>
            </w:r>
          </w:p>
        </w:tc>
        <w:tc>
          <w:tcPr>
            <w:tcW w:w="1121" w:type="dxa"/>
            <w:vAlign w:val="bottom"/>
          </w:tcPr>
          <w:p w14:paraId="72819C76" w14:textId="1327F107" w:rsidR="00924BB0" w:rsidRPr="004E28CB" w:rsidRDefault="00924BB0"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892.0</w:t>
            </w:r>
          </w:p>
        </w:tc>
        <w:tc>
          <w:tcPr>
            <w:tcW w:w="1121" w:type="dxa"/>
            <w:vAlign w:val="bottom"/>
          </w:tcPr>
          <w:p w14:paraId="715C5F90" w14:textId="7E5664EB" w:rsidR="00924BB0" w:rsidRPr="004E28CB" w:rsidRDefault="00924BB0"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354.5</w:t>
            </w:r>
          </w:p>
        </w:tc>
        <w:tc>
          <w:tcPr>
            <w:tcW w:w="1234" w:type="dxa"/>
            <w:vAlign w:val="bottom"/>
          </w:tcPr>
          <w:p w14:paraId="7FCB0B86" w14:textId="536A813C" w:rsidR="00924BB0" w:rsidRPr="004E28CB" w:rsidRDefault="00924BB0"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2B860965" w14:textId="37ECA9FF" w:rsidR="00924BB0" w:rsidRPr="004E28CB" w:rsidRDefault="00924BB0"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502328F4" w14:textId="0D427541" w:rsidR="00924BB0" w:rsidRPr="004E28CB" w:rsidRDefault="00924BB0"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1115.0</w:t>
            </w:r>
          </w:p>
        </w:tc>
        <w:tc>
          <w:tcPr>
            <w:tcW w:w="1034" w:type="dxa"/>
            <w:vAlign w:val="bottom"/>
          </w:tcPr>
          <w:p w14:paraId="6FE6FA7F" w14:textId="4998FB61" w:rsidR="00924BB0" w:rsidRPr="004E28CB" w:rsidRDefault="00924BB0"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433.4</w:t>
            </w:r>
          </w:p>
        </w:tc>
        <w:tc>
          <w:tcPr>
            <w:tcW w:w="1364" w:type="dxa"/>
            <w:gridSpan w:val="3"/>
            <w:vAlign w:val="bottom"/>
          </w:tcPr>
          <w:p w14:paraId="0B24BC85" w14:textId="0CF09DFF" w:rsidR="00924BB0" w:rsidRPr="004E28CB" w:rsidRDefault="00924BB0"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1159.6</w:t>
            </w:r>
          </w:p>
        </w:tc>
        <w:tc>
          <w:tcPr>
            <w:tcW w:w="1605" w:type="dxa"/>
            <w:vAlign w:val="bottom"/>
          </w:tcPr>
          <w:p w14:paraId="1B6100D4" w14:textId="05E9E661" w:rsidR="00924BB0" w:rsidRPr="004E28CB" w:rsidRDefault="00924BB0"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No</w:t>
            </w:r>
          </w:p>
        </w:tc>
      </w:tr>
      <w:tr w:rsidR="004E28CB" w:rsidRPr="004E28CB" w14:paraId="34DB0300" w14:textId="77777777" w:rsidTr="00115EA1">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41EDC89F" w14:textId="7EFB9AA8" w:rsidR="00CC3FCA" w:rsidRPr="004E28CB" w:rsidRDefault="00CC3FCA" w:rsidP="00CC3FCA">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VIC</w:t>
            </w:r>
          </w:p>
        </w:tc>
        <w:tc>
          <w:tcPr>
            <w:tcW w:w="1708" w:type="dxa"/>
            <w:vAlign w:val="bottom"/>
          </w:tcPr>
          <w:p w14:paraId="5A365599" w14:textId="58C8C97E" w:rsidR="00CC3FCA" w:rsidRPr="004E28CB" w:rsidRDefault="00CC3FC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Goulburn-Murray: deep</w:t>
            </w:r>
          </w:p>
        </w:tc>
        <w:tc>
          <w:tcPr>
            <w:tcW w:w="843" w:type="dxa"/>
            <w:vAlign w:val="bottom"/>
          </w:tcPr>
          <w:p w14:paraId="717EC69D" w14:textId="29E6CA81" w:rsidR="00CC3FCA" w:rsidRPr="004E28CB" w:rsidRDefault="00CC3FC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GS8d</w:t>
            </w:r>
          </w:p>
        </w:tc>
        <w:tc>
          <w:tcPr>
            <w:tcW w:w="851" w:type="dxa"/>
            <w:vAlign w:val="bottom"/>
          </w:tcPr>
          <w:p w14:paraId="279674CA" w14:textId="15F387A4" w:rsidR="00CC3FCA" w:rsidRPr="004E28CB" w:rsidRDefault="00CC3FC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20.0</w:t>
            </w:r>
          </w:p>
        </w:tc>
        <w:tc>
          <w:tcPr>
            <w:tcW w:w="971" w:type="dxa"/>
            <w:vAlign w:val="bottom"/>
          </w:tcPr>
          <w:p w14:paraId="520B37AF" w14:textId="3AA74AB6" w:rsidR="00CC3FCA" w:rsidRPr="004E28CB" w:rsidRDefault="00CC3FC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20.0</w:t>
            </w:r>
          </w:p>
        </w:tc>
        <w:tc>
          <w:tcPr>
            <w:tcW w:w="777" w:type="dxa"/>
            <w:vAlign w:val="bottom"/>
          </w:tcPr>
          <w:p w14:paraId="1364074C" w14:textId="3EEA016F" w:rsidR="00CC3FCA" w:rsidRPr="004E28CB" w:rsidRDefault="00CC3FC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1.6</w:t>
            </w:r>
          </w:p>
        </w:tc>
        <w:tc>
          <w:tcPr>
            <w:tcW w:w="1121" w:type="dxa"/>
            <w:vAlign w:val="bottom"/>
          </w:tcPr>
          <w:p w14:paraId="7F78B676" w14:textId="3245C695" w:rsidR="00CC3FCA" w:rsidRPr="004E28CB" w:rsidRDefault="00CC3FC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80.0</w:t>
            </w:r>
          </w:p>
        </w:tc>
        <w:tc>
          <w:tcPr>
            <w:tcW w:w="1121" w:type="dxa"/>
            <w:vAlign w:val="bottom"/>
          </w:tcPr>
          <w:p w14:paraId="54FCD47D" w14:textId="39E01201" w:rsidR="00CC3FCA" w:rsidRPr="004E28CB" w:rsidRDefault="00CC3FC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4.7</w:t>
            </w:r>
          </w:p>
        </w:tc>
        <w:tc>
          <w:tcPr>
            <w:tcW w:w="1234" w:type="dxa"/>
            <w:vAlign w:val="bottom"/>
          </w:tcPr>
          <w:p w14:paraId="02709090" w14:textId="641F7BF7" w:rsidR="00CC3FCA" w:rsidRPr="004E28CB" w:rsidRDefault="00CC3FC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33668CED" w14:textId="26E39723" w:rsidR="00CC3FCA" w:rsidRPr="004E28CB" w:rsidRDefault="00CC3FC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003924D0" w14:textId="0429DC7B" w:rsidR="00CC3FCA" w:rsidRPr="004E28CB" w:rsidRDefault="00CC3FC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100.0</w:t>
            </w:r>
          </w:p>
        </w:tc>
        <w:tc>
          <w:tcPr>
            <w:tcW w:w="1034" w:type="dxa"/>
            <w:vAlign w:val="bottom"/>
          </w:tcPr>
          <w:p w14:paraId="2B45F955" w14:textId="54FC0817" w:rsidR="00CC3FCA" w:rsidRPr="004E28CB" w:rsidRDefault="00CC3FC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6.3</w:t>
            </w:r>
          </w:p>
        </w:tc>
        <w:tc>
          <w:tcPr>
            <w:tcW w:w="1364" w:type="dxa"/>
            <w:gridSpan w:val="3"/>
            <w:vAlign w:val="bottom"/>
          </w:tcPr>
          <w:p w14:paraId="367B0D72" w14:textId="63CF370A" w:rsidR="00CC3FCA" w:rsidRPr="004E28CB" w:rsidRDefault="00CC3FC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104.0</w:t>
            </w:r>
          </w:p>
        </w:tc>
        <w:tc>
          <w:tcPr>
            <w:tcW w:w="1605" w:type="dxa"/>
            <w:vAlign w:val="bottom"/>
          </w:tcPr>
          <w:p w14:paraId="29BF8EEE" w14:textId="1F7F6EED" w:rsidR="00CC3FCA" w:rsidRPr="004E28CB" w:rsidRDefault="00CC3FCA"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No</w:t>
            </w:r>
          </w:p>
        </w:tc>
      </w:tr>
      <w:tr w:rsidR="00E904D8" w:rsidRPr="004E28CB" w14:paraId="1962518B" w14:textId="77777777" w:rsidTr="00115E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2397D716" w14:textId="624188BA" w:rsidR="00C800F5" w:rsidRPr="004E28CB" w:rsidRDefault="00C800F5" w:rsidP="00C800F5">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VIC</w:t>
            </w:r>
          </w:p>
        </w:tc>
        <w:tc>
          <w:tcPr>
            <w:tcW w:w="1708" w:type="dxa"/>
            <w:vAlign w:val="bottom"/>
          </w:tcPr>
          <w:p w14:paraId="13233320" w14:textId="15632B74" w:rsidR="00C800F5" w:rsidRPr="004E28CB" w:rsidRDefault="00C800F5"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Wimmera-Mallee: Highlands</w:t>
            </w:r>
          </w:p>
        </w:tc>
        <w:tc>
          <w:tcPr>
            <w:tcW w:w="843" w:type="dxa"/>
            <w:vAlign w:val="bottom"/>
          </w:tcPr>
          <w:p w14:paraId="486D0038" w14:textId="1886C301" w:rsidR="00C800F5" w:rsidRPr="004E28CB" w:rsidRDefault="00C800F5"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GS9a</w:t>
            </w:r>
          </w:p>
        </w:tc>
        <w:tc>
          <w:tcPr>
            <w:tcW w:w="851" w:type="dxa"/>
            <w:vAlign w:val="bottom"/>
          </w:tcPr>
          <w:p w14:paraId="18AE3F46" w14:textId="04F3CA3E" w:rsidR="00C800F5" w:rsidRPr="004E28CB" w:rsidRDefault="00C800F5"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2.8</w:t>
            </w:r>
          </w:p>
        </w:tc>
        <w:tc>
          <w:tcPr>
            <w:tcW w:w="971" w:type="dxa"/>
            <w:vAlign w:val="bottom"/>
          </w:tcPr>
          <w:p w14:paraId="6FBE10D5" w14:textId="17A26DF0" w:rsidR="00C800F5" w:rsidRPr="004E28CB" w:rsidRDefault="00C800F5"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2.8</w:t>
            </w:r>
          </w:p>
        </w:tc>
        <w:tc>
          <w:tcPr>
            <w:tcW w:w="777" w:type="dxa"/>
            <w:vAlign w:val="bottom"/>
          </w:tcPr>
          <w:p w14:paraId="6998A241" w14:textId="4D60599E" w:rsidR="00C800F5" w:rsidRPr="004E28CB" w:rsidRDefault="00C800F5"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0.6</w:t>
            </w:r>
          </w:p>
        </w:tc>
        <w:tc>
          <w:tcPr>
            <w:tcW w:w="1121" w:type="dxa"/>
            <w:vAlign w:val="bottom"/>
          </w:tcPr>
          <w:p w14:paraId="1F958097" w14:textId="045ADC8B" w:rsidR="00C800F5" w:rsidRPr="004E28CB" w:rsidRDefault="00C800F5"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11.0</w:t>
            </w:r>
          </w:p>
        </w:tc>
        <w:tc>
          <w:tcPr>
            <w:tcW w:w="1121" w:type="dxa"/>
            <w:vAlign w:val="bottom"/>
          </w:tcPr>
          <w:p w14:paraId="4572E6B0" w14:textId="2CCB6151" w:rsidR="00C800F5" w:rsidRPr="004E28CB" w:rsidRDefault="00C800F5"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3.8</w:t>
            </w:r>
          </w:p>
        </w:tc>
        <w:tc>
          <w:tcPr>
            <w:tcW w:w="1234" w:type="dxa"/>
            <w:vAlign w:val="bottom"/>
          </w:tcPr>
          <w:p w14:paraId="6408D2DD" w14:textId="11612956" w:rsidR="00C800F5" w:rsidRPr="004E28CB" w:rsidRDefault="00C800F5"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418E5BD3" w14:textId="577B719A" w:rsidR="00C800F5" w:rsidRPr="004E28CB" w:rsidRDefault="00C800F5"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0D658AF1" w14:textId="35C204FA" w:rsidR="00C800F5" w:rsidRPr="004E28CB" w:rsidRDefault="00C800F5"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13.8</w:t>
            </w:r>
          </w:p>
        </w:tc>
        <w:tc>
          <w:tcPr>
            <w:tcW w:w="1034" w:type="dxa"/>
            <w:vAlign w:val="bottom"/>
          </w:tcPr>
          <w:p w14:paraId="0B8FF880" w14:textId="6F45B11A" w:rsidR="00C800F5" w:rsidRPr="004E28CB" w:rsidRDefault="00C800F5"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4.4</w:t>
            </w:r>
          </w:p>
        </w:tc>
        <w:tc>
          <w:tcPr>
            <w:tcW w:w="1364" w:type="dxa"/>
            <w:gridSpan w:val="3"/>
            <w:vAlign w:val="bottom"/>
          </w:tcPr>
          <w:p w14:paraId="2D3CFBC7" w14:textId="5FA81AD2" w:rsidR="00C800F5" w:rsidRPr="004E28CB" w:rsidRDefault="00C800F5"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14.3</w:t>
            </w:r>
          </w:p>
        </w:tc>
        <w:tc>
          <w:tcPr>
            <w:tcW w:w="1605" w:type="dxa"/>
            <w:vAlign w:val="bottom"/>
          </w:tcPr>
          <w:p w14:paraId="1793BA64" w14:textId="4F19C52D" w:rsidR="00C800F5" w:rsidRPr="004E28CB" w:rsidRDefault="00C800F5"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No</w:t>
            </w:r>
          </w:p>
        </w:tc>
      </w:tr>
      <w:tr w:rsidR="004E28CB" w:rsidRPr="004E28CB" w14:paraId="3421ADD1" w14:textId="77777777" w:rsidTr="00115EA1">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6BBD0AD5" w14:textId="6CB60357" w:rsidR="00756251" w:rsidRPr="004E28CB" w:rsidRDefault="00756251" w:rsidP="00756251">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lastRenderedPageBreak/>
              <w:t>VIC</w:t>
            </w:r>
          </w:p>
        </w:tc>
        <w:tc>
          <w:tcPr>
            <w:tcW w:w="1708" w:type="dxa"/>
            <w:vAlign w:val="bottom"/>
          </w:tcPr>
          <w:p w14:paraId="4E556C50" w14:textId="5890B253" w:rsidR="00756251" w:rsidRPr="004E28CB" w:rsidRDefault="0075625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Wimmera-Mallee: Sedimentary Plain</w:t>
            </w:r>
          </w:p>
        </w:tc>
        <w:tc>
          <w:tcPr>
            <w:tcW w:w="843" w:type="dxa"/>
            <w:vAlign w:val="bottom"/>
          </w:tcPr>
          <w:p w14:paraId="3E29184C" w14:textId="4215FAF6" w:rsidR="00756251" w:rsidRPr="004E28CB" w:rsidRDefault="0075625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GS9b</w:t>
            </w:r>
          </w:p>
        </w:tc>
        <w:tc>
          <w:tcPr>
            <w:tcW w:w="851" w:type="dxa"/>
            <w:vAlign w:val="bottom"/>
          </w:tcPr>
          <w:p w14:paraId="4995F047" w14:textId="60497CEB" w:rsidR="00756251" w:rsidRPr="004E28CB" w:rsidRDefault="0075625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186.9</w:t>
            </w:r>
          </w:p>
        </w:tc>
        <w:tc>
          <w:tcPr>
            <w:tcW w:w="971" w:type="dxa"/>
            <w:vAlign w:val="bottom"/>
          </w:tcPr>
          <w:p w14:paraId="182FB760" w14:textId="7E4A1D22" w:rsidR="00756251" w:rsidRPr="004E28CB" w:rsidRDefault="0075625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186.9</w:t>
            </w:r>
          </w:p>
        </w:tc>
        <w:tc>
          <w:tcPr>
            <w:tcW w:w="777" w:type="dxa"/>
            <w:vAlign w:val="bottom"/>
          </w:tcPr>
          <w:p w14:paraId="799AA0B5" w14:textId="7C4C926A" w:rsidR="00756251" w:rsidRPr="004E28CB" w:rsidRDefault="0075625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7.6</w:t>
            </w:r>
          </w:p>
        </w:tc>
        <w:tc>
          <w:tcPr>
            <w:tcW w:w="1121" w:type="dxa"/>
            <w:vAlign w:val="bottom"/>
          </w:tcPr>
          <w:p w14:paraId="3C1440DB" w14:textId="2099F075" w:rsidR="00756251" w:rsidRPr="004E28CB" w:rsidRDefault="0075625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747.6</w:t>
            </w:r>
          </w:p>
        </w:tc>
        <w:tc>
          <w:tcPr>
            <w:tcW w:w="1121" w:type="dxa"/>
            <w:vAlign w:val="bottom"/>
          </w:tcPr>
          <w:p w14:paraId="7008EA32" w14:textId="4CAA8D66" w:rsidR="00756251" w:rsidRPr="004E28CB" w:rsidRDefault="0075625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28.7</w:t>
            </w:r>
          </w:p>
        </w:tc>
        <w:tc>
          <w:tcPr>
            <w:tcW w:w="1234" w:type="dxa"/>
            <w:vAlign w:val="bottom"/>
          </w:tcPr>
          <w:p w14:paraId="210D7BCC" w14:textId="45FF542D" w:rsidR="00756251" w:rsidRPr="004E28CB" w:rsidRDefault="0075625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1D530FDD" w14:textId="6F4D1F2E" w:rsidR="00756251" w:rsidRPr="004E28CB" w:rsidRDefault="0075625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16944118" w14:textId="7CB229EF" w:rsidR="00756251" w:rsidRPr="004E28CB" w:rsidRDefault="0075625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934.5</w:t>
            </w:r>
          </w:p>
        </w:tc>
        <w:tc>
          <w:tcPr>
            <w:tcW w:w="1034" w:type="dxa"/>
            <w:vAlign w:val="bottom"/>
          </w:tcPr>
          <w:p w14:paraId="5091E4D9" w14:textId="59FFAA56" w:rsidR="00756251" w:rsidRPr="004E28CB" w:rsidRDefault="0075625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36.2</w:t>
            </w:r>
          </w:p>
        </w:tc>
        <w:tc>
          <w:tcPr>
            <w:tcW w:w="1364" w:type="dxa"/>
            <w:gridSpan w:val="3"/>
            <w:vAlign w:val="bottom"/>
          </w:tcPr>
          <w:p w14:paraId="08053C57" w14:textId="40369077" w:rsidR="00756251" w:rsidRPr="004E28CB" w:rsidRDefault="0075625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971.9</w:t>
            </w:r>
          </w:p>
        </w:tc>
        <w:tc>
          <w:tcPr>
            <w:tcW w:w="1605" w:type="dxa"/>
            <w:vAlign w:val="bottom"/>
          </w:tcPr>
          <w:p w14:paraId="4BE89179" w14:textId="0850FC4D" w:rsidR="00756251" w:rsidRPr="004E28CB" w:rsidRDefault="00756251" w:rsidP="009C0F1C">
            <w:pPr>
              <w:spacing w:after="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4E28CB">
              <w:rPr>
                <w:color w:val="000000"/>
                <w:szCs w:val="20"/>
              </w:rPr>
              <w:t>No</w:t>
            </w:r>
          </w:p>
        </w:tc>
      </w:tr>
      <w:tr w:rsidR="00E904D8" w:rsidRPr="004E28CB" w14:paraId="4F1632EF" w14:textId="77777777" w:rsidTr="00115E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6" w:type="dxa"/>
          </w:tcPr>
          <w:p w14:paraId="6C180DE5" w14:textId="15DF8DD3" w:rsidR="004E28CB" w:rsidRPr="004E28CB" w:rsidRDefault="004E28CB" w:rsidP="004E28CB">
            <w:pPr>
              <w:spacing w:after="0"/>
              <w:jc w:val="center"/>
              <w:rPr>
                <w:rFonts w:eastAsia="Verdana" w:cs="Verdana"/>
                <w:b w:val="0"/>
                <w:bCs w:val="0"/>
                <w:color w:val="000000"/>
                <w:szCs w:val="20"/>
                <w:lang w:eastAsia="en-AU"/>
              </w:rPr>
            </w:pPr>
            <w:r w:rsidRPr="004E28CB">
              <w:rPr>
                <w:rFonts w:eastAsia="Verdana" w:cs="Verdana"/>
                <w:b w:val="0"/>
                <w:bCs w:val="0"/>
                <w:color w:val="000000"/>
                <w:szCs w:val="20"/>
                <w:lang w:eastAsia="en-AU"/>
              </w:rPr>
              <w:t>VIC</w:t>
            </w:r>
          </w:p>
        </w:tc>
        <w:tc>
          <w:tcPr>
            <w:tcW w:w="1708" w:type="dxa"/>
            <w:vAlign w:val="bottom"/>
          </w:tcPr>
          <w:p w14:paraId="71DA0B24" w14:textId="2520B384" w:rsidR="004E28CB" w:rsidRPr="004E28CB" w:rsidRDefault="004E28CB"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Wimmera-Mallee: deep</w:t>
            </w:r>
          </w:p>
        </w:tc>
        <w:tc>
          <w:tcPr>
            <w:tcW w:w="843" w:type="dxa"/>
            <w:vAlign w:val="bottom"/>
          </w:tcPr>
          <w:p w14:paraId="54EA5525" w14:textId="7293A44B" w:rsidR="004E28CB" w:rsidRPr="004E28CB" w:rsidRDefault="004E28CB"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GS9c</w:t>
            </w:r>
          </w:p>
        </w:tc>
        <w:tc>
          <w:tcPr>
            <w:tcW w:w="851" w:type="dxa"/>
            <w:vAlign w:val="bottom"/>
          </w:tcPr>
          <w:p w14:paraId="3CD14A07" w14:textId="2512CD2E" w:rsidR="004E28CB" w:rsidRPr="004E28CB" w:rsidRDefault="004E28CB"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20.0</w:t>
            </w:r>
          </w:p>
        </w:tc>
        <w:tc>
          <w:tcPr>
            <w:tcW w:w="971" w:type="dxa"/>
            <w:vAlign w:val="bottom"/>
          </w:tcPr>
          <w:p w14:paraId="4411C35D" w14:textId="5D5621F8" w:rsidR="004E28CB" w:rsidRPr="004E28CB" w:rsidRDefault="004E28CB"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20.0</w:t>
            </w:r>
          </w:p>
        </w:tc>
        <w:tc>
          <w:tcPr>
            <w:tcW w:w="777" w:type="dxa"/>
            <w:vAlign w:val="bottom"/>
          </w:tcPr>
          <w:p w14:paraId="788091EF" w14:textId="4C621324" w:rsidR="004E28CB" w:rsidRPr="004E28CB" w:rsidRDefault="004E28CB"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0.3</w:t>
            </w:r>
          </w:p>
        </w:tc>
        <w:tc>
          <w:tcPr>
            <w:tcW w:w="1121" w:type="dxa"/>
            <w:vAlign w:val="bottom"/>
          </w:tcPr>
          <w:p w14:paraId="776B8524" w14:textId="69852311" w:rsidR="004E28CB" w:rsidRPr="004E28CB" w:rsidRDefault="004E28CB"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80.0</w:t>
            </w:r>
          </w:p>
        </w:tc>
        <w:tc>
          <w:tcPr>
            <w:tcW w:w="1121" w:type="dxa"/>
            <w:vAlign w:val="bottom"/>
          </w:tcPr>
          <w:p w14:paraId="72DFB813" w14:textId="339F3EF5" w:rsidR="004E28CB" w:rsidRPr="004E28CB" w:rsidRDefault="004E28CB"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1.1</w:t>
            </w:r>
          </w:p>
        </w:tc>
        <w:tc>
          <w:tcPr>
            <w:tcW w:w="1234" w:type="dxa"/>
            <w:vAlign w:val="bottom"/>
          </w:tcPr>
          <w:p w14:paraId="0BA5B6CD" w14:textId="7F3F1989" w:rsidR="004E28CB" w:rsidRPr="004E28CB" w:rsidRDefault="004E28CB"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234" w:type="dxa"/>
            <w:vAlign w:val="bottom"/>
          </w:tcPr>
          <w:p w14:paraId="6F62A0B9" w14:textId="32C3A97C" w:rsidR="004E28CB" w:rsidRPr="004E28CB" w:rsidRDefault="004E28CB"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0.0</w:t>
            </w:r>
          </w:p>
        </w:tc>
        <w:tc>
          <w:tcPr>
            <w:tcW w:w="1162" w:type="dxa"/>
            <w:gridSpan w:val="2"/>
            <w:vAlign w:val="bottom"/>
          </w:tcPr>
          <w:p w14:paraId="35BCD9A3" w14:textId="1749D8AF" w:rsidR="004E28CB" w:rsidRPr="004E28CB" w:rsidRDefault="004E28CB"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100.0</w:t>
            </w:r>
          </w:p>
        </w:tc>
        <w:tc>
          <w:tcPr>
            <w:tcW w:w="1034" w:type="dxa"/>
            <w:vAlign w:val="bottom"/>
          </w:tcPr>
          <w:p w14:paraId="28F60294" w14:textId="070A74DD" w:rsidR="004E28CB" w:rsidRPr="004E28CB" w:rsidRDefault="004E28CB"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1.4</w:t>
            </w:r>
          </w:p>
        </w:tc>
        <w:tc>
          <w:tcPr>
            <w:tcW w:w="1364" w:type="dxa"/>
            <w:gridSpan w:val="3"/>
            <w:vAlign w:val="bottom"/>
          </w:tcPr>
          <w:p w14:paraId="00CDC2BC" w14:textId="3731FA1C" w:rsidR="004E28CB" w:rsidRPr="004E28CB" w:rsidRDefault="004E28CB"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104.0</w:t>
            </w:r>
          </w:p>
        </w:tc>
        <w:tc>
          <w:tcPr>
            <w:tcW w:w="1605" w:type="dxa"/>
            <w:vAlign w:val="bottom"/>
          </w:tcPr>
          <w:p w14:paraId="70B4470A" w14:textId="1354C404" w:rsidR="004E28CB" w:rsidRPr="004E28CB" w:rsidRDefault="004E28CB" w:rsidP="009C0F1C">
            <w:pPr>
              <w:spacing w:after="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4E28CB">
              <w:rPr>
                <w:color w:val="000000"/>
                <w:szCs w:val="20"/>
              </w:rPr>
              <w:t>No</w:t>
            </w:r>
          </w:p>
        </w:tc>
      </w:tr>
    </w:tbl>
    <w:p w14:paraId="5363AE31" w14:textId="4A0A977C" w:rsidR="01670D00" w:rsidRPr="004E28CB" w:rsidRDefault="01670D00">
      <w:pPr>
        <w:rPr>
          <w:szCs w:val="20"/>
        </w:rPr>
      </w:pPr>
    </w:p>
    <w:p w14:paraId="0C888AB4" w14:textId="77777777" w:rsidR="004E28CB" w:rsidRPr="004E28CB" w:rsidRDefault="004E28CB" w:rsidP="004E28CB">
      <w:pPr>
        <w:sectPr w:rsidR="004E28CB" w:rsidRPr="004E28CB" w:rsidSect="00CB230E">
          <w:headerReference w:type="first" r:id="rId41"/>
          <w:pgSz w:w="16838" w:h="11906" w:orient="landscape"/>
          <w:pgMar w:top="1134" w:right="709" w:bottom="1134" w:left="816" w:header="425" w:footer="999" w:gutter="0"/>
          <w:cols w:space="708"/>
          <w:titlePg/>
          <w:docGrid w:linePitch="360"/>
        </w:sectPr>
      </w:pPr>
    </w:p>
    <w:p w14:paraId="448F5F46" w14:textId="77777777" w:rsidR="00553DD7" w:rsidRDefault="00553DD7" w:rsidP="00553DD7">
      <w:pPr>
        <w:pStyle w:val="Heading1"/>
      </w:pPr>
      <w:bookmarkStart w:id="36" w:name="_Toc203485745"/>
      <w:r>
        <w:lastRenderedPageBreak/>
        <w:t>Glossary</w:t>
      </w:r>
      <w:bookmarkEnd w:id="36"/>
      <w:r>
        <w:t xml:space="preserve"> </w:t>
      </w:r>
    </w:p>
    <w:p w14:paraId="193E0FF8" w14:textId="48A98BAE" w:rsidR="4C89F9E0" w:rsidRDefault="4C89F9E0" w:rsidP="61363AEF">
      <w:pPr>
        <w:rPr>
          <w:rFonts w:eastAsia="Verdana" w:cs="Verdana"/>
          <w:color w:val="000000"/>
          <w:szCs w:val="20"/>
        </w:rPr>
      </w:pPr>
      <w:r w:rsidRPr="61363AEF">
        <w:rPr>
          <w:rFonts w:eastAsia="Verdana" w:cs="Verdana"/>
          <w:b/>
          <w:bCs/>
          <w:color w:val="000000"/>
          <w:szCs w:val="20"/>
        </w:rPr>
        <w:t xml:space="preserve">Act </w:t>
      </w:r>
    </w:p>
    <w:p w14:paraId="59AB748B" w14:textId="4717E65D" w:rsidR="4C89F9E0" w:rsidRDefault="4C89F9E0" w:rsidP="61363AEF">
      <w:pPr>
        <w:rPr>
          <w:rFonts w:eastAsia="Verdana" w:cs="Verdana"/>
          <w:color w:val="000000"/>
          <w:szCs w:val="20"/>
        </w:rPr>
      </w:pPr>
      <w:r w:rsidRPr="61363AEF">
        <w:rPr>
          <w:rFonts w:eastAsia="Verdana" w:cs="Verdana"/>
          <w:i/>
          <w:iCs/>
          <w:color w:val="000000"/>
          <w:szCs w:val="20"/>
        </w:rPr>
        <w:t xml:space="preserve">Water Act 2007 </w:t>
      </w:r>
      <w:r w:rsidRPr="61363AEF">
        <w:rPr>
          <w:rFonts w:eastAsia="Verdana" w:cs="Verdana"/>
          <w:color w:val="000000"/>
          <w:szCs w:val="20"/>
        </w:rPr>
        <w:t>(Commonwealth)</w:t>
      </w:r>
    </w:p>
    <w:p w14:paraId="1DD5C45A" w14:textId="492263FE" w:rsidR="787C9F8A" w:rsidRDefault="787C9F8A" w:rsidP="61363AEF">
      <w:pPr>
        <w:rPr>
          <w:rFonts w:eastAsia="Verdana" w:cs="Verdana"/>
          <w:b/>
          <w:bCs/>
          <w:color w:val="000000"/>
          <w:szCs w:val="20"/>
        </w:rPr>
      </w:pPr>
      <w:r w:rsidRPr="61363AEF">
        <w:rPr>
          <w:rFonts w:eastAsia="Verdana" w:cs="Verdana"/>
          <w:b/>
          <w:bCs/>
          <w:color w:val="000000"/>
          <w:szCs w:val="20"/>
        </w:rPr>
        <w:t>Annual Actual Take</w:t>
      </w:r>
      <w:r w:rsidR="00CA6843">
        <w:rPr>
          <w:rFonts w:eastAsia="Verdana" w:cs="Verdana"/>
          <w:b/>
          <w:bCs/>
          <w:color w:val="000000"/>
          <w:szCs w:val="20"/>
        </w:rPr>
        <w:t xml:space="preserve"> (AAT)</w:t>
      </w:r>
    </w:p>
    <w:p w14:paraId="5387B816" w14:textId="25AFFEE1" w:rsidR="130EF61E" w:rsidRDefault="130EF61E" w:rsidP="0D06E54A">
      <w:pPr>
        <w:rPr>
          <w:rFonts w:eastAsia="Verdana" w:cs="Verdana"/>
        </w:rPr>
      </w:pPr>
      <w:r w:rsidRPr="0D06E54A">
        <w:rPr>
          <w:rFonts w:eastAsia="Verdana" w:cs="Verdana"/>
        </w:rPr>
        <w:t xml:space="preserve">Defined under section 6.10 of the </w:t>
      </w:r>
      <w:r w:rsidRPr="0D06E54A">
        <w:rPr>
          <w:rFonts w:eastAsia="Verdana" w:cs="Verdana"/>
          <w:i/>
          <w:iCs/>
        </w:rPr>
        <w:t>Basin Plan</w:t>
      </w:r>
      <w:r w:rsidRPr="0D06E54A">
        <w:rPr>
          <w:rFonts w:eastAsia="Verdana" w:cs="Verdana"/>
        </w:rPr>
        <w:t>. For a water accounting period, the annual actual take is the sum of quantity of water actually taken by each form of take for consumptive use from the SDL resource unit.</w:t>
      </w:r>
      <w:r w:rsidR="009E6C43">
        <w:rPr>
          <w:rFonts w:eastAsia="Verdana" w:cs="Verdana"/>
        </w:rPr>
        <w:t xml:space="preserve"> </w:t>
      </w:r>
      <w:r w:rsidR="004167E9">
        <w:rPr>
          <w:rFonts w:eastAsia="Verdana" w:cs="Verdana"/>
        </w:rPr>
        <w:t>It excludes water traded out</w:t>
      </w:r>
      <w:r w:rsidR="009F2D5A">
        <w:rPr>
          <w:rFonts w:eastAsia="Verdana" w:cs="Verdana"/>
        </w:rPr>
        <w:t xml:space="preserve">, </w:t>
      </w:r>
      <w:r w:rsidR="00DF58A3">
        <w:rPr>
          <w:rFonts w:eastAsia="Verdana" w:cs="Verdana"/>
        </w:rPr>
        <w:t>though</w:t>
      </w:r>
      <w:r w:rsidR="009F2D5A">
        <w:rPr>
          <w:rFonts w:eastAsia="Verdana" w:cs="Verdana"/>
        </w:rPr>
        <w:t xml:space="preserve"> includes water use from water traded in.</w:t>
      </w:r>
      <w:r w:rsidR="41EA4A03" w:rsidRPr="0D06E54A">
        <w:rPr>
          <w:rFonts w:eastAsia="Verdana" w:cs="Verdana"/>
        </w:rPr>
        <w:t xml:space="preserve"> Sometimes referred to as Annual Total Take</w:t>
      </w:r>
      <w:r w:rsidR="001777F9">
        <w:rPr>
          <w:rFonts w:eastAsia="Verdana" w:cs="Verdana"/>
        </w:rPr>
        <w:t>.</w:t>
      </w:r>
    </w:p>
    <w:p w14:paraId="4BDC716F" w14:textId="13EC79EB" w:rsidR="787C9F8A" w:rsidRDefault="787C9F8A" w:rsidP="61363AEF">
      <w:pPr>
        <w:rPr>
          <w:rFonts w:eastAsia="Verdana" w:cs="Verdana"/>
          <w:b/>
          <w:bCs/>
          <w:color w:val="000000"/>
          <w:szCs w:val="20"/>
        </w:rPr>
      </w:pPr>
      <w:r w:rsidRPr="61363AEF">
        <w:rPr>
          <w:rFonts w:eastAsia="Verdana" w:cs="Verdana"/>
          <w:b/>
          <w:bCs/>
          <w:color w:val="000000"/>
          <w:szCs w:val="20"/>
        </w:rPr>
        <w:t>Annual Permitted Take</w:t>
      </w:r>
      <w:r w:rsidR="00CA6843">
        <w:rPr>
          <w:rFonts w:eastAsia="Verdana" w:cs="Verdana"/>
          <w:b/>
          <w:bCs/>
          <w:color w:val="000000"/>
          <w:szCs w:val="20"/>
        </w:rPr>
        <w:t xml:space="preserve"> (APT)</w:t>
      </w:r>
    </w:p>
    <w:p w14:paraId="35972DD7" w14:textId="67AAE9CF" w:rsidR="3BAC8D15" w:rsidRDefault="4CE3B57C" w:rsidP="53847806">
      <w:pPr>
        <w:rPr>
          <w:rFonts w:eastAsia="Verdana" w:cs="Verdana"/>
          <w:szCs w:val="20"/>
        </w:rPr>
      </w:pPr>
      <w:r w:rsidRPr="61363AEF">
        <w:rPr>
          <w:rFonts w:eastAsia="Verdana" w:cs="Verdana"/>
          <w:szCs w:val="20"/>
        </w:rPr>
        <w:t xml:space="preserve">Defined under section 6.10 of the </w:t>
      </w:r>
      <w:r w:rsidRPr="61363AEF">
        <w:rPr>
          <w:rFonts w:eastAsia="Verdana" w:cs="Verdana"/>
          <w:i/>
          <w:iCs/>
          <w:szCs w:val="20"/>
        </w:rPr>
        <w:t>Basin Plan</w:t>
      </w:r>
      <w:r w:rsidRPr="61363AEF">
        <w:rPr>
          <w:rFonts w:eastAsia="Verdana" w:cs="Verdana"/>
          <w:szCs w:val="20"/>
        </w:rPr>
        <w:t xml:space="preserve">. For a water accounting period, the annual permitted take is the sum of the maximum quantity of water permitted to be taken by each form of take for consumptive use from the SDL resource unit, determined in accordance with the </w:t>
      </w:r>
      <w:r w:rsidR="714613CE" w:rsidRPr="61363AEF">
        <w:rPr>
          <w:rFonts w:eastAsia="Verdana" w:cs="Verdana"/>
          <w:szCs w:val="20"/>
        </w:rPr>
        <w:t>relevant water resource plan.</w:t>
      </w:r>
    </w:p>
    <w:p w14:paraId="101BC6CA" w14:textId="3C223FF3" w:rsidR="53847806" w:rsidRPr="00E57414" w:rsidRDefault="5326F269" w:rsidP="53847806">
      <w:pPr>
        <w:rPr>
          <w:rFonts w:eastAsia="Verdana" w:cs="Verdana"/>
          <w:b/>
          <w:bCs/>
        </w:rPr>
      </w:pPr>
      <w:r w:rsidRPr="00E57414">
        <w:rPr>
          <w:rFonts w:eastAsia="Verdana" w:cs="Verdana"/>
          <w:b/>
          <w:bCs/>
        </w:rPr>
        <w:t>Baseline Diversion Limit</w:t>
      </w:r>
    </w:p>
    <w:p w14:paraId="037BCC9F" w14:textId="329ACF28" w:rsidR="5326F269" w:rsidRDefault="5326F269" w:rsidP="6775A75F">
      <w:pPr>
        <w:rPr>
          <w:rFonts w:eastAsia="Verdana" w:cs="Verdana"/>
        </w:rPr>
      </w:pPr>
      <w:r w:rsidRPr="6775A75F">
        <w:rPr>
          <w:rFonts w:eastAsia="Verdana" w:cs="Verdana"/>
        </w:rPr>
        <w:t xml:space="preserve">The </w:t>
      </w:r>
      <w:r w:rsidR="00F02CB5">
        <w:rPr>
          <w:rFonts w:eastAsia="Verdana" w:cs="Verdana"/>
        </w:rPr>
        <w:t>historic</w:t>
      </w:r>
      <w:r w:rsidRPr="6775A75F">
        <w:rPr>
          <w:rFonts w:eastAsia="Verdana" w:cs="Verdana"/>
        </w:rPr>
        <w:t xml:space="preserve"> </w:t>
      </w:r>
      <w:r w:rsidR="00866A3A">
        <w:rPr>
          <w:rFonts w:eastAsia="Verdana" w:cs="Verdana"/>
        </w:rPr>
        <w:t>long-term</w:t>
      </w:r>
      <w:r w:rsidRPr="6775A75F">
        <w:rPr>
          <w:rFonts w:eastAsia="Verdana" w:cs="Verdana"/>
        </w:rPr>
        <w:t xml:space="preserve"> </w:t>
      </w:r>
      <w:r w:rsidR="00E7391C">
        <w:rPr>
          <w:rFonts w:eastAsia="Verdana" w:cs="Verdana"/>
        </w:rPr>
        <w:t xml:space="preserve">average annual </w:t>
      </w:r>
      <w:r w:rsidRPr="6775A75F">
        <w:rPr>
          <w:rFonts w:eastAsia="Verdana" w:cs="Verdana"/>
        </w:rPr>
        <w:t>amount of water that could</w:t>
      </w:r>
      <w:r w:rsidR="00F02CB5">
        <w:rPr>
          <w:rFonts w:eastAsia="Verdana" w:cs="Verdana"/>
        </w:rPr>
        <w:t xml:space="preserve"> be</w:t>
      </w:r>
      <w:r w:rsidRPr="6775A75F">
        <w:rPr>
          <w:rFonts w:eastAsia="Verdana" w:cs="Verdana"/>
        </w:rPr>
        <w:t>, or was being</w:t>
      </w:r>
      <w:r w:rsidR="00F02CB5">
        <w:rPr>
          <w:rFonts w:eastAsia="Verdana" w:cs="Verdana"/>
        </w:rPr>
        <w:t>,</w:t>
      </w:r>
      <w:r w:rsidRPr="6775A75F">
        <w:rPr>
          <w:rFonts w:eastAsia="Verdana" w:cs="Verdana"/>
        </w:rPr>
        <w:t xml:space="preserve"> used in the Basin prior to the Basin Plan (June 2009). It established a baseline from which to determine </w:t>
      </w:r>
      <w:r w:rsidR="39D6B4F0" w:rsidRPr="6775A75F">
        <w:rPr>
          <w:rFonts w:eastAsia="Verdana" w:cs="Verdana"/>
        </w:rPr>
        <w:t xml:space="preserve">the </w:t>
      </w:r>
      <w:r w:rsidRPr="6775A75F">
        <w:rPr>
          <w:rFonts w:eastAsia="Verdana" w:cs="Verdana"/>
        </w:rPr>
        <w:t>reductions required to</w:t>
      </w:r>
      <w:r w:rsidR="0E4A0876" w:rsidRPr="6775A75F">
        <w:rPr>
          <w:rFonts w:eastAsia="Verdana" w:cs="Verdana"/>
        </w:rPr>
        <w:t xml:space="preserve"> diversions to ‘bridge the gap’ to the SDL.</w:t>
      </w:r>
    </w:p>
    <w:p w14:paraId="3EEBEB0E" w14:textId="16322DC8" w:rsidR="4C89F9E0" w:rsidRDefault="4C89F9E0" w:rsidP="61363AEF">
      <w:pPr>
        <w:rPr>
          <w:rFonts w:eastAsia="Verdana" w:cs="Verdana"/>
          <w:color w:val="000000"/>
          <w:szCs w:val="20"/>
        </w:rPr>
      </w:pPr>
      <w:r w:rsidRPr="61363AEF">
        <w:rPr>
          <w:rFonts w:eastAsia="Verdana" w:cs="Verdana"/>
          <w:b/>
          <w:bCs/>
          <w:color w:val="000000"/>
          <w:szCs w:val="20"/>
        </w:rPr>
        <w:t>Basin Plan</w:t>
      </w:r>
    </w:p>
    <w:p w14:paraId="5C3E2FAF" w14:textId="39A857AE" w:rsidR="4C89F9E0" w:rsidRDefault="4C89F9E0" w:rsidP="61363AEF">
      <w:pPr>
        <w:rPr>
          <w:rFonts w:eastAsia="Verdana" w:cs="Verdana"/>
          <w:color w:val="000000"/>
          <w:szCs w:val="20"/>
        </w:rPr>
      </w:pPr>
      <w:r w:rsidRPr="61363AEF">
        <w:rPr>
          <w:rFonts w:eastAsia="Verdana" w:cs="Verdana"/>
          <w:i/>
          <w:iCs/>
          <w:color w:val="000000"/>
          <w:szCs w:val="20"/>
        </w:rPr>
        <w:t xml:space="preserve">Basin Plan 2012 </w:t>
      </w:r>
      <w:r w:rsidRPr="61363AEF">
        <w:rPr>
          <w:rFonts w:eastAsia="Verdana" w:cs="Verdana"/>
          <w:color w:val="000000"/>
          <w:szCs w:val="20"/>
        </w:rPr>
        <w:t>(Commonwealth)</w:t>
      </w:r>
    </w:p>
    <w:p w14:paraId="27E1322C" w14:textId="61AD0102" w:rsidR="4C89F9E0" w:rsidRDefault="4C89F9E0" w:rsidP="61363AEF">
      <w:pPr>
        <w:rPr>
          <w:rFonts w:eastAsia="Verdana" w:cs="Verdana"/>
          <w:color w:val="000000"/>
          <w:szCs w:val="20"/>
        </w:rPr>
      </w:pPr>
      <w:r w:rsidRPr="61363AEF">
        <w:rPr>
          <w:rFonts w:eastAsia="Verdana" w:cs="Verdana"/>
          <w:b/>
          <w:bCs/>
          <w:color w:val="000000"/>
          <w:szCs w:val="20"/>
        </w:rPr>
        <w:t>Basin Stat</w:t>
      </w:r>
      <w:r w:rsidR="001777F9">
        <w:rPr>
          <w:rFonts w:eastAsia="Verdana" w:cs="Verdana"/>
          <w:b/>
          <w:bCs/>
          <w:color w:val="000000"/>
          <w:szCs w:val="20"/>
        </w:rPr>
        <w:t>e</w:t>
      </w:r>
    </w:p>
    <w:p w14:paraId="1FEB8903" w14:textId="5E423249" w:rsidR="4C89F9E0" w:rsidRDefault="4C89F9E0" w:rsidP="61363AEF">
      <w:pPr>
        <w:spacing w:line="276" w:lineRule="auto"/>
        <w:rPr>
          <w:rFonts w:eastAsia="Verdana" w:cs="Verdana"/>
          <w:color w:val="000000"/>
          <w:szCs w:val="20"/>
        </w:rPr>
      </w:pPr>
      <w:r w:rsidRPr="61363AEF">
        <w:rPr>
          <w:rFonts w:eastAsia="Verdana" w:cs="Verdana"/>
          <w:color w:val="000000"/>
          <w:szCs w:val="20"/>
        </w:rPr>
        <w:t>Basin State is defined in the Water Act and means New South Wales, Victoria, Queensland, South Australia, and the Australian Capital Territory. Basin States have obligations relating to SDL compliance reporting and action plans under s 71 of the Water Act and Chapter 6 of the Basin Plan.</w:t>
      </w:r>
    </w:p>
    <w:p w14:paraId="62E0A96A" w14:textId="161A3D57" w:rsidR="4C89F9E0" w:rsidRDefault="4C89F9E0" w:rsidP="61363AEF">
      <w:pPr>
        <w:rPr>
          <w:rFonts w:eastAsia="Verdana" w:cs="Verdana"/>
          <w:color w:val="000000"/>
          <w:szCs w:val="20"/>
        </w:rPr>
      </w:pPr>
      <w:r w:rsidRPr="61363AEF">
        <w:rPr>
          <w:rFonts w:eastAsia="Verdana" w:cs="Verdana"/>
          <w:b/>
          <w:bCs/>
          <w:color w:val="000000"/>
          <w:szCs w:val="20"/>
        </w:rPr>
        <w:t>Cumulative balance</w:t>
      </w:r>
      <w:r w:rsidR="1EEF0595" w:rsidRPr="61363AEF">
        <w:rPr>
          <w:rFonts w:eastAsia="Verdana" w:cs="Verdana"/>
          <w:b/>
          <w:bCs/>
          <w:color w:val="000000"/>
          <w:szCs w:val="20"/>
        </w:rPr>
        <w:t>/Adjusted cumulative balance</w:t>
      </w:r>
    </w:p>
    <w:p w14:paraId="31FC304B" w14:textId="450C9938" w:rsidR="6775A75F" w:rsidRPr="00352A20" w:rsidRDefault="4C89F9E0" w:rsidP="6775A75F">
      <w:pPr>
        <w:rPr>
          <w:rFonts w:eastAsia="Verdana" w:cs="Verdana"/>
          <w:b/>
          <w:bCs/>
          <w:color w:val="000000"/>
          <w:szCs w:val="20"/>
        </w:rPr>
      </w:pPr>
      <w:r w:rsidRPr="6775A75F">
        <w:rPr>
          <w:rFonts w:eastAsia="Verdana" w:cs="Verdana"/>
          <w:color w:val="000000"/>
        </w:rPr>
        <w:t xml:space="preserve">For surface water SDL resource units, each year the actual take is subtracted from the permitted take to generate a debit (where actual take is more than permitted take) or a credit (where actual take is less than permitted take). Over time, these debits and credits generate a </w:t>
      </w:r>
      <w:r w:rsidRPr="6775A75F">
        <w:rPr>
          <w:rFonts w:eastAsia="Verdana" w:cs="Verdana"/>
          <w:b/>
          <w:bCs/>
          <w:color w:val="000000"/>
        </w:rPr>
        <w:t>cumulative balance</w:t>
      </w:r>
      <w:r w:rsidRPr="6775A75F">
        <w:rPr>
          <w:rFonts w:eastAsia="Verdana" w:cs="Verdana"/>
          <w:color w:val="000000"/>
        </w:rPr>
        <w:t xml:space="preserve">. The </w:t>
      </w:r>
      <w:r w:rsidRPr="6775A75F">
        <w:rPr>
          <w:rFonts w:eastAsia="Verdana" w:cs="Verdana"/>
          <w:b/>
          <w:bCs/>
          <w:color w:val="000000"/>
        </w:rPr>
        <w:t>surface water SDL compliance threshold</w:t>
      </w:r>
      <w:r w:rsidRPr="6775A75F">
        <w:rPr>
          <w:rFonts w:eastAsia="Verdana" w:cs="Verdana"/>
          <w:color w:val="000000"/>
        </w:rPr>
        <w:t xml:space="preserve"> is when the cumulative balance for an SDL resource unit is a debit equal to or greater than 20% of the SDL.</w:t>
      </w:r>
      <w:r w:rsidR="4A58DF15" w:rsidRPr="6775A75F">
        <w:rPr>
          <w:rFonts w:eastAsia="Verdana" w:cs="Verdana"/>
          <w:color w:val="000000"/>
        </w:rPr>
        <w:t xml:space="preserve"> </w:t>
      </w:r>
      <w:r w:rsidR="00352A20">
        <w:rPr>
          <w:rFonts w:eastAsia="Verdana" w:cs="Verdana"/>
          <w:color w:val="000000"/>
          <w:szCs w:val="20"/>
        </w:rPr>
        <w:t>T</w:t>
      </w:r>
      <w:r w:rsidR="00352A20" w:rsidRPr="00E57414">
        <w:rPr>
          <w:rFonts w:eastAsia="Verdana" w:cs="Verdana"/>
          <w:color w:val="000000"/>
          <w:szCs w:val="20"/>
        </w:rPr>
        <w:t>he</w:t>
      </w:r>
      <w:r w:rsidR="00352A20">
        <w:rPr>
          <w:rFonts w:eastAsia="Verdana" w:cs="Verdana"/>
          <w:color w:val="000000"/>
          <w:szCs w:val="20"/>
        </w:rPr>
        <w:t xml:space="preserve"> adjusted</w:t>
      </w:r>
      <w:r w:rsidR="00352A20" w:rsidRPr="00E57414">
        <w:rPr>
          <w:rFonts w:eastAsia="Verdana" w:cs="Verdana"/>
          <w:color w:val="000000"/>
          <w:szCs w:val="20"/>
        </w:rPr>
        <w:t xml:space="preserve"> cumulative balance </w:t>
      </w:r>
      <w:r w:rsidR="00352A20">
        <w:rPr>
          <w:rFonts w:eastAsia="Verdana" w:cs="Verdana"/>
          <w:color w:val="000000"/>
          <w:szCs w:val="20"/>
        </w:rPr>
        <w:t>includes adjustments made through Held Environmental Water (HEW) disposal or acquisition, and adjustments for under-recovery.</w:t>
      </w:r>
    </w:p>
    <w:p w14:paraId="0B6F7A1F" w14:textId="121721EF" w:rsidR="4C89F9E0" w:rsidRDefault="4C89F9E0" w:rsidP="61363AEF">
      <w:pPr>
        <w:rPr>
          <w:rFonts w:eastAsia="Verdana" w:cs="Verdana"/>
          <w:color w:val="000000"/>
          <w:szCs w:val="20"/>
        </w:rPr>
      </w:pPr>
      <w:r w:rsidRPr="61363AEF">
        <w:rPr>
          <w:rFonts w:eastAsia="Verdana" w:cs="Verdana"/>
          <w:b/>
          <w:bCs/>
          <w:color w:val="000000"/>
          <w:szCs w:val="20"/>
        </w:rPr>
        <w:t>Exceedance</w:t>
      </w:r>
    </w:p>
    <w:p w14:paraId="03407186" w14:textId="115EF097" w:rsidR="4C89F9E0" w:rsidRDefault="4C89F9E0" w:rsidP="61363AEF">
      <w:pPr>
        <w:rPr>
          <w:rFonts w:eastAsia="Verdana" w:cs="Verdana"/>
          <w:color w:val="000000"/>
          <w:szCs w:val="20"/>
        </w:rPr>
      </w:pPr>
      <w:r w:rsidRPr="61363AEF">
        <w:rPr>
          <w:rFonts w:eastAsia="Verdana" w:cs="Verdana"/>
          <w:color w:val="000000"/>
          <w:szCs w:val="20"/>
        </w:rPr>
        <w:t>The term ‘exceedance’ refer</w:t>
      </w:r>
      <w:r w:rsidR="0067270D">
        <w:rPr>
          <w:rFonts w:eastAsia="Verdana" w:cs="Verdana"/>
          <w:color w:val="000000"/>
          <w:szCs w:val="20"/>
        </w:rPr>
        <w:t>s</w:t>
      </w:r>
      <w:r w:rsidRPr="61363AEF">
        <w:rPr>
          <w:rFonts w:eastAsia="Verdana" w:cs="Verdana"/>
          <w:color w:val="000000"/>
          <w:szCs w:val="20"/>
        </w:rPr>
        <w:t xml:space="preserve"> to circumstances where the Registers of Take record actual take that exceeds permitted take (cumulatively) but has not reached the SDL compliance threshold of 'excess'.</w:t>
      </w:r>
    </w:p>
    <w:p w14:paraId="1C157FDA" w14:textId="778E88B2" w:rsidR="4C89F9E0" w:rsidRDefault="4C89F9E0" w:rsidP="61363AEF">
      <w:pPr>
        <w:rPr>
          <w:rFonts w:eastAsia="Verdana" w:cs="Verdana"/>
          <w:color w:val="000000"/>
          <w:szCs w:val="20"/>
        </w:rPr>
      </w:pPr>
      <w:r w:rsidRPr="61363AEF">
        <w:rPr>
          <w:rFonts w:eastAsia="Verdana" w:cs="Verdana"/>
          <w:b/>
          <w:bCs/>
          <w:color w:val="000000"/>
          <w:szCs w:val="20"/>
        </w:rPr>
        <w:t>Excess</w:t>
      </w:r>
    </w:p>
    <w:p w14:paraId="731635C6" w14:textId="77FD31EF" w:rsidR="4C89F9E0" w:rsidRDefault="4C89F9E0" w:rsidP="61363AEF">
      <w:pPr>
        <w:rPr>
          <w:rFonts w:eastAsia="Verdana" w:cs="Verdana"/>
          <w:color w:val="000000"/>
          <w:szCs w:val="20"/>
        </w:rPr>
      </w:pPr>
      <w:r w:rsidRPr="61363AEF">
        <w:rPr>
          <w:rFonts w:eastAsia="Verdana" w:cs="Verdana"/>
          <w:color w:val="000000"/>
          <w:szCs w:val="20"/>
        </w:rPr>
        <w:t>The term ‘excess’ has a specific meaning in the Basin Plan:</w:t>
      </w:r>
    </w:p>
    <w:p w14:paraId="1E8F4904" w14:textId="02CD588D" w:rsidR="4C89F9E0" w:rsidRDefault="4C89F9E0" w:rsidP="61363AEF">
      <w:pPr>
        <w:ind w:left="720"/>
        <w:rPr>
          <w:rFonts w:eastAsia="Verdana" w:cs="Verdana"/>
          <w:color w:val="000000"/>
          <w:szCs w:val="20"/>
        </w:rPr>
      </w:pPr>
      <w:r w:rsidRPr="61363AEF">
        <w:rPr>
          <w:rFonts w:eastAsia="Verdana" w:cs="Verdana"/>
          <w:color w:val="000000"/>
          <w:szCs w:val="20"/>
        </w:rPr>
        <w:t xml:space="preserve">For </w:t>
      </w:r>
      <w:r w:rsidRPr="61363AEF">
        <w:rPr>
          <w:rFonts w:eastAsia="Verdana" w:cs="Verdana"/>
          <w:b/>
          <w:bCs/>
          <w:color w:val="000000"/>
          <w:szCs w:val="20"/>
        </w:rPr>
        <w:t>surface water</w:t>
      </w:r>
      <w:r w:rsidRPr="61363AEF">
        <w:rPr>
          <w:rFonts w:eastAsia="Verdana" w:cs="Verdana"/>
          <w:color w:val="000000"/>
          <w:szCs w:val="20"/>
        </w:rPr>
        <w:t xml:space="preserve"> SDL resource units, an excess occurs when the </w:t>
      </w:r>
      <w:r w:rsidRPr="61363AEF">
        <w:rPr>
          <w:rFonts w:eastAsia="Verdana" w:cs="Verdana"/>
          <w:b/>
          <w:bCs/>
          <w:color w:val="000000"/>
          <w:szCs w:val="20"/>
        </w:rPr>
        <w:t>cumulative balance</w:t>
      </w:r>
      <w:r w:rsidRPr="61363AEF">
        <w:rPr>
          <w:rFonts w:eastAsia="Verdana" w:cs="Verdana"/>
          <w:color w:val="000000"/>
          <w:szCs w:val="20"/>
        </w:rPr>
        <w:t xml:space="preserve"> on the relevant Register is a debit amount equal to or greater than 20% of the SDL.</w:t>
      </w:r>
    </w:p>
    <w:p w14:paraId="638FDA69" w14:textId="3781ECF7" w:rsidR="4C89F9E0" w:rsidRDefault="4C89F9E0" w:rsidP="61363AEF">
      <w:pPr>
        <w:ind w:left="720"/>
        <w:rPr>
          <w:rFonts w:eastAsia="Verdana" w:cs="Verdana"/>
          <w:color w:val="000000"/>
          <w:szCs w:val="20"/>
        </w:rPr>
      </w:pPr>
      <w:r w:rsidRPr="61363AEF">
        <w:rPr>
          <w:rFonts w:eastAsia="Verdana" w:cs="Verdana"/>
          <w:color w:val="000000"/>
          <w:szCs w:val="20"/>
        </w:rPr>
        <w:lastRenderedPageBreak/>
        <w:t xml:space="preserve">For </w:t>
      </w:r>
      <w:r w:rsidRPr="61363AEF">
        <w:rPr>
          <w:rFonts w:eastAsia="Verdana" w:cs="Verdana"/>
          <w:b/>
          <w:bCs/>
          <w:color w:val="000000"/>
          <w:szCs w:val="20"/>
        </w:rPr>
        <w:t>groundwater</w:t>
      </w:r>
      <w:r w:rsidRPr="61363AEF">
        <w:rPr>
          <w:rFonts w:eastAsia="Verdana" w:cs="Verdana"/>
          <w:color w:val="000000"/>
          <w:szCs w:val="20"/>
        </w:rPr>
        <w:t xml:space="preserve"> SDL resource units, in any accounting period up to 2028, an excess occurs when the sum of actual take for all years since 2019 is greater than the sum of permitted take for those years, plus 20% of the SDL. For accounting periods after 2028, an excess occurs if the average annual </w:t>
      </w:r>
      <w:r w:rsidR="00FE18DA">
        <w:rPr>
          <w:rFonts w:eastAsia="Verdana" w:cs="Verdana"/>
          <w:color w:val="000000"/>
          <w:szCs w:val="20"/>
        </w:rPr>
        <w:t xml:space="preserve">actual </w:t>
      </w:r>
      <w:r w:rsidRPr="61363AEF">
        <w:rPr>
          <w:rFonts w:eastAsia="Verdana" w:cs="Verdana"/>
          <w:color w:val="000000"/>
          <w:szCs w:val="20"/>
        </w:rPr>
        <w:t xml:space="preserve">take over the previous 10 years exceeds the average </w:t>
      </w:r>
      <w:r w:rsidR="004144DE">
        <w:rPr>
          <w:rFonts w:eastAsia="Verdana" w:cs="Verdana"/>
          <w:color w:val="000000"/>
          <w:szCs w:val="20"/>
        </w:rPr>
        <w:t xml:space="preserve">annual </w:t>
      </w:r>
      <w:r w:rsidRPr="61363AEF">
        <w:rPr>
          <w:rFonts w:eastAsia="Verdana" w:cs="Verdana"/>
          <w:color w:val="000000"/>
          <w:szCs w:val="20"/>
        </w:rPr>
        <w:t>permitted take over that period.</w:t>
      </w:r>
    </w:p>
    <w:p w14:paraId="200AE3E0" w14:textId="680589D2" w:rsidR="61363AEF" w:rsidRDefault="61363AEF" w:rsidP="61363AEF">
      <w:pPr>
        <w:spacing w:after="0"/>
        <w:rPr>
          <w:rFonts w:eastAsia="Verdana" w:cs="Verdana"/>
          <w:color w:val="000000"/>
          <w:szCs w:val="20"/>
        </w:rPr>
      </w:pPr>
    </w:p>
    <w:p w14:paraId="0EBC5EC8" w14:textId="7383FD8D" w:rsidR="4C89F9E0" w:rsidRDefault="4C89F9E0" w:rsidP="61363AEF">
      <w:pPr>
        <w:pStyle w:val="pf0"/>
        <w:spacing w:after="200"/>
        <w:rPr>
          <w:rFonts w:ascii="Verdana" w:eastAsia="Verdana" w:hAnsi="Verdana" w:cs="Verdana"/>
          <w:color w:val="000000"/>
          <w:sz w:val="20"/>
          <w:szCs w:val="20"/>
        </w:rPr>
      </w:pPr>
      <w:r w:rsidRPr="61363AEF">
        <w:rPr>
          <w:rFonts w:ascii="Verdana" w:eastAsia="Verdana" w:hAnsi="Verdana" w:cs="Verdana"/>
          <w:b/>
          <w:bCs/>
          <w:color w:val="000000"/>
          <w:sz w:val="20"/>
          <w:szCs w:val="20"/>
        </w:rPr>
        <w:t>Incomplete water recovery</w:t>
      </w:r>
    </w:p>
    <w:p w14:paraId="22770EF3" w14:textId="7B34F9F8" w:rsidR="61363AEF" w:rsidRPr="00352A20" w:rsidRDefault="4C89F9E0" w:rsidP="00352A20">
      <w:pPr>
        <w:pStyle w:val="pf0"/>
        <w:spacing w:after="200"/>
        <w:rPr>
          <w:rFonts w:ascii="Verdana" w:eastAsia="Verdana" w:hAnsi="Verdana" w:cs="Verdana"/>
          <w:color w:val="000000"/>
          <w:sz w:val="20"/>
          <w:szCs w:val="20"/>
        </w:rPr>
      </w:pPr>
      <w:r w:rsidRPr="61363AEF">
        <w:rPr>
          <w:rFonts w:ascii="Verdana" w:eastAsia="Verdana" w:hAnsi="Verdana" w:cs="Verdana"/>
          <w:color w:val="000000"/>
          <w:sz w:val="20"/>
          <w:szCs w:val="20"/>
        </w:rPr>
        <w:t xml:space="preserve">The water recovery targets are for the purpose of 'bridging the gap' and recover water for the environment. Any unrecovered water (incomplete water recovery) remains in the consumptive entitlements and may be available and used as annual actual take (AAT). Therefore, the Registers of </w:t>
      </w:r>
      <w:r w:rsidR="009B7E94">
        <w:rPr>
          <w:rFonts w:ascii="Verdana" w:eastAsia="Verdana" w:hAnsi="Verdana" w:cs="Verdana"/>
          <w:color w:val="000000"/>
          <w:sz w:val="20"/>
          <w:szCs w:val="20"/>
        </w:rPr>
        <w:t>T</w:t>
      </w:r>
      <w:r w:rsidRPr="61363AEF">
        <w:rPr>
          <w:rFonts w:ascii="Verdana" w:eastAsia="Verdana" w:hAnsi="Verdana" w:cs="Verdana"/>
          <w:color w:val="000000"/>
          <w:sz w:val="20"/>
          <w:szCs w:val="20"/>
        </w:rPr>
        <w:t>ake are adjusted to credit the surface water cumulative balance and added to the compliance trigger for groundwater, to not affect the States compliance with the SDLs due to incomplete water recovery.</w:t>
      </w:r>
    </w:p>
    <w:p w14:paraId="746BF251" w14:textId="77777777" w:rsidR="0026534C" w:rsidRDefault="125D0763" w:rsidP="7784F947">
      <w:pPr>
        <w:spacing w:beforeAutospacing="1" w:afterAutospacing="1"/>
        <w:rPr>
          <w:rFonts w:eastAsia="Verdana" w:cs="Verdana"/>
          <w:b/>
          <w:bCs/>
          <w:color w:val="000000"/>
          <w:szCs w:val="20"/>
        </w:rPr>
      </w:pPr>
      <w:r w:rsidRPr="61363AEF">
        <w:rPr>
          <w:rFonts w:eastAsia="Verdana" w:cs="Verdana"/>
          <w:b/>
          <w:bCs/>
          <w:color w:val="000000"/>
          <w:szCs w:val="20"/>
        </w:rPr>
        <w:t>Sustainable Diversion Limit</w:t>
      </w:r>
      <w:r w:rsidR="5CE50DA7" w:rsidRPr="61363AEF">
        <w:rPr>
          <w:rFonts w:eastAsia="Verdana" w:cs="Verdana"/>
          <w:b/>
          <w:bCs/>
          <w:color w:val="000000"/>
          <w:szCs w:val="20"/>
        </w:rPr>
        <w:t xml:space="preserve"> (SDL)</w:t>
      </w:r>
    </w:p>
    <w:p w14:paraId="1A90E529" w14:textId="0556F7C5" w:rsidR="2175AE78" w:rsidRPr="0026534C" w:rsidRDefault="2175AE78" w:rsidP="7784F947">
      <w:pPr>
        <w:spacing w:beforeAutospacing="1" w:afterAutospacing="1"/>
        <w:rPr>
          <w:rFonts w:eastAsia="Verdana" w:cs="Verdana"/>
          <w:b/>
          <w:bCs/>
          <w:color w:val="000000"/>
          <w:szCs w:val="20"/>
        </w:rPr>
      </w:pPr>
      <w:r w:rsidRPr="7784F947">
        <w:rPr>
          <w:rFonts w:eastAsia="Verdana" w:cs="Verdana"/>
          <w:szCs w:val="20"/>
        </w:rPr>
        <w:t>The maximum long-term annual average quantities of water that can be taken, on a sustainable basis, from the Basin water resources. (Footnote: Water Act s 22(1))</w:t>
      </w:r>
    </w:p>
    <w:p w14:paraId="5113BED0" w14:textId="3B0196FF" w:rsidR="6775A75F" w:rsidRDefault="25AC2374" w:rsidP="6775A75F">
      <w:pPr>
        <w:spacing w:beforeAutospacing="1" w:afterAutospacing="1"/>
        <w:rPr>
          <w:rFonts w:eastAsia="Verdana" w:cs="Verdana"/>
          <w:color w:val="000000"/>
        </w:rPr>
      </w:pPr>
      <w:r w:rsidRPr="6775A75F">
        <w:rPr>
          <w:rFonts w:eastAsia="Verdana" w:cs="Verdana"/>
          <w:color w:val="000000"/>
        </w:rPr>
        <w:t>The long-term average annual take of water than can be taken for consumptive use while leaving sufficient water for the environment, as set by the Basin Plan. Each of the 109 SDL</w:t>
      </w:r>
      <w:r w:rsidR="1D39AC53" w:rsidRPr="6775A75F">
        <w:rPr>
          <w:rFonts w:eastAsia="Verdana" w:cs="Verdana"/>
          <w:color w:val="000000"/>
        </w:rPr>
        <w:t xml:space="preserve"> surface water and groundwater</w:t>
      </w:r>
      <w:r w:rsidRPr="6775A75F">
        <w:rPr>
          <w:rFonts w:eastAsia="Verdana" w:cs="Verdana"/>
          <w:color w:val="000000"/>
        </w:rPr>
        <w:t xml:space="preserve"> resource units</w:t>
      </w:r>
      <w:r w:rsidR="7C7E7FB0" w:rsidRPr="6775A75F">
        <w:rPr>
          <w:rFonts w:eastAsia="Verdana" w:cs="Verdana"/>
          <w:color w:val="000000"/>
        </w:rPr>
        <w:t xml:space="preserve"> across the Basin </w:t>
      </w:r>
      <w:r w:rsidR="61484BCD" w:rsidRPr="6775A75F">
        <w:rPr>
          <w:rFonts w:eastAsia="Verdana" w:cs="Verdana"/>
          <w:color w:val="000000"/>
        </w:rPr>
        <w:t>has an SDL calculated for it.</w:t>
      </w:r>
    </w:p>
    <w:p w14:paraId="70CD7D28" w14:textId="6B3A79F0" w:rsidR="4C89F9E0" w:rsidRDefault="4C89F9E0" w:rsidP="61363AEF">
      <w:pPr>
        <w:rPr>
          <w:rFonts w:eastAsia="Verdana" w:cs="Verdana"/>
          <w:color w:val="000000"/>
          <w:szCs w:val="20"/>
        </w:rPr>
      </w:pPr>
      <w:r w:rsidRPr="61363AEF">
        <w:rPr>
          <w:rFonts w:eastAsia="Verdana" w:cs="Verdana"/>
          <w:b/>
          <w:bCs/>
          <w:color w:val="000000"/>
          <w:szCs w:val="20"/>
        </w:rPr>
        <w:t>SDL compliance threshold</w:t>
      </w:r>
    </w:p>
    <w:p w14:paraId="2AEF2EE5" w14:textId="5A3E775F" w:rsidR="0D06E54A" w:rsidRPr="0026534C" w:rsidRDefault="4C89F9E0" w:rsidP="0D06E54A">
      <w:pPr>
        <w:rPr>
          <w:rFonts w:eastAsia="Verdana" w:cs="Verdana"/>
          <w:color w:val="000000"/>
          <w:vertAlign w:val="superscript"/>
        </w:rPr>
      </w:pPr>
      <w:r w:rsidRPr="0D06E54A">
        <w:rPr>
          <w:rFonts w:eastAsia="Verdana" w:cs="Verdana"/>
          <w:color w:val="000000"/>
        </w:rPr>
        <w:t>The point at which the Register for an SDL resource unit records an ‘excess’ (see definition of excess above). Once the SDL compliance threshold is reached, certain obligations and actions under the Water Act and Basin Plan are triggered.</w:t>
      </w:r>
    </w:p>
    <w:p w14:paraId="6A34699C" w14:textId="4DDF9630" w:rsidR="44DE3591" w:rsidRDefault="44DE3591" w:rsidP="0D06E54A">
      <w:pPr>
        <w:rPr>
          <w:rFonts w:eastAsia="Verdana" w:cs="Verdana"/>
          <w:b/>
          <w:bCs/>
          <w:color w:val="000000"/>
        </w:rPr>
      </w:pPr>
      <w:r w:rsidRPr="00CB230E">
        <w:rPr>
          <w:rFonts w:eastAsia="Verdana" w:cs="Verdana"/>
          <w:b/>
          <w:bCs/>
          <w:color w:val="000000"/>
        </w:rPr>
        <w:t>Take</w:t>
      </w:r>
    </w:p>
    <w:p w14:paraId="265BFCAF" w14:textId="59F713A2" w:rsidR="35F057EB" w:rsidRDefault="35F057EB" w:rsidP="0D06E54A">
      <w:pPr>
        <w:rPr>
          <w:rFonts w:eastAsia="Verdana" w:cs="Verdana"/>
          <w:color w:val="000000"/>
        </w:rPr>
      </w:pPr>
      <w:r w:rsidRPr="0D06E54A">
        <w:rPr>
          <w:rFonts w:eastAsia="Verdana" w:cs="Verdana"/>
          <w:color w:val="000000"/>
        </w:rPr>
        <w:t>See also Annual Actual Take and Annual Permitted Take.</w:t>
      </w:r>
    </w:p>
    <w:p w14:paraId="688C8979" w14:textId="084BA943" w:rsidR="44DE3591" w:rsidRDefault="44DE3591" w:rsidP="0D06E54A">
      <w:pPr>
        <w:rPr>
          <w:rFonts w:eastAsia="Verdana" w:cs="Verdana"/>
          <w:color w:val="000000"/>
        </w:rPr>
      </w:pPr>
      <w:r w:rsidRPr="0D06E54A">
        <w:rPr>
          <w:rFonts w:eastAsia="Verdana" w:cs="Verdana"/>
          <w:color w:val="000000"/>
        </w:rPr>
        <w:t xml:space="preserve">The Basin Plan defines ‘take’... </w:t>
      </w:r>
      <w:r w:rsidR="0AD4AE17" w:rsidRPr="0D06E54A">
        <w:rPr>
          <w:rFonts w:eastAsia="Verdana" w:cs="Verdana"/>
          <w:color w:val="000000"/>
        </w:rPr>
        <w:t xml:space="preserve">can include water use by both consumptive and environmental purposes, </w:t>
      </w:r>
      <w:r w:rsidR="62C5CA6C" w:rsidRPr="0D06E54A">
        <w:rPr>
          <w:rFonts w:eastAsia="Verdana" w:cs="Verdana"/>
          <w:color w:val="000000"/>
        </w:rPr>
        <w:t xml:space="preserve">and includes water taken from regulated rivers, water </w:t>
      </w:r>
      <w:r w:rsidR="00A872BC" w:rsidRPr="0D06E54A">
        <w:rPr>
          <w:rFonts w:eastAsia="Verdana" w:cs="Verdana"/>
          <w:color w:val="000000"/>
        </w:rPr>
        <w:t>courses</w:t>
      </w:r>
      <w:r w:rsidR="62C5CA6C" w:rsidRPr="0D06E54A">
        <w:rPr>
          <w:rFonts w:eastAsia="Verdana" w:cs="Verdana"/>
          <w:color w:val="000000"/>
        </w:rPr>
        <w:t xml:space="preserve">, floodplain </w:t>
      </w:r>
      <w:r w:rsidR="00A872BC" w:rsidRPr="0D06E54A">
        <w:rPr>
          <w:rFonts w:eastAsia="Verdana" w:cs="Verdana"/>
          <w:color w:val="000000"/>
        </w:rPr>
        <w:t>harvesting</w:t>
      </w:r>
      <w:r w:rsidR="62C5CA6C" w:rsidRPr="0D06E54A">
        <w:rPr>
          <w:rFonts w:eastAsia="Verdana" w:cs="Verdana"/>
          <w:color w:val="000000"/>
        </w:rPr>
        <w:t xml:space="preserve">, </w:t>
      </w:r>
      <w:r w:rsidR="00A872BC" w:rsidRPr="0D06E54A">
        <w:rPr>
          <w:rFonts w:eastAsia="Verdana" w:cs="Verdana"/>
          <w:color w:val="000000"/>
        </w:rPr>
        <w:t>commercial</w:t>
      </w:r>
      <w:r w:rsidR="62C5CA6C" w:rsidRPr="0D06E54A">
        <w:rPr>
          <w:rFonts w:eastAsia="Verdana" w:cs="Verdana"/>
          <w:color w:val="000000"/>
        </w:rPr>
        <w:t xml:space="preserve"> plantations, g</w:t>
      </w:r>
      <w:r w:rsidR="00225C20">
        <w:rPr>
          <w:rFonts w:eastAsia="Verdana" w:cs="Verdana"/>
          <w:color w:val="000000"/>
        </w:rPr>
        <w:t>roundwater</w:t>
      </w:r>
      <w:r w:rsidR="62C5CA6C" w:rsidRPr="0D06E54A">
        <w:rPr>
          <w:rFonts w:eastAsia="Verdana" w:cs="Verdana"/>
          <w:color w:val="000000"/>
        </w:rPr>
        <w:t xml:space="preserve"> and under basic rights.</w:t>
      </w:r>
    </w:p>
    <w:p w14:paraId="0E174751" w14:textId="59A91FF8" w:rsidR="0D06E54A" w:rsidRDefault="475FF6F2" w:rsidP="0D06E54A">
      <w:pPr>
        <w:rPr>
          <w:rFonts w:eastAsia="Verdana" w:cs="Verdana"/>
          <w:color w:val="000000"/>
        </w:rPr>
      </w:pPr>
      <w:r w:rsidRPr="0D06E54A">
        <w:rPr>
          <w:rFonts w:eastAsia="Verdana" w:cs="Verdana"/>
          <w:color w:val="000000"/>
        </w:rPr>
        <w:t>T</w:t>
      </w:r>
      <w:r w:rsidR="0AD4AE17" w:rsidRPr="0D06E54A">
        <w:rPr>
          <w:rFonts w:eastAsia="Verdana" w:cs="Verdana"/>
          <w:color w:val="000000"/>
        </w:rPr>
        <w:t xml:space="preserve">he Basin Plan </w:t>
      </w:r>
      <w:r w:rsidR="21EE4ED1" w:rsidRPr="0D06E54A">
        <w:rPr>
          <w:rFonts w:eastAsia="Verdana" w:cs="Verdana"/>
          <w:color w:val="000000"/>
        </w:rPr>
        <w:t>specifies</w:t>
      </w:r>
      <w:r w:rsidR="0AD4AE17" w:rsidRPr="0D06E54A">
        <w:rPr>
          <w:rFonts w:eastAsia="Verdana" w:cs="Verdana"/>
          <w:color w:val="000000"/>
        </w:rPr>
        <w:t xml:space="preserve"> that the MDBA’s </w:t>
      </w:r>
      <w:r w:rsidR="009B7E94" w:rsidRPr="2499CE36">
        <w:rPr>
          <w:rFonts w:eastAsia="Verdana" w:cs="Verdana"/>
          <w:color w:val="000000"/>
        </w:rPr>
        <w:t>R</w:t>
      </w:r>
      <w:r w:rsidR="0AD4AE17" w:rsidRPr="2499CE36">
        <w:rPr>
          <w:rFonts w:eastAsia="Verdana" w:cs="Verdana"/>
          <w:color w:val="000000"/>
        </w:rPr>
        <w:t>egisters</w:t>
      </w:r>
      <w:r w:rsidR="0AD4AE17" w:rsidRPr="0D06E54A">
        <w:rPr>
          <w:rFonts w:eastAsia="Verdana" w:cs="Verdana"/>
          <w:color w:val="000000"/>
        </w:rPr>
        <w:t xml:space="preserve"> of </w:t>
      </w:r>
      <w:r w:rsidR="009B7E94" w:rsidRPr="2499CE36">
        <w:rPr>
          <w:rFonts w:eastAsia="Verdana" w:cs="Verdana"/>
          <w:color w:val="000000"/>
        </w:rPr>
        <w:t>T</w:t>
      </w:r>
      <w:r w:rsidR="0AD4AE17" w:rsidRPr="2499CE36">
        <w:rPr>
          <w:rFonts w:eastAsia="Verdana" w:cs="Verdana"/>
          <w:color w:val="000000"/>
        </w:rPr>
        <w:t>ake</w:t>
      </w:r>
      <w:r w:rsidR="0AD4AE17" w:rsidRPr="0D06E54A">
        <w:rPr>
          <w:rFonts w:eastAsia="Verdana" w:cs="Verdana"/>
          <w:color w:val="000000"/>
        </w:rPr>
        <w:t xml:space="preserve"> refers</w:t>
      </w:r>
      <w:r w:rsidR="7D9E13F3" w:rsidRPr="0D06E54A">
        <w:rPr>
          <w:rFonts w:eastAsia="Verdana" w:cs="Verdana"/>
          <w:color w:val="000000"/>
        </w:rPr>
        <w:t xml:space="preserve"> only to water taken for consumptive purposes.</w:t>
      </w:r>
    </w:p>
    <w:p w14:paraId="291C6B8E" w14:textId="483C4283" w:rsidR="4E59B658" w:rsidRDefault="33A5E096" w:rsidP="2499CE36">
      <w:pPr>
        <w:spacing w:line="259" w:lineRule="auto"/>
        <w:rPr>
          <w:rFonts w:eastAsia="Verdana" w:cs="Verdana"/>
          <w:b/>
          <w:bCs/>
          <w:color w:val="000000"/>
        </w:rPr>
      </w:pPr>
      <w:r w:rsidRPr="2499CE36">
        <w:rPr>
          <w:rFonts w:eastAsia="Verdana" w:cs="Verdana"/>
          <w:b/>
          <w:bCs/>
          <w:color w:val="000000"/>
        </w:rPr>
        <w:t>Unregulated Entitlement</w:t>
      </w:r>
    </w:p>
    <w:p w14:paraId="13F42980" w14:textId="41553525" w:rsidR="4E59B658" w:rsidRDefault="33A5E096" w:rsidP="2499CE36">
      <w:pPr>
        <w:rPr>
          <w:rFonts w:eastAsia="Verdana" w:cs="Verdana"/>
          <w:color w:val="000000"/>
        </w:rPr>
      </w:pPr>
      <w:r w:rsidRPr="2499CE36">
        <w:rPr>
          <w:rFonts w:eastAsia="Verdana" w:cs="Verdana"/>
          <w:color w:val="000000"/>
          <w:szCs w:val="20"/>
        </w:rPr>
        <w:t>An entitlement or claim to water is considered to be unregulated when the holder of a water entitlement or a claim to water cannot order the release or delivery of water. The holder must abstract or otherwise exercise their entitlement or claim subject to that water being available in the watercourse. For unregulated entitlements, only actual diversions resulting from the exercise of the claim are reported in the water accounting statements, not the claim itself. An unregulated entitlement may exist on a regulated river, where it gives access to unregulated flows.</w:t>
      </w:r>
    </w:p>
    <w:p w14:paraId="2D00608E" w14:textId="4AD07820" w:rsidR="60D2DE4A" w:rsidRPr="0026534C" w:rsidRDefault="60D2DE4A" w:rsidP="7784F947">
      <w:pPr>
        <w:rPr>
          <w:rFonts w:eastAsia="Verdana" w:cs="Verdana"/>
          <w:b/>
          <w:bCs/>
          <w:szCs w:val="20"/>
        </w:rPr>
      </w:pPr>
      <w:r w:rsidRPr="0026534C">
        <w:rPr>
          <w:rFonts w:eastAsia="Verdana" w:cs="Verdana"/>
          <w:b/>
          <w:bCs/>
          <w:szCs w:val="20"/>
        </w:rPr>
        <w:t>Water Act</w:t>
      </w:r>
    </w:p>
    <w:p w14:paraId="4A4F1FE3" w14:textId="50725639" w:rsidR="60D2DE4A" w:rsidRPr="0026534C" w:rsidRDefault="60D2DE4A" w:rsidP="7784F947">
      <w:pPr>
        <w:rPr>
          <w:rFonts w:eastAsia="Verdana" w:cs="Verdana"/>
          <w:i/>
        </w:rPr>
      </w:pPr>
      <w:r w:rsidRPr="0026534C">
        <w:rPr>
          <w:rFonts w:eastAsia="Verdana" w:cs="Verdana"/>
          <w:i/>
        </w:rPr>
        <w:t>Water Act 2007 (Commonwealth)</w:t>
      </w:r>
      <w:r w:rsidR="0088235F">
        <w:rPr>
          <w:rFonts w:eastAsia="Verdana" w:cs="Verdana"/>
          <w:i/>
        </w:rPr>
        <w:t xml:space="preserve"> </w:t>
      </w:r>
      <w:r w:rsidR="0088235F" w:rsidRPr="0088235F">
        <w:rPr>
          <w:rFonts w:eastAsia="Verdana" w:cs="Verdana"/>
          <w:iCs/>
        </w:rPr>
        <w:t>referred to as ‘the Act’ in this document</w:t>
      </w:r>
      <w:r w:rsidRPr="0088235F">
        <w:rPr>
          <w:rFonts w:eastAsia="Verdana" w:cs="Verdana"/>
          <w:iCs/>
        </w:rPr>
        <w:t>.</w:t>
      </w:r>
    </w:p>
    <w:p w14:paraId="4974A333" w14:textId="5CC17DD9" w:rsidR="1983EFB9" w:rsidRDefault="1983EFB9" w:rsidP="08F12E7A">
      <w:pPr>
        <w:pStyle w:val="pf0"/>
        <w:spacing w:after="200"/>
        <w:rPr>
          <w:rFonts w:ascii="Verdana" w:eastAsia="Verdana" w:hAnsi="Verdana" w:cs="Verdana"/>
          <w:b/>
          <w:bCs/>
          <w:color w:val="000000"/>
          <w:sz w:val="20"/>
          <w:szCs w:val="20"/>
        </w:rPr>
      </w:pPr>
      <w:r w:rsidRPr="08F12E7A">
        <w:rPr>
          <w:rFonts w:ascii="Verdana" w:eastAsia="Verdana" w:hAnsi="Verdana" w:cs="Verdana"/>
          <w:b/>
          <w:bCs/>
          <w:color w:val="000000"/>
          <w:sz w:val="20"/>
          <w:szCs w:val="20"/>
        </w:rPr>
        <w:t>Water Amendment (Restoring Our Rivers Act) (2023)</w:t>
      </w:r>
    </w:p>
    <w:p w14:paraId="266F7560" w14:textId="63EE5527" w:rsidR="1983EFB9" w:rsidRDefault="1983EFB9" w:rsidP="08F12E7A">
      <w:pPr>
        <w:rPr>
          <w:rFonts w:eastAsia="Verdana" w:cs="Verdana"/>
          <w:color w:val="000000"/>
          <w:szCs w:val="20"/>
        </w:rPr>
      </w:pPr>
      <w:r w:rsidRPr="08F12E7A">
        <w:rPr>
          <w:rFonts w:eastAsiaTheme="minorEastAsia" w:cs="Verdana"/>
          <w:color w:val="000000"/>
          <w:szCs w:val="20"/>
          <w:lang w:eastAsia="en-AU"/>
        </w:rPr>
        <w:lastRenderedPageBreak/>
        <w:t>Amends the Water Act 2007 and Basin Plan 2012 to: expand the type of projects that can deliver the Basin Plan target of 450 gigalitres (GL) of additional environmental water; repeal the statutory 1,500 GL cap on Commonwealth water purchases; enable funds from the Water for the Environment Special Account to be used to enhance environmental outcomes in the Basin; provide additional time for Basin States to deliver Sustainable Diversion Limit (SDL) Adjustment Mechanism projects; enable the Inspector</w:t>
      </w:r>
      <w:r w:rsidR="006B7EE8">
        <w:rPr>
          <w:rFonts w:eastAsiaTheme="minorEastAsia" w:cs="Verdana"/>
          <w:color w:val="000000"/>
          <w:szCs w:val="20"/>
          <w:lang w:eastAsia="en-AU"/>
        </w:rPr>
        <w:t>–</w:t>
      </w:r>
      <w:r w:rsidRPr="08F12E7A">
        <w:rPr>
          <w:rFonts w:eastAsiaTheme="minorEastAsia" w:cs="Verdana"/>
          <w:color w:val="000000"/>
          <w:szCs w:val="20"/>
          <w:lang w:eastAsia="en-AU"/>
        </w:rPr>
        <w:t>General of Water Compliance to determine SDL compliance and require action plans; provide for a roadmap for the delivery of constraints relaxation projects across the Southern Basin; delay the review of the Act from 2024 until 2027; and implement recommendations of the Water market reform: final roadmap report in relation to water markets and water management in the Basin. Also amends the Water Act 2007 to make technical amendments in relation to First Ministers’ Council; and makes consequential amendments to the Water Act 2007 and Competition and Consumer Act 2010.</w:t>
      </w:r>
    </w:p>
    <w:p w14:paraId="7529150D" w14:textId="41E4E7B5" w:rsidR="08F12E7A" w:rsidRDefault="08F12E7A" w:rsidP="08F12E7A">
      <w:pPr>
        <w:rPr>
          <w:rFonts w:eastAsia="Verdana" w:cs="Verdana"/>
          <w:i/>
          <w:iCs/>
          <w:highlight w:val="yellow"/>
        </w:rPr>
      </w:pPr>
    </w:p>
    <w:p w14:paraId="2A43F4E0" w14:textId="0A8E3A16" w:rsidR="73D36788" w:rsidRDefault="73D36788" w:rsidP="61363AEF">
      <w:pPr>
        <w:rPr>
          <w:rFonts w:eastAsia="Verdana" w:cs="Verdana"/>
          <w:b/>
          <w:bCs/>
          <w:color w:val="000000"/>
          <w:szCs w:val="20"/>
        </w:rPr>
      </w:pPr>
      <w:r w:rsidRPr="61363AEF">
        <w:rPr>
          <w:rFonts w:eastAsia="Verdana" w:cs="Verdana"/>
          <w:b/>
          <w:bCs/>
          <w:color w:val="000000"/>
          <w:szCs w:val="20"/>
        </w:rPr>
        <w:t>Water Resource Plan</w:t>
      </w:r>
    </w:p>
    <w:p w14:paraId="7BA33534" w14:textId="6E235888" w:rsidR="00234B4D" w:rsidRPr="00AB7D11" w:rsidRDefault="3149C0D5" w:rsidP="00234B4D">
      <w:pPr>
        <w:sectPr w:rsidR="00234B4D" w:rsidRPr="00AB7D11" w:rsidSect="00674D70">
          <w:pgSz w:w="11906" w:h="16838"/>
          <w:pgMar w:top="709" w:right="1134" w:bottom="816" w:left="1134" w:header="425" w:footer="999" w:gutter="0"/>
          <w:cols w:space="708"/>
          <w:titlePg/>
          <w:docGrid w:linePitch="360"/>
        </w:sectPr>
      </w:pPr>
      <w:r w:rsidRPr="08F12E7A">
        <w:rPr>
          <w:rFonts w:eastAsia="Verdana" w:cs="Verdana"/>
        </w:rPr>
        <w:t>A water resource plan is a plan accredited or adopted under the Water Act</w:t>
      </w:r>
      <w:r w:rsidR="0026534C">
        <w:rPr>
          <w:rFonts w:eastAsia="Verdana" w:cs="Verdana"/>
        </w:rPr>
        <w:t>.</w:t>
      </w:r>
      <w:r w:rsidR="16A39CBD" w:rsidRPr="08F12E7A">
        <w:rPr>
          <w:rFonts w:eastAsia="Verdana" w:cs="Verdana"/>
        </w:rPr>
        <w:t xml:space="preserve"> </w:t>
      </w:r>
      <w:r w:rsidRPr="08F12E7A">
        <w:rPr>
          <w:rFonts w:eastAsia="Verdana" w:cs="Verdana"/>
        </w:rPr>
        <w:t>It sets out the rules for how water is used at a local or catchment level, including limits on how much water can be taken from the system, how much water will be made available to the environment, and how water quality standards can be met. Basin States also operate various water plans made under their own legislation (e.g. NSW water sharing plans or South Australian water allocation plans). While there is significant overlap in content, these are State instruments and not the same as water resource plans</w:t>
      </w:r>
      <w:bookmarkEnd w:id="4"/>
      <w:bookmarkEnd w:id="5"/>
    </w:p>
    <w:p w14:paraId="20B6D291" w14:textId="386A5098" w:rsidR="00626DF1" w:rsidRPr="00307378" w:rsidRDefault="00626DF1" w:rsidP="004B7550">
      <w:pPr>
        <w:pStyle w:val="Caption"/>
        <w:keepNext/>
        <w:rPr>
          <w:i w:val="0"/>
          <w:iCs w:val="0"/>
          <w:color w:val="4C6968" w:themeColor="accent1"/>
          <w:sz w:val="20"/>
          <w:szCs w:val="20"/>
        </w:rPr>
      </w:pPr>
    </w:p>
    <w:sectPr w:rsidR="00626DF1" w:rsidRPr="00307378" w:rsidSect="002950C4">
      <w:pgSz w:w="11906" w:h="16838"/>
      <w:pgMar w:top="1440" w:right="1440" w:bottom="1440" w:left="993" w:header="425" w:footer="9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98EC41" w14:textId="77777777" w:rsidR="00533A29" w:rsidRDefault="00533A29">
      <w:r>
        <w:separator/>
      </w:r>
    </w:p>
  </w:endnote>
  <w:endnote w:type="continuationSeparator" w:id="0">
    <w:p w14:paraId="6DF61035" w14:textId="77777777" w:rsidR="00533A29" w:rsidRDefault="00533A29">
      <w:r>
        <w:continuationSeparator/>
      </w:r>
    </w:p>
  </w:endnote>
  <w:endnote w:type="continuationNotice" w:id="1">
    <w:p w14:paraId="78CB2D90" w14:textId="77777777" w:rsidR="00533A29" w:rsidRDefault="00533A2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A4218" w14:textId="5BB36A11" w:rsidR="001A6E10" w:rsidRDefault="001A6E10">
    <w:pPr>
      <w:pStyle w:val="Footer"/>
    </w:pPr>
    <w:r>
      <w:rPr>
        <w:noProof/>
      </w:rPr>
      <mc:AlternateContent>
        <mc:Choice Requires="wps">
          <w:drawing>
            <wp:anchor distT="0" distB="0" distL="0" distR="0" simplePos="0" relativeHeight="251658244" behindDoc="0" locked="0" layoutInCell="1" allowOverlap="1" wp14:anchorId="0CF8E53F" wp14:editId="437F57E9">
              <wp:simplePos x="635" y="635"/>
              <wp:positionH relativeFrom="page">
                <wp:align>center</wp:align>
              </wp:positionH>
              <wp:positionV relativeFrom="page">
                <wp:align>bottom</wp:align>
              </wp:positionV>
              <wp:extent cx="552450" cy="371475"/>
              <wp:effectExtent l="0" t="0" r="0" b="0"/>
              <wp:wrapNone/>
              <wp:docPr id="213381160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7D914C2C" w14:textId="4A24354F" w:rsidR="001A6E10" w:rsidRPr="00014CFD" w:rsidRDefault="001A6E10" w:rsidP="00014CFD">
                          <w:pPr>
                            <w:spacing w:after="0"/>
                            <w:rPr>
                              <w:rFonts w:ascii="Calibri" w:hAnsi="Calibri" w:cs="Calibri"/>
                              <w:noProof/>
                              <w:color w:val="FF0000"/>
                              <w:sz w:val="24"/>
                              <w:szCs w:val="24"/>
                            </w:rPr>
                          </w:pPr>
                          <w:r w:rsidRPr="00014CFD">
                            <w:rPr>
                              <w:rFonts w:ascii="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F8E53F" id="_x0000_t202" coordsize="21600,21600" o:spt="202" path="m,l,21600r21600,l21600,xe">
              <v:stroke joinstyle="miter"/>
              <v:path gradientshapeok="t" o:connecttype="rect"/>
            </v:shapetype>
            <v:shape id="Text Box 8" o:spid="_x0000_s1031" type="#_x0000_t202" alt="OFFICIAL" style="position:absolute;margin-left:0;margin-top:0;width:43.5pt;height:29.2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" filled="f" stroked="f">
              <v:textbox style="mso-fit-shape-to-text:t" inset="0,0,0,15pt">
                <w:txbxContent>
                  <w:p w14:paraId="7D914C2C" w14:textId="4A24354F" w:rsidR="001A6E10" w:rsidRPr="00014CFD" w:rsidRDefault="001A6E10" w:rsidP="00014CFD">
                    <w:pPr>
                      <w:spacing w:after="0"/>
                      <w:rPr>
                        <w:rFonts w:ascii="Calibri" w:hAnsi="Calibri" w:cs="Calibri"/>
                        <w:noProof/>
                        <w:color w:val="FF0000"/>
                        <w:sz w:val="24"/>
                        <w:szCs w:val="24"/>
                      </w:rPr>
                    </w:pPr>
                    <w:r w:rsidRPr="00014CFD">
                      <w:rPr>
                        <w:rFonts w:ascii="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37AE6" w14:textId="479FD539" w:rsidR="0046450A" w:rsidRPr="00473F5B" w:rsidRDefault="001A6E10" w:rsidP="00473F5B">
    <w:pPr>
      <w:pStyle w:val="Footer"/>
      <w:tabs>
        <w:tab w:val="clear" w:pos="4513"/>
        <w:tab w:val="clear" w:pos="9026"/>
        <w:tab w:val="right" w:pos="9638"/>
      </w:tabs>
    </w:pPr>
    <w:r>
      <w:rPr>
        <w:noProof/>
      </w:rPr>
      <mc:AlternateContent>
        <mc:Choice Requires="wps">
          <w:drawing>
            <wp:anchor distT="0" distB="0" distL="0" distR="0" simplePos="0" relativeHeight="251658245" behindDoc="0" locked="0" layoutInCell="1" allowOverlap="1" wp14:anchorId="633D475C" wp14:editId="40E778D3">
              <wp:simplePos x="635" y="635"/>
              <wp:positionH relativeFrom="page">
                <wp:align>center</wp:align>
              </wp:positionH>
              <wp:positionV relativeFrom="page">
                <wp:align>bottom</wp:align>
              </wp:positionV>
              <wp:extent cx="552450" cy="371475"/>
              <wp:effectExtent l="0" t="0" r="0" b="0"/>
              <wp:wrapNone/>
              <wp:docPr id="92146927"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77B6E90F" w14:textId="3F17E780" w:rsidR="001A6E10" w:rsidRPr="00014CFD" w:rsidRDefault="001A6E10" w:rsidP="00014CFD">
                          <w:pPr>
                            <w:spacing w:after="0"/>
                            <w:rPr>
                              <w:rFonts w:ascii="Calibri" w:hAnsi="Calibri" w:cs="Calibri"/>
                              <w:noProof/>
                              <w:color w:val="FF0000"/>
                              <w:sz w:val="24"/>
                              <w:szCs w:val="24"/>
                            </w:rPr>
                          </w:pPr>
                          <w:r w:rsidRPr="00014CFD">
                            <w:rPr>
                              <w:rFonts w:ascii="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3D475C" id="_x0000_t202" coordsize="21600,21600" o:spt="202" path="m,l,21600r21600,l21600,xe">
              <v:stroke joinstyle="miter"/>
              <v:path gradientshapeok="t" o:connecttype="rect"/>
            </v:shapetype>
            <v:shape id="Text Box 9" o:spid="_x0000_s1032" type="#_x0000_t202" alt="OFFICIAL" style="position:absolute;margin-left:0;margin-top:0;width:43.5pt;height:29.2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" filled="f" stroked="f">
              <v:textbox style="mso-fit-shape-to-text:t" inset="0,0,0,15pt">
                <w:txbxContent>
                  <w:p w14:paraId="77B6E90F" w14:textId="3F17E780" w:rsidR="001A6E10" w:rsidRPr="00014CFD" w:rsidRDefault="001A6E10" w:rsidP="00014CFD">
                    <w:pPr>
                      <w:spacing w:after="0"/>
                      <w:rPr>
                        <w:rFonts w:ascii="Calibri" w:hAnsi="Calibri" w:cs="Calibri"/>
                        <w:noProof/>
                        <w:color w:val="FF0000"/>
                        <w:sz w:val="24"/>
                        <w:szCs w:val="24"/>
                      </w:rPr>
                    </w:pPr>
                    <w:r w:rsidRPr="00014CFD">
                      <w:rPr>
                        <w:rFonts w:ascii="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1098201"/>
      <w:docPartObj>
        <w:docPartGallery w:val="Page Numbers (Bottom of Page)"/>
        <w:docPartUnique/>
      </w:docPartObj>
    </w:sdtPr>
    <w:sdtEndPr>
      <w:rPr>
        <w:noProof/>
      </w:rPr>
    </w:sdtEndPr>
    <w:sdtContent>
      <w:p w14:paraId="254D2123" w14:textId="30EFA54A" w:rsidR="008A1415" w:rsidRDefault="008A141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452873" w14:textId="16B47DDC" w:rsidR="009F0367" w:rsidRPr="002C07A5" w:rsidRDefault="009F0367" w:rsidP="002C07A5">
    <w:pPr>
      <w:pStyle w:val="Footer"/>
      <w:tabs>
        <w:tab w:val="clear" w:pos="4513"/>
        <w:tab w:val="clear" w:pos="9026"/>
        <w:tab w:val="right" w:pos="9638"/>
      </w:tabs>
      <w:rPr>
        <w:color w:val="FFFFFF"/>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9027632"/>
      <w:docPartObj>
        <w:docPartGallery w:val="Page Numbers (Bottom of Page)"/>
        <w:docPartUnique/>
      </w:docPartObj>
    </w:sdtPr>
    <w:sdtEndPr>
      <w:rPr>
        <w:noProof/>
      </w:rPr>
    </w:sdtEndPr>
    <w:sdtContent>
      <w:p w14:paraId="40DCE963" w14:textId="77777777" w:rsidR="00CD2FAA" w:rsidRDefault="00CD2FA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F24C69" w14:textId="77777777" w:rsidR="00CD2FAA" w:rsidRDefault="00CD2FAA" w:rsidP="080A137C">
    <w:pPr>
      <w:rPr>
        <w:rFonts w:eastAsia="Verdana" w:cs="Verdana"/>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9836B" w14:textId="77777777" w:rsidR="00533A29" w:rsidRDefault="00533A29">
      <w:r>
        <w:separator/>
      </w:r>
    </w:p>
  </w:footnote>
  <w:footnote w:type="continuationSeparator" w:id="0">
    <w:p w14:paraId="11AD5106" w14:textId="77777777" w:rsidR="00533A29" w:rsidRDefault="00533A29">
      <w:r>
        <w:continuationSeparator/>
      </w:r>
    </w:p>
  </w:footnote>
  <w:footnote w:type="continuationNotice" w:id="1">
    <w:p w14:paraId="37C2774F" w14:textId="77777777" w:rsidR="00533A29" w:rsidRDefault="00533A2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A0926" w14:textId="59C5B091" w:rsidR="001A6E10" w:rsidRDefault="001A6E10">
    <w:pPr>
      <w:pStyle w:val="Header"/>
    </w:pPr>
    <w:r>
      <w:rPr>
        <w:noProof/>
      </w:rPr>
      <mc:AlternateContent>
        <mc:Choice Requires="wps">
          <w:drawing>
            <wp:anchor distT="0" distB="0" distL="0" distR="0" simplePos="0" relativeHeight="251658243" behindDoc="0" locked="0" layoutInCell="1" allowOverlap="1" wp14:anchorId="10138F3C" wp14:editId="1B95F2D5">
              <wp:simplePos x="635" y="635"/>
              <wp:positionH relativeFrom="page">
                <wp:align>center</wp:align>
              </wp:positionH>
              <wp:positionV relativeFrom="page">
                <wp:align>top</wp:align>
              </wp:positionV>
              <wp:extent cx="552450" cy="371475"/>
              <wp:effectExtent l="0" t="0" r="0" b="9525"/>
              <wp:wrapNone/>
              <wp:docPr id="10092638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2682BF2D" w14:textId="00ECE83C" w:rsidR="001A6E10" w:rsidRPr="00014CFD" w:rsidRDefault="001A6E10" w:rsidP="00014CFD">
                          <w:pPr>
                            <w:spacing w:after="0"/>
                            <w:rPr>
                              <w:rFonts w:ascii="Calibri" w:hAnsi="Calibri" w:cs="Calibri"/>
                              <w:noProof/>
                              <w:color w:val="FF0000"/>
                              <w:sz w:val="24"/>
                              <w:szCs w:val="24"/>
                            </w:rPr>
                          </w:pPr>
                          <w:r w:rsidRPr="00014CFD">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138F3C" id="_x0000_t202" coordsize="21600,21600" o:spt="202" path="m,l,21600r21600,l21600,xe">
              <v:stroke joinstyle="miter"/>
              <v:path gradientshapeok="t" o:connecttype="rect"/>
            </v:shapetype>
            <v:shape id="_x0000_s1030" type="#_x0000_t202" alt="OFFICIAL" style="position:absolute;margin-left:0;margin-top:0;width:43.5pt;height:29.2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" filled="f" stroked="f">
              <v:textbox style="mso-fit-shape-to-text:t" inset="0,15pt,0,0">
                <w:txbxContent>
                  <w:p w14:paraId="2682BF2D" w14:textId="00ECE83C" w:rsidR="001A6E10" w:rsidRPr="00014CFD" w:rsidRDefault="001A6E10" w:rsidP="00014CFD">
                    <w:pPr>
                      <w:spacing w:after="0"/>
                      <w:rPr>
                        <w:rFonts w:ascii="Calibri" w:hAnsi="Calibri" w:cs="Calibri"/>
                        <w:noProof/>
                        <w:color w:val="FF0000"/>
                        <w:sz w:val="24"/>
                        <w:szCs w:val="24"/>
                      </w:rPr>
                    </w:pPr>
                    <w:r w:rsidRPr="00014CFD">
                      <w:rPr>
                        <w:rFonts w:ascii="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93785" w14:textId="7133C4E0" w:rsidR="00CD346C" w:rsidRDefault="003A39E1">
    <w:pPr>
      <w:pStyle w:val="Header"/>
    </w:pPr>
    <w:r>
      <w:rPr>
        <w:noProof/>
      </w:rPr>
      <w:drawing>
        <wp:anchor distT="0" distB="0" distL="114300" distR="114300" simplePos="0" relativeHeight="251658240" behindDoc="1" locked="0" layoutInCell="1" allowOverlap="1" wp14:anchorId="69E0625F" wp14:editId="1F46D6F6">
          <wp:simplePos x="0" y="0"/>
          <wp:positionH relativeFrom="column">
            <wp:posOffset>2410460</wp:posOffset>
          </wp:positionH>
          <wp:positionV relativeFrom="paragraph">
            <wp:posOffset>1670050</wp:posOffset>
          </wp:positionV>
          <wp:extent cx="7150048" cy="8866060"/>
          <wp:effectExtent l="0" t="0" r="635" b="0"/>
          <wp:wrapNone/>
          <wp:docPr id="605657789" name="Picture 6056577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7150048" cy="88660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B0248" w14:textId="786D16DD" w:rsidR="00473F5B" w:rsidRDefault="00473F5B" w:rsidP="005C5D99">
    <w:r w:rsidRPr="003A6733">
      <w:rPr>
        <w:noProof/>
      </w:rPr>
      <w:drawing>
        <wp:anchor distT="0" distB="0" distL="114300" distR="114300" simplePos="0" relativeHeight="251658241" behindDoc="1" locked="0" layoutInCell="1" allowOverlap="1" wp14:anchorId="44F1358A" wp14:editId="5D9FF885">
          <wp:simplePos x="0" y="0"/>
          <wp:positionH relativeFrom="column">
            <wp:posOffset>-732790</wp:posOffset>
          </wp:positionH>
          <wp:positionV relativeFrom="paragraph">
            <wp:posOffset>-339725</wp:posOffset>
          </wp:positionV>
          <wp:extent cx="7597588" cy="10751549"/>
          <wp:effectExtent l="0" t="0" r="0" b="5715"/>
          <wp:wrapNone/>
          <wp:docPr id="730853987" name="Picture 730853987" descr="EMBARGOED - NOT TO BE DISTRIBUTED SUBJECT T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51987" name="Picture 269051987" descr="EMBARGOED - NOT TO BE DISTRIBUTED SUBJECT TO CHANGE"/>
                  <pic:cNvPicPr/>
                </pic:nvPicPr>
                <pic:blipFill>
                  <a:blip r:embed="rId1">
                    <a:extLst>
                      <a:ext uri="{28A0092B-C50C-407E-A947-70E740481C1C}">
                        <a14:useLocalDpi xmlns:a14="http://schemas.microsoft.com/office/drawing/2010/main" val="0"/>
                      </a:ext>
                    </a:extLst>
                  </a:blip>
                  <a:stretch>
                    <a:fillRect/>
                  </a:stretch>
                </pic:blipFill>
                <pic:spPr>
                  <a:xfrm>
                    <a:off x="0" y="0"/>
                    <a:ext cx="7597588" cy="10751549"/>
                  </a:xfrm>
                  <a:prstGeom prst="rect">
                    <a:avLst/>
                  </a:prstGeom>
                </pic:spPr>
              </pic:pic>
            </a:graphicData>
          </a:graphic>
          <wp14:sizeRelH relativeFrom="page">
            <wp14:pctWidth>0</wp14:pctWidth>
          </wp14:sizeRelH>
          <wp14:sizeRelV relativeFrom="page">
            <wp14:pctHeight>0</wp14:pctHeight>
          </wp14:sizeRelV>
        </wp:anchor>
      </w:drawing>
    </w:r>
  </w:p>
  <w:p w14:paraId="1CD35C33" w14:textId="7B2B2A82" w:rsidR="00473F5B" w:rsidRDefault="00473F5B" w:rsidP="005C5D99"/>
  <w:p w14:paraId="7384D469" w14:textId="77777777" w:rsidR="00473F5B" w:rsidRDefault="00473F5B" w:rsidP="005C5D99"/>
  <w:p w14:paraId="49D5AFB6" w14:textId="2B37E11E" w:rsidR="00473F5B" w:rsidRDefault="00740DBE" w:rsidP="00740DBE">
    <w:pPr>
      <w:tabs>
        <w:tab w:val="left" w:pos="9645"/>
      </w:tabs>
    </w:pPr>
    <w:r>
      <w:tab/>
    </w:r>
  </w:p>
  <w:p w14:paraId="25C2C4CB" w14:textId="1FFBAA52" w:rsidR="00473F5B" w:rsidRDefault="00473F5B" w:rsidP="005C5D99"/>
  <w:p w14:paraId="3C0453E6" w14:textId="77777777" w:rsidR="00473F5B" w:rsidRDefault="00473F5B" w:rsidP="005C5D99"/>
  <w:p w14:paraId="0D136238" w14:textId="77777777" w:rsidR="001345C9" w:rsidRDefault="001345C9" w:rsidP="005C5D99"/>
  <w:p w14:paraId="79B3195C" w14:textId="54EAADD9" w:rsidR="00617D03" w:rsidRPr="00DC6237" w:rsidRDefault="001345C9" w:rsidP="00071327">
    <w:pPr>
      <w:rPr>
        <w:color w:val="00B050"/>
      </w:rPr>
    </w:pPr>
    <w:r>
      <w:rPr>
        <w:noProof/>
      </w:rPr>
      <w:drawing>
        <wp:anchor distT="0" distB="0" distL="114300" distR="114300" simplePos="0" relativeHeight="251658242" behindDoc="1" locked="0" layoutInCell="1" allowOverlap="1" wp14:anchorId="2FD136EF" wp14:editId="39178192">
          <wp:simplePos x="0" y="0"/>
          <wp:positionH relativeFrom="page">
            <wp:posOffset>622300</wp:posOffset>
          </wp:positionH>
          <wp:positionV relativeFrom="page">
            <wp:posOffset>546100</wp:posOffset>
          </wp:positionV>
          <wp:extent cx="3600450" cy="1040130"/>
          <wp:effectExtent l="0" t="0" r="0" b="0"/>
          <wp:wrapNone/>
          <wp:docPr id="886798234" name="Picture 886798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323322" name="Picture 200323322">
                    <a:extLst>
                      <a:ext uri="{C183D7F6-B498-43B3-948B-1728B52AA6E4}">
                        <adec:decorative xmlns:adec="http://schemas.microsoft.com/office/drawing/2017/decorative" val="1"/>
                      </a:ext>
                    </a:extLst>
                  </pic:cNvPr>
                  <pic:cNvPicPr>
                    <a:picLocks/>
                  </pic:cNvPicPr>
                </pic:nvPicPr>
                <pic:blipFill>
                  <a:blip r:embed="rId2">
                    <a:extLst>
                      <a:ext uri="{28A0092B-C50C-407E-A947-70E740481C1C}">
                        <a14:useLocalDpi xmlns:a14="http://schemas.microsoft.com/office/drawing/2010/main" val="0"/>
                      </a:ext>
                    </a:extLst>
                  </a:blip>
                  <a:stretch>
                    <a:fillRect/>
                  </a:stretch>
                </pic:blipFill>
                <pic:spPr bwMode="auto">
                  <a:xfrm>
                    <a:off x="0" y="0"/>
                    <a:ext cx="3600450"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349EB" w14:textId="5B404C29" w:rsidR="00740DBE" w:rsidRPr="00740DBE" w:rsidRDefault="00740DBE" w:rsidP="00071327">
    <w:r>
      <w:rPr>
        <w:noProof/>
      </w:rPr>
      <mc:AlternateContent>
        <mc:Choice Requires="wps">
          <w:drawing>
            <wp:anchor distT="0" distB="0" distL="0" distR="0" simplePos="0" relativeHeight="251658246" behindDoc="0" locked="0" layoutInCell="1" allowOverlap="1" wp14:anchorId="0C979FCE" wp14:editId="2FDA56BD">
              <wp:simplePos x="635" y="635"/>
              <wp:positionH relativeFrom="page">
                <wp:align>center</wp:align>
              </wp:positionH>
              <wp:positionV relativeFrom="page">
                <wp:align>top</wp:align>
              </wp:positionV>
              <wp:extent cx="552450" cy="371475"/>
              <wp:effectExtent l="0" t="0" r="0" b="9525"/>
              <wp:wrapNone/>
              <wp:docPr id="29420501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7A22C73A" w14:textId="77777777" w:rsidR="00740DBE" w:rsidRPr="00014CFD" w:rsidRDefault="00740DBE" w:rsidP="00014CFD">
                          <w:pPr>
                            <w:spacing w:after="0"/>
                            <w:rPr>
                              <w:rFonts w:ascii="Calibri" w:hAnsi="Calibri" w:cs="Calibri"/>
                              <w:noProof/>
                              <w:color w:val="FF0000"/>
                              <w:sz w:val="24"/>
                              <w:szCs w:val="24"/>
                            </w:rPr>
                          </w:pPr>
                          <w:r w:rsidRPr="00014CFD">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979FCE" id="_x0000_t202" coordsize="21600,21600" o:spt="202" path="m,l,21600r21600,l21600,xe">
              <v:stroke joinstyle="miter"/>
              <v:path gradientshapeok="t" o:connecttype="rect"/>
            </v:shapetype>
            <v:shape id="Text Box 1" o:spid="_x0000_s1033" type="#_x0000_t202" alt="OFFICIAL" style="position:absolute;margin-left:0;margin-top:0;width:43.5pt;height:29.2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" filled="f" stroked="f">
              <v:textbox style="mso-fit-shape-to-text:t" inset="0,15pt,0,0">
                <w:txbxContent>
                  <w:p w14:paraId="7A22C73A" w14:textId="77777777" w:rsidR="00740DBE" w:rsidRPr="00014CFD" w:rsidRDefault="00740DBE" w:rsidP="00014CFD">
                    <w:pPr>
                      <w:spacing w:after="0"/>
                      <w:rPr>
                        <w:rFonts w:ascii="Calibri" w:hAnsi="Calibri" w:cs="Calibri"/>
                        <w:noProof/>
                        <w:color w:val="FF0000"/>
                        <w:sz w:val="24"/>
                        <w:szCs w:val="24"/>
                      </w:rPr>
                    </w:pPr>
                    <w:r w:rsidRPr="00014CFD">
                      <w:rPr>
                        <w:rFonts w:ascii="Calibri" w:hAnsi="Calibri" w:cs="Calibri"/>
                        <w:noProof/>
                        <w:color w:val="FF0000"/>
                        <w:sz w:val="24"/>
                        <w:szCs w:val="24"/>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2DB9"/>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5DD30C1"/>
    <w:multiLevelType w:val="multilevel"/>
    <w:tmpl w:val="56988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E873A3"/>
    <w:multiLevelType w:val="hybridMultilevel"/>
    <w:tmpl w:val="2E2A5100"/>
    <w:lvl w:ilvl="0" w:tplc="EDD806F4">
      <w:start w:val="1"/>
      <w:numFmt w:val="lowerLetter"/>
      <w:lvlText w:val="(%1)"/>
      <w:lvlJc w:val="left"/>
      <w:pPr>
        <w:ind w:left="735" w:hanging="37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AF258D"/>
    <w:multiLevelType w:val="hybridMultilevel"/>
    <w:tmpl w:val="80327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8A51EA"/>
    <w:multiLevelType w:val="hybridMultilevel"/>
    <w:tmpl w:val="848A3B22"/>
    <w:lvl w:ilvl="0" w:tplc="D196ED00">
      <w:start w:val="1"/>
      <w:numFmt w:val="decimal"/>
      <w:lvlText w:val="%1."/>
      <w:lvlJc w:val="left"/>
      <w:pPr>
        <w:ind w:left="720" w:hanging="360"/>
      </w:pPr>
    </w:lvl>
    <w:lvl w:ilvl="1" w:tplc="DA128B6E">
      <w:start w:val="1"/>
      <w:numFmt w:val="decimal"/>
      <w:lvlText w:val="%2."/>
      <w:lvlJc w:val="left"/>
      <w:pPr>
        <w:ind w:left="720" w:hanging="360"/>
      </w:pPr>
    </w:lvl>
    <w:lvl w:ilvl="2" w:tplc="667E5CDC">
      <w:start w:val="1"/>
      <w:numFmt w:val="decimal"/>
      <w:lvlText w:val="%3."/>
      <w:lvlJc w:val="left"/>
      <w:pPr>
        <w:ind w:left="720" w:hanging="360"/>
      </w:pPr>
    </w:lvl>
    <w:lvl w:ilvl="3" w:tplc="FD48587C">
      <w:start w:val="1"/>
      <w:numFmt w:val="decimal"/>
      <w:lvlText w:val="%4."/>
      <w:lvlJc w:val="left"/>
      <w:pPr>
        <w:ind w:left="720" w:hanging="360"/>
      </w:pPr>
    </w:lvl>
    <w:lvl w:ilvl="4" w:tplc="16CA81FE">
      <w:start w:val="1"/>
      <w:numFmt w:val="decimal"/>
      <w:lvlText w:val="%5."/>
      <w:lvlJc w:val="left"/>
      <w:pPr>
        <w:ind w:left="720" w:hanging="360"/>
      </w:pPr>
    </w:lvl>
    <w:lvl w:ilvl="5" w:tplc="8FF887D2">
      <w:start w:val="1"/>
      <w:numFmt w:val="decimal"/>
      <w:lvlText w:val="%6."/>
      <w:lvlJc w:val="left"/>
      <w:pPr>
        <w:ind w:left="720" w:hanging="360"/>
      </w:pPr>
    </w:lvl>
    <w:lvl w:ilvl="6" w:tplc="208046E0">
      <w:start w:val="1"/>
      <w:numFmt w:val="decimal"/>
      <w:lvlText w:val="%7."/>
      <w:lvlJc w:val="left"/>
      <w:pPr>
        <w:ind w:left="720" w:hanging="360"/>
      </w:pPr>
    </w:lvl>
    <w:lvl w:ilvl="7" w:tplc="56E87AEE">
      <w:start w:val="1"/>
      <w:numFmt w:val="decimal"/>
      <w:lvlText w:val="%8."/>
      <w:lvlJc w:val="left"/>
      <w:pPr>
        <w:ind w:left="720" w:hanging="360"/>
      </w:pPr>
    </w:lvl>
    <w:lvl w:ilvl="8" w:tplc="98BCCD20">
      <w:start w:val="1"/>
      <w:numFmt w:val="decimal"/>
      <w:lvlText w:val="%9."/>
      <w:lvlJc w:val="left"/>
      <w:pPr>
        <w:ind w:left="720" w:hanging="360"/>
      </w:pPr>
    </w:lvl>
  </w:abstractNum>
  <w:abstractNum w:abstractNumId="5" w15:restartNumberingAfterBreak="0">
    <w:nsid w:val="13A84B45"/>
    <w:multiLevelType w:val="hybridMultilevel"/>
    <w:tmpl w:val="CDC81D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B33D3F"/>
    <w:multiLevelType w:val="hybridMultilevel"/>
    <w:tmpl w:val="B106D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745BC2"/>
    <w:multiLevelType w:val="multilevel"/>
    <w:tmpl w:val="E898CC72"/>
    <w:numStyleLink w:val="BulletList"/>
  </w:abstractNum>
  <w:abstractNum w:abstractNumId="8" w15:restartNumberingAfterBreak="0">
    <w:nsid w:val="2E38580C"/>
    <w:multiLevelType w:val="hybridMultilevel"/>
    <w:tmpl w:val="3410B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A07BA4"/>
    <w:multiLevelType w:val="hybridMultilevel"/>
    <w:tmpl w:val="1890A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BE3042"/>
    <w:multiLevelType w:val="hybridMultilevel"/>
    <w:tmpl w:val="0D527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2A5201"/>
    <w:multiLevelType w:val="hybridMultilevel"/>
    <w:tmpl w:val="949A4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BD1473"/>
    <w:multiLevelType w:val="hybridMultilevel"/>
    <w:tmpl w:val="63C279CE"/>
    <w:lvl w:ilvl="0" w:tplc="36687E8C">
      <w:start w:val="1"/>
      <w:numFmt w:val="bullet"/>
      <w:lvlText w:val=""/>
      <w:lvlJc w:val="left"/>
      <w:pPr>
        <w:ind w:left="720" w:hanging="360"/>
      </w:pPr>
      <w:rPr>
        <w:rFonts w:ascii="Symbol" w:hAnsi="Symbol"/>
      </w:rPr>
    </w:lvl>
    <w:lvl w:ilvl="1" w:tplc="3C96CC4A">
      <w:start w:val="1"/>
      <w:numFmt w:val="bullet"/>
      <w:lvlText w:val=""/>
      <w:lvlJc w:val="left"/>
      <w:pPr>
        <w:ind w:left="720" w:hanging="360"/>
      </w:pPr>
      <w:rPr>
        <w:rFonts w:ascii="Symbol" w:hAnsi="Symbol"/>
      </w:rPr>
    </w:lvl>
    <w:lvl w:ilvl="2" w:tplc="E5A0A8A0">
      <w:start w:val="1"/>
      <w:numFmt w:val="bullet"/>
      <w:lvlText w:val=""/>
      <w:lvlJc w:val="left"/>
      <w:pPr>
        <w:ind w:left="720" w:hanging="360"/>
      </w:pPr>
      <w:rPr>
        <w:rFonts w:ascii="Symbol" w:hAnsi="Symbol"/>
      </w:rPr>
    </w:lvl>
    <w:lvl w:ilvl="3" w:tplc="8CCCD16E">
      <w:start w:val="1"/>
      <w:numFmt w:val="bullet"/>
      <w:lvlText w:val=""/>
      <w:lvlJc w:val="left"/>
      <w:pPr>
        <w:ind w:left="720" w:hanging="360"/>
      </w:pPr>
      <w:rPr>
        <w:rFonts w:ascii="Symbol" w:hAnsi="Symbol"/>
      </w:rPr>
    </w:lvl>
    <w:lvl w:ilvl="4" w:tplc="E7A68B08">
      <w:start w:val="1"/>
      <w:numFmt w:val="bullet"/>
      <w:lvlText w:val=""/>
      <w:lvlJc w:val="left"/>
      <w:pPr>
        <w:ind w:left="720" w:hanging="360"/>
      </w:pPr>
      <w:rPr>
        <w:rFonts w:ascii="Symbol" w:hAnsi="Symbol"/>
      </w:rPr>
    </w:lvl>
    <w:lvl w:ilvl="5" w:tplc="4B4E6844">
      <w:start w:val="1"/>
      <w:numFmt w:val="bullet"/>
      <w:lvlText w:val=""/>
      <w:lvlJc w:val="left"/>
      <w:pPr>
        <w:ind w:left="720" w:hanging="360"/>
      </w:pPr>
      <w:rPr>
        <w:rFonts w:ascii="Symbol" w:hAnsi="Symbol"/>
      </w:rPr>
    </w:lvl>
    <w:lvl w:ilvl="6" w:tplc="8B8C2214">
      <w:start w:val="1"/>
      <w:numFmt w:val="bullet"/>
      <w:lvlText w:val=""/>
      <w:lvlJc w:val="left"/>
      <w:pPr>
        <w:ind w:left="720" w:hanging="360"/>
      </w:pPr>
      <w:rPr>
        <w:rFonts w:ascii="Symbol" w:hAnsi="Symbol"/>
      </w:rPr>
    </w:lvl>
    <w:lvl w:ilvl="7" w:tplc="DC7C0E90">
      <w:start w:val="1"/>
      <w:numFmt w:val="bullet"/>
      <w:lvlText w:val=""/>
      <w:lvlJc w:val="left"/>
      <w:pPr>
        <w:ind w:left="720" w:hanging="360"/>
      </w:pPr>
      <w:rPr>
        <w:rFonts w:ascii="Symbol" w:hAnsi="Symbol"/>
      </w:rPr>
    </w:lvl>
    <w:lvl w:ilvl="8" w:tplc="FB00D68A">
      <w:start w:val="1"/>
      <w:numFmt w:val="bullet"/>
      <w:lvlText w:val=""/>
      <w:lvlJc w:val="left"/>
      <w:pPr>
        <w:ind w:left="720" w:hanging="360"/>
      </w:pPr>
      <w:rPr>
        <w:rFonts w:ascii="Symbol" w:hAnsi="Symbol"/>
      </w:rPr>
    </w:lvl>
  </w:abstractNum>
  <w:abstractNum w:abstractNumId="13" w15:restartNumberingAfterBreak="0">
    <w:nsid w:val="42057C82"/>
    <w:multiLevelType w:val="multilevel"/>
    <w:tmpl w:val="D4A8E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86A14AD"/>
    <w:multiLevelType w:val="hybridMultilevel"/>
    <w:tmpl w:val="FFFFFFFF"/>
    <w:styleLink w:val="KeyPoints"/>
    <w:lvl w:ilvl="0" w:tplc="3E76AE0C">
      <w:start w:val="1"/>
      <w:numFmt w:val="bullet"/>
      <w:lvlText w:val="·"/>
      <w:lvlJc w:val="left"/>
      <w:pPr>
        <w:ind w:left="720" w:hanging="360"/>
      </w:pPr>
      <w:rPr>
        <w:rFonts w:ascii="Symbol" w:hAnsi="Symbol" w:hint="default"/>
      </w:rPr>
    </w:lvl>
    <w:lvl w:ilvl="1" w:tplc="B6D21912">
      <w:start w:val="1"/>
      <w:numFmt w:val="bullet"/>
      <w:lvlText w:val="o"/>
      <w:lvlJc w:val="left"/>
      <w:pPr>
        <w:ind w:left="1440" w:hanging="360"/>
      </w:pPr>
      <w:rPr>
        <w:rFonts w:ascii="Courier New" w:hAnsi="Courier New" w:hint="default"/>
      </w:rPr>
    </w:lvl>
    <w:lvl w:ilvl="2" w:tplc="1B889A02">
      <w:start w:val="1"/>
      <w:numFmt w:val="bullet"/>
      <w:lvlText w:val=""/>
      <w:lvlJc w:val="left"/>
      <w:pPr>
        <w:ind w:left="2160" w:hanging="360"/>
      </w:pPr>
      <w:rPr>
        <w:rFonts w:ascii="Wingdings" w:hAnsi="Wingdings" w:hint="default"/>
      </w:rPr>
    </w:lvl>
    <w:lvl w:ilvl="3" w:tplc="D8421790">
      <w:start w:val="1"/>
      <w:numFmt w:val="bullet"/>
      <w:lvlText w:val=""/>
      <w:lvlJc w:val="left"/>
      <w:pPr>
        <w:ind w:left="2880" w:hanging="360"/>
      </w:pPr>
      <w:rPr>
        <w:rFonts w:ascii="Symbol" w:hAnsi="Symbol" w:hint="default"/>
      </w:rPr>
    </w:lvl>
    <w:lvl w:ilvl="4" w:tplc="2E70FC0A">
      <w:start w:val="1"/>
      <w:numFmt w:val="bullet"/>
      <w:lvlText w:val="o"/>
      <w:lvlJc w:val="left"/>
      <w:pPr>
        <w:ind w:left="3600" w:hanging="360"/>
      </w:pPr>
      <w:rPr>
        <w:rFonts w:ascii="Courier New" w:hAnsi="Courier New" w:hint="default"/>
      </w:rPr>
    </w:lvl>
    <w:lvl w:ilvl="5" w:tplc="B3AECAD8">
      <w:start w:val="1"/>
      <w:numFmt w:val="bullet"/>
      <w:lvlText w:val=""/>
      <w:lvlJc w:val="left"/>
      <w:pPr>
        <w:ind w:left="4320" w:hanging="360"/>
      </w:pPr>
      <w:rPr>
        <w:rFonts w:ascii="Wingdings" w:hAnsi="Wingdings" w:hint="default"/>
      </w:rPr>
    </w:lvl>
    <w:lvl w:ilvl="6" w:tplc="409ABEBE">
      <w:start w:val="1"/>
      <w:numFmt w:val="bullet"/>
      <w:lvlText w:val=""/>
      <w:lvlJc w:val="left"/>
      <w:pPr>
        <w:ind w:left="5040" w:hanging="360"/>
      </w:pPr>
      <w:rPr>
        <w:rFonts w:ascii="Symbol" w:hAnsi="Symbol" w:hint="default"/>
      </w:rPr>
    </w:lvl>
    <w:lvl w:ilvl="7" w:tplc="F0406C26">
      <w:start w:val="1"/>
      <w:numFmt w:val="bullet"/>
      <w:lvlText w:val="o"/>
      <w:lvlJc w:val="left"/>
      <w:pPr>
        <w:ind w:left="5760" w:hanging="360"/>
      </w:pPr>
      <w:rPr>
        <w:rFonts w:ascii="Courier New" w:hAnsi="Courier New" w:hint="default"/>
      </w:rPr>
    </w:lvl>
    <w:lvl w:ilvl="8" w:tplc="904ADEE8">
      <w:start w:val="1"/>
      <w:numFmt w:val="bullet"/>
      <w:lvlText w:val=""/>
      <w:lvlJc w:val="left"/>
      <w:pPr>
        <w:ind w:left="6480" w:hanging="360"/>
      </w:pPr>
      <w:rPr>
        <w:rFonts w:ascii="Wingdings" w:hAnsi="Wingdings" w:hint="default"/>
      </w:rPr>
    </w:lvl>
  </w:abstractNum>
  <w:abstractNum w:abstractNumId="15" w15:restartNumberingAfterBreak="0">
    <w:nsid w:val="598D4818"/>
    <w:multiLevelType w:val="hybridMultilevel"/>
    <w:tmpl w:val="2DB02F3A"/>
    <w:lvl w:ilvl="0" w:tplc="94505F3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647B0F38"/>
    <w:multiLevelType w:val="hybridMultilevel"/>
    <w:tmpl w:val="34062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5456429"/>
    <w:multiLevelType w:val="multilevel"/>
    <w:tmpl w:val="D5F21E5A"/>
    <w:lvl w:ilvl="0">
      <w:start w:val="1"/>
      <w:numFmt w:val="decimal"/>
      <w:pStyle w:val="ListNumber"/>
      <w:lvlText w:val="%1."/>
      <w:lvlJc w:val="left"/>
      <w:pPr>
        <w:ind w:left="369" w:hanging="369"/>
      </w:pPr>
      <w:rPr>
        <w:rFonts w:ascii="Calibri" w:hAnsi="Calibri" w:hint="default"/>
        <w:sz w:val="22"/>
        <w:szCs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8" w15:restartNumberingAfterBreak="0">
    <w:nsid w:val="70F65795"/>
    <w:multiLevelType w:val="multilevel"/>
    <w:tmpl w:val="810C1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2964D5"/>
    <w:multiLevelType w:val="multilevel"/>
    <w:tmpl w:val="E898CC72"/>
    <w:styleLink w:val="BulletList"/>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0" w15:restartNumberingAfterBreak="0">
    <w:nsid w:val="7ADD33F1"/>
    <w:multiLevelType w:val="hybridMultilevel"/>
    <w:tmpl w:val="E40090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7F2C1313"/>
    <w:multiLevelType w:val="hybridMultilevel"/>
    <w:tmpl w:val="02A23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17717691">
    <w:abstractNumId w:val="14"/>
  </w:num>
  <w:num w:numId="2" w16cid:durableId="1873422421">
    <w:abstractNumId w:val="19"/>
  </w:num>
  <w:num w:numId="3" w16cid:durableId="1369183811">
    <w:abstractNumId w:val="0"/>
  </w:num>
  <w:num w:numId="4" w16cid:durableId="521748715">
    <w:abstractNumId w:val="7"/>
  </w:num>
  <w:num w:numId="5" w16cid:durableId="732780042">
    <w:abstractNumId w:val="17"/>
  </w:num>
  <w:num w:numId="6" w16cid:durableId="326903828">
    <w:abstractNumId w:val="11"/>
  </w:num>
  <w:num w:numId="7" w16cid:durableId="2014724019">
    <w:abstractNumId w:val="20"/>
  </w:num>
  <w:num w:numId="8" w16cid:durableId="1862157126">
    <w:abstractNumId w:val="5"/>
  </w:num>
  <w:num w:numId="9" w16cid:durableId="853571975">
    <w:abstractNumId w:val="18"/>
  </w:num>
  <w:num w:numId="10" w16cid:durableId="2003701236">
    <w:abstractNumId w:val="12"/>
  </w:num>
  <w:num w:numId="11" w16cid:durableId="1569808521">
    <w:abstractNumId w:val="9"/>
  </w:num>
  <w:num w:numId="12" w16cid:durableId="1104348701">
    <w:abstractNumId w:val="1"/>
  </w:num>
  <w:num w:numId="13" w16cid:durableId="251427538">
    <w:abstractNumId w:val="13"/>
  </w:num>
  <w:num w:numId="14" w16cid:durableId="594939866">
    <w:abstractNumId w:val="15"/>
  </w:num>
  <w:num w:numId="15" w16cid:durableId="514732951">
    <w:abstractNumId w:val="2"/>
  </w:num>
  <w:num w:numId="16" w16cid:durableId="882667428">
    <w:abstractNumId w:val="10"/>
  </w:num>
  <w:num w:numId="17" w16cid:durableId="2106025867">
    <w:abstractNumId w:val="3"/>
  </w:num>
  <w:num w:numId="18" w16cid:durableId="757793766">
    <w:abstractNumId w:val="8"/>
  </w:num>
  <w:num w:numId="19" w16cid:durableId="1199316597">
    <w:abstractNumId w:val="6"/>
  </w:num>
  <w:num w:numId="20" w16cid:durableId="1842895229">
    <w:abstractNumId w:val="16"/>
  </w:num>
  <w:num w:numId="21" w16cid:durableId="1381780898">
    <w:abstractNumId w:val="21"/>
  </w:num>
  <w:num w:numId="22" w16cid:durableId="193358642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DateAndTime/>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TableGridLight"/>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41E"/>
    <w:rsid w:val="00000138"/>
    <w:rsid w:val="000001A1"/>
    <w:rsid w:val="000001F3"/>
    <w:rsid w:val="000004D3"/>
    <w:rsid w:val="0000053A"/>
    <w:rsid w:val="00000649"/>
    <w:rsid w:val="0000089D"/>
    <w:rsid w:val="00000B5B"/>
    <w:rsid w:val="00000DBD"/>
    <w:rsid w:val="00000E2C"/>
    <w:rsid w:val="00001387"/>
    <w:rsid w:val="000018F0"/>
    <w:rsid w:val="000019B4"/>
    <w:rsid w:val="00001ACF"/>
    <w:rsid w:val="00001D01"/>
    <w:rsid w:val="00001E7C"/>
    <w:rsid w:val="000027BB"/>
    <w:rsid w:val="00002AFE"/>
    <w:rsid w:val="00002E61"/>
    <w:rsid w:val="000032A0"/>
    <w:rsid w:val="000032B4"/>
    <w:rsid w:val="000036AF"/>
    <w:rsid w:val="000037B1"/>
    <w:rsid w:val="00003834"/>
    <w:rsid w:val="00003D27"/>
    <w:rsid w:val="00004103"/>
    <w:rsid w:val="00004244"/>
    <w:rsid w:val="000043B3"/>
    <w:rsid w:val="00004DA4"/>
    <w:rsid w:val="00004E82"/>
    <w:rsid w:val="00005089"/>
    <w:rsid w:val="00005AA8"/>
    <w:rsid w:val="00005E8F"/>
    <w:rsid w:val="0000601F"/>
    <w:rsid w:val="00006C93"/>
    <w:rsid w:val="00006FAC"/>
    <w:rsid w:val="00006FD7"/>
    <w:rsid w:val="00007738"/>
    <w:rsid w:val="00007AAC"/>
    <w:rsid w:val="00007D2E"/>
    <w:rsid w:val="00007DE1"/>
    <w:rsid w:val="00010052"/>
    <w:rsid w:val="000105D4"/>
    <w:rsid w:val="00010970"/>
    <w:rsid w:val="00010A14"/>
    <w:rsid w:val="00010FB7"/>
    <w:rsid w:val="000110AD"/>
    <w:rsid w:val="00011437"/>
    <w:rsid w:val="0001182B"/>
    <w:rsid w:val="00011B83"/>
    <w:rsid w:val="00011E96"/>
    <w:rsid w:val="00012093"/>
    <w:rsid w:val="000122E6"/>
    <w:rsid w:val="000123A1"/>
    <w:rsid w:val="000128EE"/>
    <w:rsid w:val="00012E59"/>
    <w:rsid w:val="000131EE"/>
    <w:rsid w:val="0001333E"/>
    <w:rsid w:val="000133ED"/>
    <w:rsid w:val="00013704"/>
    <w:rsid w:val="00013D16"/>
    <w:rsid w:val="00013D31"/>
    <w:rsid w:val="000143CA"/>
    <w:rsid w:val="000145BC"/>
    <w:rsid w:val="00014611"/>
    <w:rsid w:val="0001475E"/>
    <w:rsid w:val="00014AE5"/>
    <w:rsid w:val="00014C43"/>
    <w:rsid w:val="00014CFD"/>
    <w:rsid w:val="000158E4"/>
    <w:rsid w:val="00015FF4"/>
    <w:rsid w:val="0001614F"/>
    <w:rsid w:val="0001619D"/>
    <w:rsid w:val="000161F2"/>
    <w:rsid w:val="00016A8F"/>
    <w:rsid w:val="00016A9D"/>
    <w:rsid w:val="00016AFC"/>
    <w:rsid w:val="00016C06"/>
    <w:rsid w:val="00016C98"/>
    <w:rsid w:val="00016E1F"/>
    <w:rsid w:val="00017355"/>
    <w:rsid w:val="00017491"/>
    <w:rsid w:val="0001760E"/>
    <w:rsid w:val="000179F3"/>
    <w:rsid w:val="00017C6A"/>
    <w:rsid w:val="000203A4"/>
    <w:rsid w:val="00020448"/>
    <w:rsid w:val="0002082F"/>
    <w:rsid w:val="00020901"/>
    <w:rsid w:val="00021123"/>
    <w:rsid w:val="00021273"/>
    <w:rsid w:val="00021466"/>
    <w:rsid w:val="0002158B"/>
    <w:rsid w:val="00021BB7"/>
    <w:rsid w:val="00021D0F"/>
    <w:rsid w:val="00021D37"/>
    <w:rsid w:val="00021E38"/>
    <w:rsid w:val="000226D1"/>
    <w:rsid w:val="00022A71"/>
    <w:rsid w:val="000232B6"/>
    <w:rsid w:val="000233BB"/>
    <w:rsid w:val="0002351B"/>
    <w:rsid w:val="00023585"/>
    <w:rsid w:val="000236BF"/>
    <w:rsid w:val="00023992"/>
    <w:rsid w:val="00023CEC"/>
    <w:rsid w:val="00023DEA"/>
    <w:rsid w:val="00023E9F"/>
    <w:rsid w:val="00023EC0"/>
    <w:rsid w:val="000244FD"/>
    <w:rsid w:val="00024557"/>
    <w:rsid w:val="00024E8F"/>
    <w:rsid w:val="00025565"/>
    <w:rsid w:val="000257C0"/>
    <w:rsid w:val="00025AF7"/>
    <w:rsid w:val="00025DD6"/>
    <w:rsid w:val="00026047"/>
    <w:rsid w:val="0002622D"/>
    <w:rsid w:val="00026292"/>
    <w:rsid w:val="000262D8"/>
    <w:rsid w:val="00026492"/>
    <w:rsid w:val="000264F1"/>
    <w:rsid w:val="00026579"/>
    <w:rsid w:val="000266B2"/>
    <w:rsid w:val="00026DFA"/>
    <w:rsid w:val="00026E66"/>
    <w:rsid w:val="00027DB3"/>
    <w:rsid w:val="000301A8"/>
    <w:rsid w:val="00030432"/>
    <w:rsid w:val="0003056E"/>
    <w:rsid w:val="000305BD"/>
    <w:rsid w:val="00030877"/>
    <w:rsid w:val="000308E8"/>
    <w:rsid w:val="0003092B"/>
    <w:rsid w:val="0003098A"/>
    <w:rsid w:val="00030A43"/>
    <w:rsid w:val="00031A0F"/>
    <w:rsid w:val="00031A3F"/>
    <w:rsid w:val="00031B60"/>
    <w:rsid w:val="00031C43"/>
    <w:rsid w:val="0003241F"/>
    <w:rsid w:val="0003265C"/>
    <w:rsid w:val="0003293E"/>
    <w:rsid w:val="00032A76"/>
    <w:rsid w:val="00032E90"/>
    <w:rsid w:val="00032FEA"/>
    <w:rsid w:val="000332E5"/>
    <w:rsid w:val="000335DD"/>
    <w:rsid w:val="00033A37"/>
    <w:rsid w:val="00033D55"/>
    <w:rsid w:val="000345C7"/>
    <w:rsid w:val="000345DD"/>
    <w:rsid w:val="000348A7"/>
    <w:rsid w:val="00034992"/>
    <w:rsid w:val="00034B70"/>
    <w:rsid w:val="00034CD1"/>
    <w:rsid w:val="00034F43"/>
    <w:rsid w:val="000351C8"/>
    <w:rsid w:val="000351E4"/>
    <w:rsid w:val="0003571B"/>
    <w:rsid w:val="000359B4"/>
    <w:rsid w:val="00035ADB"/>
    <w:rsid w:val="00035FBE"/>
    <w:rsid w:val="0003601D"/>
    <w:rsid w:val="00036422"/>
    <w:rsid w:val="00036841"/>
    <w:rsid w:val="00036F66"/>
    <w:rsid w:val="00037144"/>
    <w:rsid w:val="0003715F"/>
    <w:rsid w:val="00037543"/>
    <w:rsid w:val="00037577"/>
    <w:rsid w:val="00037581"/>
    <w:rsid w:val="00037583"/>
    <w:rsid w:val="0003766B"/>
    <w:rsid w:val="000376E1"/>
    <w:rsid w:val="00037AB4"/>
    <w:rsid w:val="00040099"/>
    <w:rsid w:val="000403B6"/>
    <w:rsid w:val="0004049E"/>
    <w:rsid w:val="000405BC"/>
    <w:rsid w:val="00040E32"/>
    <w:rsid w:val="00041BC0"/>
    <w:rsid w:val="00041F91"/>
    <w:rsid w:val="00042499"/>
    <w:rsid w:val="0004272D"/>
    <w:rsid w:val="000428F3"/>
    <w:rsid w:val="00042938"/>
    <w:rsid w:val="0004294E"/>
    <w:rsid w:val="00042CE4"/>
    <w:rsid w:val="00043141"/>
    <w:rsid w:val="00043232"/>
    <w:rsid w:val="000434E2"/>
    <w:rsid w:val="0004375D"/>
    <w:rsid w:val="00043BF8"/>
    <w:rsid w:val="00044042"/>
    <w:rsid w:val="00044E45"/>
    <w:rsid w:val="00044F27"/>
    <w:rsid w:val="00045054"/>
    <w:rsid w:val="00045062"/>
    <w:rsid w:val="00045131"/>
    <w:rsid w:val="00045791"/>
    <w:rsid w:val="00045B1A"/>
    <w:rsid w:val="00045D77"/>
    <w:rsid w:val="00046672"/>
    <w:rsid w:val="0004677E"/>
    <w:rsid w:val="00046A0D"/>
    <w:rsid w:val="00046D09"/>
    <w:rsid w:val="00047052"/>
    <w:rsid w:val="00047100"/>
    <w:rsid w:val="000473E0"/>
    <w:rsid w:val="00047408"/>
    <w:rsid w:val="00047C0D"/>
    <w:rsid w:val="00047D7D"/>
    <w:rsid w:val="00047E90"/>
    <w:rsid w:val="0005019E"/>
    <w:rsid w:val="00050206"/>
    <w:rsid w:val="000502E1"/>
    <w:rsid w:val="000503B1"/>
    <w:rsid w:val="0005096D"/>
    <w:rsid w:val="0005117A"/>
    <w:rsid w:val="000514BD"/>
    <w:rsid w:val="00051884"/>
    <w:rsid w:val="00051A74"/>
    <w:rsid w:val="00051FFD"/>
    <w:rsid w:val="000521F9"/>
    <w:rsid w:val="00052727"/>
    <w:rsid w:val="00052970"/>
    <w:rsid w:val="0005301B"/>
    <w:rsid w:val="00053036"/>
    <w:rsid w:val="0005313B"/>
    <w:rsid w:val="00053FD3"/>
    <w:rsid w:val="0005440F"/>
    <w:rsid w:val="00054637"/>
    <w:rsid w:val="0005497C"/>
    <w:rsid w:val="00055589"/>
    <w:rsid w:val="000556B5"/>
    <w:rsid w:val="00055846"/>
    <w:rsid w:val="00055E00"/>
    <w:rsid w:val="00055E23"/>
    <w:rsid w:val="000562D2"/>
    <w:rsid w:val="00056561"/>
    <w:rsid w:val="00056C95"/>
    <w:rsid w:val="000574A3"/>
    <w:rsid w:val="0005764F"/>
    <w:rsid w:val="0005787C"/>
    <w:rsid w:val="00057F28"/>
    <w:rsid w:val="00060352"/>
    <w:rsid w:val="00060426"/>
    <w:rsid w:val="00060797"/>
    <w:rsid w:val="0006079A"/>
    <w:rsid w:val="000608DB"/>
    <w:rsid w:val="00061273"/>
    <w:rsid w:val="000613B1"/>
    <w:rsid w:val="00061A75"/>
    <w:rsid w:val="00061CF4"/>
    <w:rsid w:val="00062A32"/>
    <w:rsid w:val="00062B33"/>
    <w:rsid w:val="0006337A"/>
    <w:rsid w:val="00063581"/>
    <w:rsid w:val="000637A3"/>
    <w:rsid w:val="00063B12"/>
    <w:rsid w:val="00063F46"/>
    <w:rsid w:val="00064A01"/>
    <w:rsid w:val="00064ABF"/>
    <w:rsid w:val="00064F54"/>
    <w:rsid w:val="000650D6"/>
    <w:rsid w:val="00065104"/>
    <w:rsid w:val="00065505"/>
    <w:rsid w:val="0006563A"/>
    <w:rsid w:val="000658FB"/>
    <w:rsid w:val="00065929"/>
    <w:rsid w:val="000659FE"/>
    <w:rsid w:val="00065D48"/>
    <w:rsid w:val="00065D8C"/>
    <w:rsid w:val="00065F7D"/>
    <w:rsid w:val="0006606A"/>
    <w:rsid w:val="000666D8"/>
    <w:rsid w:val="00066A2E"/>
    <w:rsid w:val="00066F22"/>
    <w:rsid w:val="000670B3"/>
    <w:rsid w:val="000676BE"/>
    <w:rsid w:val="000700EA"/>
    <w:rsid w:val="00070920"/>
    <w:rsid w:val="00070933"/>
    <w:rsid w:val="00070A75"/>
    <w:rsid w:val="00070C8B"/>
    <w:rsid w:val="00070E73"/>
    <w:rsid w:val="00070EB3"/>
    <w:rsid w:val="000711F1"/>
    <w:rsid w:val="00071327"/>
    <w:rsid w:val="000722FA"/>
    <w:rsid w:val="00072389"/>
    <w:rsid w:val="00072E14"/>
    <w:rsid w:val="00073034"/>
    <w:rsid w:val="00073413"/>
    <w:rsid w:val="00073D7E"/>
    <w:rsid w:val="00073F78"/>
    <w:rsid w:val="00074904"/>
    <w:rsid w:val="00074BB5"/>
    <w:rsid w:val="00075291"/>
    <w:rsid w:val="00075316"/>
    <w:rsid w:val="0007547A"/>
    <w:rsid w:val="00075592"/>
    <w:rsid w:val="00075802"/>
    <w:rsid w:val="0007599F"/>
    <w:rsid w:val="00075BC7"/>
    <w:rsid w:val="00076018"/>
    <w:rsid w:val="000761BE"/>
    <w:rsid w:val="00076237"/>
    <w:rsid w:val="000764F0"/>
    <w:rsid w:val="0007667B"/>
    <w:rsid w:val="000766A1"/>
    <w:rsid w:val="00076980"/>
    <w:rsid w:val="00076D9A"/>
    <w:rsid w:val="00076E6B"/>
    <w:rsid w:val="0007710F"/>
    <w:rsid w:val="00077247"/>
    <w:rsid w:val="00077501"/>
    <w:rsid w:val="000779BB"/>
    <w:rsid w:val="00077A28"/>
    <w:rsid w:val="00080264"/>
    <w:rsid w:val="000806B6"/>
    <w:rsid w:val="000807FB"/>
    <w:rsid w:val="000808F0"/>
    <w:rsid w:val="00081387"/>
    <w:rsid w:val="000815C4"/>
    <w:rsid w:val="00081722"/>
    <w:rsid w:val="000821A3"/>
    <w:rsid w:val="00082606"/>
    <w:rsid w:val="000826F5"/>
    <w:rsid w:val="00082E59"/>
    <w:rsid w:val="00082EEF"/>
    <w:rsid w:val="00083DCC"/>
    <w:rsid w:val="00083E12"/>
    <w:rsid w:val="000843D6"/>
    <w:rsid w:val="00084C6C"/>
    <w:rsid w:val="000856AB"/>
    <w:rsid w:val="00085E97"/>
    <w:rsid w:val="00085ED4"/>
    <w:rsid w:val="0008608B"/>
    <w:rsid w:val="000862D4"/>
    <w:rsid w:val="00086362"/>
    <w:rsid w:val="000864FB"/>
    <w:rsid w:val="00086800"/>
    <w:rsid w:val="0008685F"/>
    <w:rsid w:val="00086B32"/>
    <w:rsid w:val="0008705F"/>
    <w:rsid w:val="0008794B"/>
    <w:rsid w:val="00087C51"/>
    <w:rsid w:val="00087D63"/>
    <w:rsid w:val="000908FB"/>
    <w:rsid w:val="000909B2"/>
    <w:rsid w:val="00090AB1"/>
    <w:rsid w:val="00090F43"/>
    <w:rsid w:val="00090FFA"/>
    <w:rsid w:val="000911A3"/>
    <w:rsid w:val="00091B06"/>
    <w:rsid w:val="00091C56"/>
    <w:rsid w:val="00092021"/>
    <w:rsid w:val="000920E2"/>
    <w:rsid w:val="00092364"/>
    <w:rsid w:val="00092DB7"/>
    <w:rsid w:val="00092FF7"/>
    <w:rsid w:val="00093415"/>
    <w:rsid w:val="000936B5"/>
    <w:rsid w:val="00093D5A"/>
    <w:rsid w:val="00093EA8"/>
    <w:rsid w:val="0009401A"/>
    <w:rsid w:val="00094136"/>
    <w:rsid w:val="000942D3"/>
    <w:rsid w:val="000942FA"/>
    <w:rsid w:val="000945A7"/>
    <w:rsid w:val="000945B3"/>
    <w:rsid w:val="000945F2"/>
    <w:rsid w:val="000948A3"/>
    <w:rsid w:val="000948F9"/>
    <w:rsid w:val="0009493F"/>
    <w:rsid w:val="0009494B"/>
    <w:rsid w:val="00094AF8"/>
    <w:rsid w:val="00095825"/>
    <w:rsid w:val="0009668B"/>
    <w:rsid w:val="00096C6C"/>
    <w:rsid w:val="00096CC9"/>
    <w:rsid w:val="00096D5E"/>
    <w:rsid w:val="00097017"/>
    <w:rsid w:val="000970F2"/>
    <w:rsid w:val="0009767D"/>
    <w:rsid w:val="000A0067"/>
    <w:rsid w:val="000A02C0"/>
    <w:rsid w:val="000A0531"/>
    <w:rsid w:val="000A0917"/>
    <w:rsid w:val="000A0CF8"/>
    <w:rsid w:val="000A0D1E"/>
    <w:rsid w:val="000A0FE6"/>
    <w:rsid w:val="000A10AB"/>
    <w:rsid w:val="000A117B"/>
    <w:rsid w:val="000A11C2"/>
    <w:rsid w:val="000A125D"/>
    <w:rsid w:val="000A141E"/>
    <w:rsid w:val="000A1686"/>
    <w:rsid w:val="000A1B21"/>
    <w:rsid w:val="000A1D3A"/>
    <w:rsid w:val="000A2049"/>
    <w:rsid w:val="000A2412"/>
    <w:rsid w:val="000A26F1"/>
    <w:rsid w:val="000A305D"/>
    <w:rsid w:val="000A309A"/>
    <w:rsid w:val="000A362C"/>
    <w:rsid w:val="000A373D"/>
    <w:rsid w:val="000A3A23"/>
    <w:rsid w:val="000A3BF0"/>
    <w:rsid w:val="000A457F"/>
    <w:rsid w:val="000A45CF"/>
    <w:rsid w:val="000A4899"/>
    <w:rsid w:val="000A574A"/>
    <w:rsid w:val="000A59AB"/>
    <w:rsid w:val="000A5CA4"/>
    <w:rsid w:val="000A62B6"/>
    <w:rsid w:val="000A63E1"/>
    <w:rsid w:val="000A6BEE"/>
    <w:rsid w:val="000A6C6F"/>
    <w:rsid w:val="000A755A"/>
    <w:rsid w:val="000A772E"/>
    <w:rsid w:val="000A7D18"/>
    <w:rsid w:val="000B0496"/>
    <w:rsid w:val="000B0FED"/>
    <w:rsid w:val="000B1AC3"/>
    <w:rsid w:val="000B1F0F"/>
    <w:rsid w:val="000B2515"/>
    <w:rsid w:val="000B2B68"/>
    <w:rsid w:val="000B2EE9"/>
    <w:rsid w:val="000B305D"/>
    <w:rsid w:val="000B3257"/>
    <w:rsid w:val="000B3607"/>
    <w:rsid w:val="000B37B0"/>
    <w:rsid w:val="000B37DB"/>
    <w:rsid w:val="000B38AC"/>
    <w:rsid w:val="000B39BC"/>
    <w:rsid w:val="000B3F7A"/>
    <w:rsid w:val="000B402F"/>
    <w:rsid w:val="000B41FF"/>
    <w:rsid w:val="000B4415"/>
    <w:rsid w:val="000B47AA"/>
    <w:rsid w:val="000B4BDF"/>
    <w:rsid w:val="000B53A1"/>
    <w:rsid w:val="000B5486"/>
    <w:rsid w:val="000B5650"/>
    <w:rsid w:val="000B5693"/>
    <w:rsid w:val="000B5A8E"/>
    <w:rsid w:val="000B5C3B"/>
    <w:rsid w:val="000B5D8C"/>
    <w:rsid w:val="000B5E4C"/>
    <w:rsid w:val="000B64E0"/>
    <w:rsid w:val="000B6697"/>
    <w:rsid w:val="000B726B"/>
    <w:rsid w:val="000B72E9"/>
    <w:rsid w:val="000B7443"/>
    <w:rsid w:val="000B7B49"/>
    <w:rsid w:val="000C0A43"/>
    <w:rsid w:val="000C0AF1"/>
    <w:rsid w:val="000C0C2B"/>
    <w:rsid w:val="000C0E3D"/>
    <w:rsid w:val="000C1597"/>
    <w:rsid w:val="000C163E"/>
    <w:rsid w:val="000C1726"/>
    <w:rsid w:val="000C17D8"/>
    <w:rsid w:val="000C20A2"/>
    <w:rsid w:val="000C2598"/>
    <w:rsid w:val="000C293E"/>
    <w:rsid w:val="000C2A8D"/>
    <w:rsid w:val="000C2AC8"/>
    <w:rsid w:val="000C2B63"/>
    <w:rsid w:val="000C2C50"/>
    <w:rsid w:val="000C2DB1"/>
    <w:rsid w:val="000C2F2C"/>
    <w:rsid w:val="000C308A"/>
    <w:rsid w:val="000C312A"/>
    <w:rsid w:val="000C33D5"/>
    <w:rsid w:val="000C38B2"/>
    <w:rsid w:val="000C3A8B"/>
    <w:rsid w:val="000C4234"/>
    <w:rsid w:val="000C46D7"/>
    <w:rsid w:val="000C4E0E"/>
    <w:rsid w:val="000C51B5"/>
    <w:rsid w:val="000C51BD"/>
    <w:rsid w:val="000C52C2"/>
    <w:rsid w:val="000C53D5"/>
    <w:rsid w:val="000C55B4"/>
    <w:rsid w:val="000C5BB4"/>
    <w:rsid w:val="000C5CC3"/>
    <w:rsid w:val="000C5E3E"/>
    <w:rsid w:val="000C60EF"/>
    <w:rsid w:val="000C6856"/>
    <w:rsid w:val="000C6B11"/>
    <w:rsid w:val="000C6BE5"/>
    <w:rsid w:val="000C702F"/>
    <w:rsid w:val="000C74BF"/>
    <w:rsid w:val="000C7A02"/>
    <w:rsid w:val="000D0077"/>
    <w:rsid w:val="000D00D2"/>
    <w:rsid w:val="000D021D"/>
    <w:rsid w:val="000D02CC"/>
    <w:rsid w:val="000D06D9"/>
    <w:rsid w:val="000D09C6"/>
    <w:rsid w:val="000D0A3B"/>
    <w:rsid w:val="000D0C23"/>
    <w:rsid w:val="000D0D39"/>
    <w:rsid w:val="000D109A"/>
    <w:rsid w:val="000D121A"/>
    <w:rsid w:val="000D135A"/>
    <w:rsid w:val="000D1751"/>
    <w:rsid w:val="000D1BAA"/>
    <w:rsid w:val="000D2301"/>
    <w:rsid w:val="000D2536"/>
    <w:rsid w:val="000D2590"/>
    <w:rsid w:val="000D2856"/>
    <w:rsid w:val="000D2B89"/>
    <w:rsid w:val="000D2CD7"/>
    <w:rsid w:val="000D305E"/>
    <w:rsid w:val="000D3BC7"/>
    <w:rsid w:val="000D4018"/>
    <w:rsid w:val="000D4C30"/>
    <w:rsid w:val="000D4C37"/>
    <w:rsid w:val="000D4C9E"/>
    <w:rsid w:val="000D504B"/>
    <w:rsid w:val="000D508B"/>
    <w:rsid w:val="000D5520"/>
    <w:rsid w:val="000D5CAD"/>
    <w:rsid w:val="000D5E96"/>
    <w:rsid w:val="000D6882"/>
    <w:rsid w:val="000D74C7"/>
    <w:rsid w:val="000E050F"/>
    <w:rsid w:val="000E0799"/>
    <w:rsid w:val="000E084F"/>
    <w:rsid w:val="000E0AE3"/>
    <w:rsid w:val="000E0C12"/>
    <w:rsid w:val="000E0DFF"/>
    <w:rsid w:val="000E0FE1"/>
    <w:rsid w:val="000E17CA"/>
    <w:rsid w:val="000E1A49"/>
    <w:rsid w:val="000E229F"/>
    <w:rsid w:val="000E2E97"/>
    <w:rsid w:val="000E2F2C"/>
    <w:rsid w:val="000E31D0"/>
    <w:rsid w:val="000E347B"/>
    <w:rsid w:val="000E368A"/>
    <w:rsid w:val="000E36FB"/>
    <w:rsid w:val="000E3A6D"/>
    <w:rsid w:val="000E3DE9"/>
    <w:rsid w:val="000E4293"/>
    <w:rsid w:val="000E441A"/>
    <w:rsid w:val="000E454D"/>
    <w:rsid w:val="000E46DE"/>
    <w:rsid w:val="000E48F1"/>
    <w:rsid w:val="000E4B91"/>
    <w:rsid w:val="000E4EB6"/>
    <w:rsid w:val="000E52DB"/>
    <w:rsid w:val="000E5419"/>
    <w:rsid w:val="000E55D5"/>
    <w:rsid w:val="000E583F"/>
    <w:rsid w:val="000E5A63"/>
    <w:rsid w:val="000E5AA3"/>
    <w:rsid w:val="000E5C12"/>
    <w:rsid w:val="000E5C8D"/>
    <w:rsid w:val="000E5D1D"/>
    <w:rsid w:val="000E5D1F"/>
    <w:rsid w:val="000E5E85"/>
    <w:rsid w:val="000E6167"/>
    <w:rsid w:val="000E656F"/>
    <w:rsid w:val="000E6C66"/>
    <w:rsid w:val="000E6F91"/>
    <w:rsid w:val="000E704D"/>
    <w:rsid w:val="000E729C"/>
    <w:rsid w:val="000E7444"/>
    <w:rsid w:val="000E7AB4"/>
    <w:rsid w:val="000E7CA8"/>
    <w:rsid w:val="000E7F90"/>
    <w:rsid w:val="000E7FA3"/>
    <w:rsid w:val="000F0128"/>
    <w:rsid w:val="000F0252"/>
    <w:rsid w:val="000F06A0"/>
    <w:rsid w:val="000F0D91"/>
    <w:rsid w:val="000F0DBD"/>
    <w:rsid w:val="000F0E26"/>
    <w:rsid w:val="000F1101"/>
    <w:rsid w:val="000F1414"/>
    <w:rsid w:val="000F1726"/>
    <w:rsid w:val="000F2067"/>
    <w:rsid w:val="000F2089"/>
    <w:rsid w:val="000F217F"/>
    <w:rsid w:val="000F2448"/>
    <w:rsid w:val="000F2D00"/>
    <w:rsid w:val="000F30B7"/>
    <w:rsid w:val="000F31A8"/>
    <w:rsid w:val="000F3339"/>
    <w:rsid w:val="000F355B"/>
    <w:rsid w:val="000F38D4"/>
    <w:rsid w:val="000F3A2F"/>
    <w:rsid w:val="000F3E44"/>
    <w:rsid w:val="000F42B8"/>
    <w:rsid w:val="000F450F"/>
    <w:rsid w:val="000F454A"/>
    <w:rsid w:val="000F4702"/>
    <w:rsid w:val="000F48BF"/>
    <w:rsid w:val="000F4E27"/>
    <w:rsid w:val="000F520F"/>
    <w:rsid w:val="000F55E7"/>
    <w:rsid w:val="000F5E33"/>
    <w:rsid w:val="000F65EB"/>
    <w:rsid w:val="000F6C1B"/>
    <w:rsid w:val="000F6FD4"/>
    <w:rsid w:val="000F705F"/>
    <w:rsid w:val="000F760E"/>
    <w:rsid w:val="000F7753"/>
    <w:rsid w:val="001002B3"/>
    <w:rsid w:val="001002D9"/>
    <w:rsid w:val="001007A8"/>
    <w:rsid w:val="00100C9F"/>
    <w:rsid w:val="00100D75"/>
    <w:rsid w:val="001013C1"/>
    <w:rsid w:val="001013F9"/>
    <w:rsid w:val="00101D0D"/>
    <w:rsid w:val="00101D55"/>
    <w:rsid w:val="00101E04"/>
    <w:rsid w:val="00101F31"/>
    <w:rsid w:val="00102174"/>
    <w:rsid w:val="00102470"/>
    <w:rsid w:val="00102E71"/>
    <w:rsid w:val="001037E7"/>
    <w:rsid w:val="00103B47"/>
    <w:rsid w:val="00104023"/>
    <w:rsid w:val="0010425C"/>
    <w:rsid w:val="001043B8"/>
    <w:rsid w:val="00104BE0"/>
    <w:rsid w:val="00104F78"/>
    <w:rsid w:val="001050E0"/>
    <w:rsid w:val="00105133"/>
    <w:rsid w:val="0010521C"/>
    <w:rsid w:val="00105474"/>
    <w:rsid w:val="001056B2"/>
    <w:rsid w:val="00105953"/>
    <w:rsid w:val="00105C3C"/>
    <w:rsid w:val="00105CE1"/>
    <w:rsid w:val="00105D3E"/>
    <w:rsid w:val="00106045"/>
    <w:rsid w:val="001069A9"/>
    <w:rsid w:val="00106FB1"/>
    <w:rsid w:val="00106FBD"/>
    <w:rsid w:val="00107358"/>
    <w:rsid w:val="001078AB"/>
    <w:rsid w:val="00107C81"/>
    <w:rsid w:val="0011006A"/>
    <w:rsid w:val="00110074"/>
    <w:rsid w:val="0011052E"/>
    <w:rsid w:val="00110B21"/>
    <w:rsid w:val="00110BA3"/>
    <w:rsid w:val="00110C36"/>
    <w:rsid w:val="0011140D"/>
    <w:rsid w:val="001115AD"/>
    <w:rsid w:val="001115E6"/>
    <w:rsid w:val="00111915"/>
    <w:rsid w:val="00111A5E"/>
    <w:rsid w:val="00111D4B"/>
    <w:rsid w:val="00111E7A"/>
    <w:rsid w:val="00111E92"/>
    <w:rsid w:val="001120C0"/>
    <w:rsid w:val="0011230B"/>
    <w:rsid w:val="001127C3"/>
    <w:rsid w:val="00112876"/>
    <w:rsid w:val="00112A8A"/>
    <w:rsid w:val="00112F4F"/>
    <w:rsid w:val="00113028"/>
    <w:rsid w:val="0011304F"/>
    <w:rsid w:val="001134DD"/>
    <w:rsid w:val="001137E9"/>
    <w:rsid w:val="001139B7"/>
    <w:rsid w:val="00113A3C"/>
    <w:rsid w:val="00113E5B"/>
    <w:rsid w:val="001140B5"/>
    <w:rsid w:val="0011443D"/>
    <w:rsid w:val="00114486"/>
    <w:rsid w:val="00114516"/>
    <w:rsid w:val="00114694"/>
    <w:rsid w:val="00114803"/>
    <w:rsid w:val="001148C4"/>
    <w:rsid w:val="00114BA0"/>
    <w:rsid w:val="00114C36"/>
    <w:rsid w:val="00115392"/>
    <w:rsid w:val="0011543B"/>
    <w:rsid w:val="00115AE9"/>
    <w:rsid w:val="00115EA1"/>
    <w:rsid w:val="0011603D"/>
    <w:rsid w:val="0011628B"/>
    <w:rsid w:val="0011647D"/>
    <w:rsid w:val="0011659E"/>
    <w:rsid w:val="001166B1"/>
    <w:rsid w:val="00116B8B"/>
    <w:rsid w:val="0011734A"/>
    <w:rsid w:val="001176A4"/>
    <w:rsid w:val="00117C31"/>
    <w:rsid w:val="00120899"/>
    <w:rsid w:val="00120C56"/>
    <w:rsid w:val="00120DB4"/>
    <w:rsid w:val="00120FCD"/>
    <w:rsid w:val="0012116F"/>
    <w:rsid w:val="0012141D"/>
    <w:rsid w:val="001215DC"/>
    <w:rsid w:val="001218A7"/>
    <w:rsid w:val="001219BF"/>
    <w:rsid w:val="00121D97"/>
    <w:rsid w:val="001221D7"/>
    <w:rsid w:val="0012226D"/>
    <w:rsid w:val="001222DD"/>
    <w:rsid w:val="001225EA"/>
    <w:rsid w:val="0012283C"/>
    <w:rsid w:val="00122868"/>
    <w:rsid w:val="001229B3"/>
    <w:rsid w:val="00122D43"/>
    <w:rsid w:val="00122EB8"/>
    <w:rsid w:val="001235F4"/>
    <w:rsid w:val="00123787"/>
    <w:rsid w:val="0012408D"/>
    <w:rsid w:val="00124521"/>
    <w:rsid w:val="00124673"/>
    <w:rsid w:val="00124678"/>
    <w:rsid w:val="0012469D"/>
    <w:rsid w:val="00124B5D"/>
    <w:rsid w:val="00124D96"/>
    <w:rsid w:val="00125123"/>
    <w:rsid w:val="001258B8"/>
    <w:rsid w:val="001258D0"/>
    <w:rsid w:val="00125C38"/>
    <w:rsid w:val="00125DC6"/>
    <w:rsid w:val="00125DE1"/>
    <w:rsid w:val="0012612E"/>
    <w:rsid w:val="00126295"/>
    <w:rsid w:val="00126591"/>
    <w:rsid w:val="001268D5"/>
    <w:rsid w:val="00126C0A"/>
    <w:rsid w:val="001279F2"/>
    <w:rsid w:val="001279FA"/>
    <w:rsid w:val="00127BB0"/>
    <w:rsid w:val="00127FEF"/>
    <w:rsid w:val="001302E2"/>
    <w:rsid w:val="0013060E"/>
    <w:rsid w:val="0013088D"/>
    <w:rsid w:val="00130C7A"/>
    <w:rsid w:val="00130CDB"/>
    <w:rsid w:val="001311FF"/>
    <w:rsid w:val="00131280"/>
    <w:rsid w:val="00131461"/>
    <w:rsid w:val="001316DA"/>
    <w:rsid w:val="00131B61"/>
    <w:rsid w:val="00131FA7"/>
    <w:rsid w:val="00131FD6"/>
    <w:rsid w:val="00132A7D"/>
    <w:rsid w:val="001335C6"/>
    <w:rsid w:val="0013392C"/>
    <w:rsid w:val="00133BDA"/>
    <w:rsid w:val="00133F96"/>
    <w:rsid w:val="00134493"/>
    <w:rsid w:val="001344BD"/>
    <w:rsid w:val="001345C9"/>
    <w:rsid w:val="001347E3"/>
    <w:rsid w:val="00134858"/>
    <w:rsid w:val="00134906"/>
    <w:rsid w:val="00134DF3"/>
    <w:rsid w:val="00135056"/>
    <w:rsid w:val="00135099"/>
    <w:rsid w:val="001351F6"/>
    <w:rsid w:val="001355DE"/>
    <w:rsid w:val="00135FC6"/>
    <w:rsid w:val="001361DE"/>
    <w:rsid w:val="00136C9C"/>
    <w:rsid w:val="00137052"/>
    <w:rsid w:val="00137125"/>
    <w:rsid w:val="00137502"/>
    <w:rsid w:val="0013752E"/>
    <w:rsid w:val="00137ACB"/>
    <w:rsid w:val="00137C59"/>
    <w:rsid w:val="0014075D"/>
    <w:rsid w:val="0014130C"/>
    <w:rsid w:val="00141343"/>
    <w:rsid w:val="0014182C"/>
    <w:rsid w:val="00141959"/>
    <w:rsid w:val="00141CCF"/>
    <w:rsid w:val="00141E7D"/>
    <w:rsid w:val="0014205D"/>
    <w:rsid w:val="00142238"/>
    <w:rsid w:val="001424F4"/>
    <w:rsid w:val="00142CDD"/>
    <w:rsid w:val="00142E0B"/>
    <w:rsid w:val="00142F2E"/>
    <w:rsid w:val="001430E8"/>
    <w:rsid w:val="00143189"/>
    <w:rsid w:val="001436D5"/>
    <w:rsid w:val="00143BC8"/>
    <w:rsid w:val="00143C86"/>
    <w:rsid w:val="00143CA7"/>
    <w:rsid w:val="00143FF3"/>
    <w:rsid w:val="001440DF"/>
    <w:rsid w:val="001441B1"/>
    <w:rsid w:val="001446C0"/>
    <w:rsid w:val="00144977"/>
    <w:rsid w:val="00144A65"/>
    <w:rsid w:val="00144BA6"/>
    <w:rsid w:val="00144C46"/>
    <w:rsid w:val="00144DB1"/>
    <w:rsid w:val="0014502D"/>
    <w:rsid w:val="00145263"/>
    <w:rsid w:val="00145B62"/>
    <w:rsid w:val="00145E30"/>
    <w:rsid w:val="00146185"/>
    <w:rsid w:val="0014618C"/>
    <w:rsid w:val="001465C0"/>
    <w:rsid w:val="001466DF"/>
    <w:rsid w:val="00147247"/>
    <w:rsid w:val="001473F6"/>
    <w:rsid w:val="00147858"/>
    <w:rsid w:val="00147906"/>
    <w:rsid w:val="00147E3E"/>
    <w:rsid w:val="001503A7"/>
    <w:rsid w:val="001505E6"/>
    <w:rsid w:val="001507EC"/>
    <w:rsid w:val="00150C09"/>
    <w:rsid w:val="00150CBE"/>
    <w:rsid w:val="00151006"/>
    <w:rsid w:val="001510CF"/>
    <w:rsid w:val="0015117A"/>
    <w:rsid w:val="0015123B"/>
    <w:rsid w:val="00151243"/>
    <w:rsid w:val="0015129D"/>
    <w:rsid w:val="001514D2"/>
    <w:rsid w:val="001515A6"/>
    <w:rsid w:val="001518CD"/>
    <w:rsid w:val="00151B9A"/>
    <w:rsid w:val="00151FEF"/>
    <w:rsid w:val="001520DF"/>
    <w:rsid w:val="001525F5"/>
    <w:rsid w:val="001528BB"/>
    <w:rsid w:val="00152BD7"/>
    <w:rsid w:val="00152C33"/>
    <w:rsid w:val="00152C8B"/>
    <w:rsid w:val="00152F65"/>
    <w:rsid w:val="0015363A"/>
    <w:rsid w:val="001536F2"/>
    <w:rsid w:val="001538A0"/>
    <w:rsid w:val="00153ADB"/>
    <w:rsid w:val="00154336"/>
    <w:rsid w:val="00154396"/>
    <w:rsid w:val="0015454E"/>
    <w:rsid w:val="00154665"/>
    <w:rsid w:val="00154FB4"/>
    <w:rsid w:val="00155013"/>
    <w:rsid w:val="00155047"/>
    <w:rsid w:val="001557BB"/>
    <w:rsid w:val="00155A8F"/>
    <w:rsid w:val="00156132"/>
    <w:rsid w:val="00156179"/>
    <w:rsid w:val="0015647E"/>
    <w:rsid w:val="001565FF"/>
    <w:rsid w:val="0015695F"/>
    <w:rsid w:val="00156CFC"/>
    <w:rsid w:val="001573AE"/>
    <w:rsid w:val="0015768D"/>
    <w:rsid w:val="0015784C"/>
    <w:rsid w:val="00157B7F"/>
    <w:rsid w:val="00157B9B"/>
    <w:rsid w:val="00157C74"/>
    <w:rsid w:val="00157C90"/>
    <w:rsid w:val="00157E87"/>
    <w:rsid w:val="00157EEF"/>
    <w:rsid w:val="00160289"/>
    <w:rsid w:val="00160569"/>
    <w:rsid w:val="00160A1E"/>
    <w:rsid w:val="00160AC6"/>
    <w:rsid w:val="00160FF4"/>
    <w:rsid w:val="001610BD"/>
    <w:rsid w:val="00161B4E"/>
    <w:rsid w:val="00161F03"/>
    <w:rsid w:val="00161FF3"/>
    <w:rsid w:val="001620DE"/>
    <w:rsid w:val="001621D6"/>
    <w:rsid w:val="0016257E"/>
    <w:rsid w:val="001628F1"/>
    <w:rsid w:val="00162961"/>
    <w:rsid w:val="001630CA"/>
    <w:rsid w:val="00163710"/>
    <w:rsid w:val="0016382A"/>
    <w:rsid w:val="00163863"/>
    <w:rsid w:val="001638EF"/>
    <w:rsid w:val="00163941"/>
    <w:rsid w:val="00163A0B"/>
    <w:rsid w:val="0016404E"/>
    <w:rsid w:val="001642AD"/>
    <w:rsid w:val="001645EB"/>
    <w:rsid w:val="001645F4"/>
    <w:rsid w:val="001647C0"/>
    <w:rsid w:val="00164DAD"/>
    <w:rsid w:val="001652FC"/>
    <w:rsid w:val="001658D8"/>
    <w:rsid w:val="00165FF0"/>
    <w:rsid w:val="00166006"/>
    <w:rsid w:val="001660BF"/>
    <w:rsid w:val="001665A1"/>
    <w:rsid w:val="001666E3"/>
    <w:rsid w:val="001668BE"/>
    <w:rsid w:val="00166929"/>
    <w:rsid w:val="00166A6F"/>
    <w:rsid w:val="00166C8F"/>
    <w:rsid w:val="001670CC"/>
    <w:rsid w:val="00167317"/>
    <w:rsid w:val="00167810"/>
    <w:rsid w:val="00167AE1"/>
    <w:rsid w:val="00167EE2"/>
    <w:rsid w:val="00170065"/>
    <w:rsid w:val="00170371"/>
    <w:rsid w:val="001703CC"/>
    <w:rsid w:val="0017044A"/>
    <w:rsid w:val="0017077A"/>
    <w:rsid w:val="00170D66"/>
    <w:rsid w:val="00170DC6"/>
    <w:rsid w:val="00170E4C"/>
    <w:rsid w:val="00171027"/>
    <w:rsid w:val="001713F0"/>
    <w:rsid w:val="00171405"/>
    <w:rsid w:val="001716CC"/>
    <w:rsid w:val="0017177B"/>
    <w:rsid w:val="00171C68"/>
    <w:rsid w:val="00172395"/>
    <w:rsid w:val="001726EE"/>
    <w:rsid w:val="001727CE"/>
    <w:rsid w:val="00172880"/>
    <w:rsid w:val="00172D42"/>
    <w:rsid w:val="00172EBC"/>
    <w:rsid w:val="0017351A"/>
    <w:rsid w:val="00173860"/>
    <w:rsid w:val="00173DE5"/>
    <w:rsid w:val="00173E69"/>
    <w:rsid w:val="00173EE0"/>
    <w:rsid w:val="001740EC"/>
    <w:rsid w:val="00174310"/>
    <w:rsid w:val="0017437A"/>
    <w:rsid w:val="00174A45"/>
    <w:rsid w:val="00174BE8"/>
    <w:rsid w:val="00175140"/>
    <w:rsid w:val="00175288"/>
    <w:rsid w:val="001752AF"/>
    <w:rsid w:val="00175387"/>
    <w:rsid w:val="001755B7"/>
    <w:rsid w:val="00175895"/>
    <w:rsid w:val="00175D53"/>
    <w:rsid w:val="00175EB5"/>
    <w:rsid w:val="00176674"/>
    <w:rsid w:val="00176B14"/>
    <w:rsid w:val="001770A5"/>
    <w:rsid w:val="001777F9"/>
    <w:rsid w:val="00177A45"/>
    <w:rsid w:val="00177AFE"/>
    <w:rsid w:val="00177DC9"/>
    <w:rsid w:val="00177DCE"/>
    <w:rsid w:val="001803BA"/>
    <w:rsid w:val="001806C0"/>
    <w:rsid w:val="001812CE"/>
    <w:rsid w:val="0018185B"/>
    <w:rsid w:val="001819CB"/>
    <w:rsid w:val="00181CB6"/>
    <w:rsid w:val="001822D2"/>
    <w:rsid w:val="001823D1"/>
    <w:rsid w:val="00182769"/>
    <w:rsid w:val="001827A8"/>
    <w:rsid w:val="001827C2"/>
    <w:rsid w:val="001829EF"/>
    <w:rsid w:val="00182E2C"/>
    <w:rsid w:val="00183312"/>
    <w:rsid w:val="00183536"/>
    <w:rsid w:val="00183AA2"/>
    <w:rsid w:val="00184037"/>
    <w:rsid w:val="001841E8"/>
    <w:rsid w:val="001846A9"/>
    <w:rsid w:val="00185072"/>
    <w:rsid w:val="001856F9"/>
    <w:rsid w:val="00185787"/>
    <w:rsid w:val="0018593B"/>
    <w:rsid w:val="00185A2E"/>
    <w:rsid w:val="00185DF1"/>
    <w:rsid w:val="001863DF"/>
    <w:rsid w:val="00186415"/>
    <w:rsid w:val="00186622"/>
    <w:rsid w:val="00186BC2"/>
    <w:rsid w:val="00186E6F"/>
    <w:rsid w:val="001870C7"/>
    <w:rsid w:val="00187ABF"/>
    <w:rsid w:val="00187E2C"/>
    <w:rsid w:val="0018CACA"/>
    <w:rsid w:val="001903EE"/>
    <w:rsid w:val="00190488"/>
    <w:rsid w:val="00190709"/>
    <w:rsid w:val="00190E97"/>
    <w:rsid w:val="00190F45"/>
    <w:rsid w:val="00190FD5"/>
    <w:rsid w:val="00191639"/>
    <w:rsid w:val="001916A6"/>
    <w:rsid w:val="00191998"/>
    <w:rsid w:val="00191D97"/>
    <w:rsid w:val="00191DE6"/>
    <w:rsid w:val="00191E0F"/>
    <w:rsid w:val="00192507"/>
    <w:rsid w:val="001926F8"/>
    <w:rsid w:val="001929D5"/>
    <w:rsid w:val="00192E32"/>
    <w:rsid w:val="00192EE4"/>
    <w:rsid w:val="001931E0"/>
    <w:rsid w:val="0019325F"/>
    <w:rsid w:val="00193BEB"/>
    <w:rsid w:val="001942AF"/>
    <w:rsid w:val="00194B65"/>
    <w:rsid w:val="00194FE8"/>
    <w:rsid w:val="001952F5"/>
    <w:rsid w:val="00195305"/>
    <w:rsid w:val="00195BFC"/>
    <w:rsid w:val="00195E59"/>
    <w:rsid w:val="00196663"/>
    <w:rsid w:val="00196820"/>
    <w:rsid w:val="00196871"/>
    <w:rsid w:val="001976EC"/>
    <w:rsid w:val="00197C38"/>
    <w:rsid w:val="00197E25"/>
    <w:rsid w:val="00197F6B"/>
    <w:rsid w:val="001A02E3"/>
    <w:rsid w:val="001A0478"/>
    <w:rsid w:val="001A06A5"/>
    <w:rsid w:val="001A06CD"/>
    <w:rsid w:val="001A09DB"/>
    <w:rsid w:val="001A0D21"/>
    <w:rsid w:val="001A0E02"/>
    <w:rsid w:val="001A10E5"/>
    <w:rsid w:val="001A1506"/>
    <w:rsid w:val="001A1764"/>
    <w:rsid w:val="001A1BE8"/>
    <w:rsid w:val="001A1DF7"/>
    <w:rsid w:val="001A213D"/>
    <w:rsid w:val="001A21D9"/>
    <w:rsid w:val="001A23E5"/>
    <w:rsid w:val="001A29DA"/>
    <w:rsid w:val="001A2CDE"/>
    <w:rsid w:val="001A2F54"/>
    <w:rsid w:val="001A3294"/>
    <w:rsid w:val="001A32D6"/>
    <w:rsid w:val="001A392D"/>
    <w:rsid w:val="001A3C1D"/>
    <w:rsid w:val="001A3F7D"/>
    <w:rsid w:val="001A433E"/>
    <w:rsid w:val="001A4406"/>
    <w:rsid w:val="001A4484"/>
    <w:rsid w:val="001A448D"/>
    <w:rsid w:val="001A4757"/>
    <w:rsid w:val="001A47EA"/>
    <w:rsid w:val="001A4DDF"/>
    <w:rsid w:val="001A5987"/>
    <w:rsid w:val="001A5BF3"/>
    <w:rsid w:val="001A5D7C"/>
    <w:rsid w:val="001A5D97"/>
    <w:rsid w:val="001A5E96"/>
    <w:rsid w:val="001A5F6F"/>
    <w:rsid w:val="001A6313"/>
    <w:rsid w:val="001A642B"/>
    <w:rsid w:val="001A64D1"/>
    <w:rsid w:val="001A651C"/>
    <w:rsid w:val="001A66A8"/>
    <w:rsid w:val="001A67E7"/>
    <w:rsid w:val="001A6A56"/>
    <w:rsid w:val="001A6E10"/>
    <w:rsid w:val="001A7096"/>
    <w:rsid w:val="001A735F"/>
    <w:rsid w:val="001A73D8"/>
    <w:rsid w:val="001A7662"/>
    <w:rsid w:val="001A7672"/>
    <w:rsid w:val="001A7B11"/>
    <w:rsid w:val="001A7C52"/>
    <w:rsid w:val="001B0048"/>
    <w:rsid w:val="001B017B"/>
    <w:rsid w:val="001B0210"/>
    <w:rsid w:val="001B0720"/>
    <w:rsid w:val="001B073F"/>
    <w:rsid w:val="001B084D"/>
    <w:rsid w:val="001B0C8D"/>
    <w:rsid w:val="001B0FAD"/>
    <w:rsid w:val="001B1166"/>
    <w:rsid w:val="001B1561"/>
    <w:rsid w:val="001B1B1D"/>
    <w:rsid w:val="001B21BC"/>
    <w:rsid w:val="001B2241"/>
    <w:rsid w:val="001B26E0"/>
    <w:rsid w:val="001B28DC"/>
    <w:rsid w:val="001B37DC"/>
    <w:rsid w:val="001B37EC"/>
    <w:rsid w:val="001B3A44"/>
    <w:rsid w:val="001B3B26"/>
    <w:rsid w:val="001B426F"/>
    <w:rsid w:val="001B4B42"/>
    <w:rsid w:val="001B4DC6"/>
    <w:rsid w:val="001B518C"/>
    <w:rsid w:val="001B5305"/>
    <w:rsid w:val="001B55A0"/>
    <w:rsid w:val="001B562B"/>
    <w:rsid w:val="001B5793"/>
    <w:rsid w:val="001B5B51"/>
    <w:rsid w:val="001B5E61"/>
    <w:rsid w:val="001B62E9"/>
    <w:rsid w:val="001B6707"/>
    <w:rsid w:val="001B6BC3"/>
    <w:rsid w:val="001B712A"/>
    <w:rsid w:val="001B7673"/>
    <w:rsid w:val="001B7E8E"/>
    <w:rsid w:val="001B7F2C"/>
    <w:rsid w:val="001C000F"/>
    <w:rsid w:val="001C00B8"/>
    <w:rsid w:val="001C0255"/>
    <w:rsid w:val="001C02DF"/>
    <w:rsid w:val="001C0369"/>
    <w:rsid w:val="001C0389"/>
    <w:rsid w:val="001C04D5"/>
    <w:rsid w:val="001C0992"/>
    <w:rsid w:val="001C0F11"/>
    <w:rsid w:val="001C1132"/>
    <w:rsid w:val="001C117A"/>
    <w:rsid w:val="001C1408"/>
    <w:rsid w:val="001C1959"/>
    <w:rsid w:val="001C1ABF"/>
    <w:rsid w:val="001C1D8B"/>
    <w:rsid w:val="001C1E2E"/>
    <w:rsid w:val="001C1E44"/>
    <w:rsid w:val="001C2193"/>
    <w:rsid w:val="001C22AF"/>
    <w:rsid w:val="001C2531"/>
    <w:rsid w:val="001C29F1"/>
    <w:rsid w:val="001C29F7"/>
    <w:rsid w:val="001C2B0D"/>
    <w:rsid w:val="001C2D76"/>
    <w:rsid w:val="001C3408"/>
    <w:rsid w:val="001C356C"/>
    <w:rsid w:val="001C3623"/>
    <w:rsid w:val="001C3706"/>
    <w:rsid w:val="001C391F"/>
    <w:rsid w:val="001C43D0"/>
    <w:rsid w:val="001C46E0"/>
    <w:rsid w:val="001C4A9E"/>
    <w:rsid w:val="001C4ACA"/>
    <w:rsid w:val="001C4D59"/>
    <w:rsid w:val="001C51BA"/>
    <w:rsid w:val="001C520E"/>
    <w:rsid w:val="001C5554"/>
    <w:rsid w:val="001C591A"/>
    <w:rsid w:val="001C5A46"/>
    <w:rsid w:val="001C5B0E"/>
    <w:rsid w:val="001C5EBA"/>
    <w:rsid w:val="001C6192"/>
    <w:rsid w:val="001C683B"/>
    <w:rsid w:val="001C6AD8"/>
    <w:rsid w:val="001C7025"/>
    <w:rsid w:val="001C7094"/>
    <w:rsid w:val="001C7680"/>
    <w:rsid w:val="001C775E"/>
    <w:rsid w:val="001C7CB5"/>
    <w:rsid w:val="001C7DA0"/>
    <w:rsid w:val="001C7FA6"/>
    <w:rsid w:val="001D03DE"/>
    <w:rsid w:val="001D0A92"/>
    <w:rsid w:val="001D0ABB"/>
    <w:rsid w:val="001D0B7F"/>
    <w:rsid w:val="001D0B87"/>
    <w:rsid w:val="001D0CE0"/>
    <w:rsid w:val="001D0EBD"/>
    <w:rsid w:val="001D0F41"/>
    <w:rsid w:val="001D15F1"/>
    <w:rsid w:val="001D18ED"/>
    <w:rsid w:val="001D1993"/>
    <w:rsid w:val="001D22AF"/>
    <w:rsid w:val="001D2AFA"/>
    <w:rsid w:val="001D315E"/>
    <w:rsid w:val="001D3E12"/>
    <w:rsid w:val="001D47E4"/>
    <w:rsid w:val="001D4804"/>
    <w:rsid w:val="001D4898"/>
    <w:rsid w:val="001D4D9E"/>
    <w:rsid w:val="001D506D"/>
    <w:rsid w:val="001D596F"/>
    <w:rsid w:val="001D619F"/>
    <w:rsid w:val="001D66AF"/>
    <w:rsid w:val="001D68CE"/>
    <w:rsid w:val="001D6A4F"/>
    <w:rsid w:val="001D7264"/>
    <w:rsid w:val="001D751B"/>
    <w:rsid w:val="001D7937"/>
    <w:rsid w:val="001D7CE9"/>
    <w:rsid w:val="001E03CB"/>
    <w:rsid w:val="001E0A64"/>
    <w:rsid w:val="001E0AB7"/>
    <w:rsid w:val="001E0CF0"/>
    <w:rsid w:val="001E0D03"/>
    <w:rsid w:val="001E0DF5"/>
    <w:rsid w:val="001E0E40"/>
    <w:rsid w:val="001E0F2D"/>
    <w:rsid w:val="001E108D"/>
    <w:rsid w:val="001E1166"/>
    <w:rsid w:val="001E1D02"/>
    <w:rsid w:val="001E1F85"/>
    <w:rsid w:val="001E2418"/>
    <w:rsid w:val="001E2625"/>
    <w:rsid w:val="001E280B"/>
    <w:rsid w:val="001E2884"/>
    <w:rsid w:val="001E328E"/>
    <w:rsid w:val="001E3379"/>
    <w:rsid w:val="001E3392"/>
    <w:rsid w:val="001E3762"/>
    <w:rsid w:val="001E3ACA"/>
    <w:rsid w:val="001E3AFD"/>
    <w:rsid w:val="001E3B12"/>
    <w:rsid w:val="001E3C47"/>
    <w:rsid w:val="001E3DD6"/>
    <w:rsid w:val="001E3E3C"/>
    <w:rsid w:val="001E3E54"/>
    <w:rsid w:val="001E3F3D"/>
    <w:rsid w:val="001E43D9"/>
    <w:rsid w:val="001E4BD2"/>
    <w:rsid w:val="001E4C8D"/>
    <w:rsid w:val="001E4D60"/>
    <w:rsid w:val="001E4E70"/>
    <w:rsid w:val="001E514C"/>
    <w:rsid w:val="001E5870"/>
    <w:rsid w:val="001E5CED"/>
    <w:rsid w:val="001E5EEB"/>
    <w:rsid w:val="001E63A3"/>
    <w:rsid w:val="001E63BB"/>
    <w:rsid w:val="001E6546"/>
    <w:rsid w:val="001E6E9C"/>
    <w:rsid w:val="001E7504"/>
    <w:rsid w:val="001E7659"/>
    <w:rsid w:val="001E7AC3"/>
    <w:rsid w:val="001E7D26"/>
    <w:rsid w:val="001F02C9"/>
    <w:rsid w:val="001F05DB"/>
    <w:rsid w:val="001F0AB6"/>
    <w:rsid w:val="001F0D14"/>
    <w:rsid w:val="001F0D57"/>
    <w:rsid w:val="001F1487"/>
    <w:rsid w:val="001F1AC8"/>
    <w:rsid w:val="001F1DEB"/>
    <w:rsid w:val="001F1FB0"/>
    <w:rsid w:val="001F1FEE"/>
    <w:rsid w:val="001F218F"/>
    <w:rsid w:val="001F2264"/>
    <w:rsid w:val="001F283A"/>
    <w:rsid w:val="001F2A15"/>
    <w:rsid w:val="001F2FC1"/>
    <w:rsid w:val="001F309E"/>
    <w:rsid w:val="001F3276"/>
    <w:rsid w:val="001F3449"/>
    <w:rsid w:val="001F443C"/>
    <w:rsid w:val="001F48D7"/>
    <w:rsid w:val="001F4D2F"/>
    <w:rsid w:val="001F4E69"/>
    <w:rsid w:val="001F501D"/>
    <w:rsid w:val="001F5093"/>
    <w:rsid w:val="001F5300"/>
    <w:rsid w:val="001F5AB9"/>
    <w:rsid w:val="001F5DE5"/>
    <w:rsid w:val="001F617E"/>
    <w:rsid w:val="001F6461"/>
    <w:rsid w:val="001F6839"/>
    <w:rsid w:val="001F6A6A"/>
    <w:rsid w:val="001F6D2B"/>
    <w:rsid w:val="001F6E4E"/>
    <w:rsid w:val="001F6F43"/>
    <w:rsid w:val="001F75B4"/>
    <w:rsid w:val="001F7AB2"/>
    <w:rsid w:val="001F7BB3"/>
    <w:rsid w:val="001F7C0D"/>
    <w:rsid w:val="00200185"/>
    <w:rsid w:val="0020018B"/>
    <w:rsid w:val="00200336"/>
    <w:rsid w:val="002008A6"/>
    <w:rsid w:val="00200968"/>
    <w:rsid w:val="00200B00"/>
    <w:rsid w:val="0020102A"/>
    <w:rsid w:val="002016EB"/>
    <w:rsid w:val="00201739"/>
    <w:rsid w:val="002019E3"/>
    <w:rsid w:val="00201C8D"/>
    <w:rsid w:val="00202296"/>
    <w:rsid w:val="002023A2"/>
    <w:rsid w:val="002028A0"/>
    <w:rsid w:val="002029A8"/>
    <w:rsid w:val="00202A77"/>
    <w:rsid w:val="00202E98"/>
    <w:rsid w:val="00203661"/>
    <w:rsid w:val="00203E42"/>
    <w:rsid w:val="00203F7E"/>
    <w:rsid w:val="00204633"/>
    <w:rsid w:val="00204788"/>
    <w:rsid w:val="00204860"/>
    <w:rsid w:val="00204E35"/>
    <w:rsid w:val="00205093"/>
    <w:rsid w:val="002054D2"/>
    <w:rsid w:val="00205DFF"/>
    <w:rsid w:val="00205FFA"/>
    <w:rsid w:val="00206189"/>
    <w:rsid w:val="002064E8"/>
    <w:rsid w:val="0020653F"/>
    <w:rsid w:val="002065F8"/>
    <w:rsid w:val="00206E57"/>
    <w:rsid w:val="002071E0"/>
    <w:rsid w:val="002074BE"/>
    <w:rsid w:val="00207851"/>
    <w:rsid w:val="00210538"/>
    <w:rsid w:val="0021091C"/>
    <w:rsid w:val="00211054"/>
    <w:rsid w:val="00211958"/>
    <w:rsid w:val="00211B60"/>
    <w:rsid w:val="002126AB"/>
    <w:rsid w:val="002128D0"/>
    <w:rsid w:val="00212F65"/>
    <w:rsid w:val="00212FF6"/>
    <w:rsid w:val="002135EE"/>
    <w:rsid w:val="002143A9"/>
    <w:rsid w:val="002147C7"/>
    <w:rsid w:val="00214B7E"/>
    <w:rsid w:val="00214F6C"/>
    <w:rsid w:val="00214FE4"/>
    <w:rsid w:val="002151EC"/>
    <w:rsid w:val="00215367"/>
    <w:rsid w:val="00215B1A"/>
    <w:rsid w:val="00215DB5"/>
    <w:rsid w:val="00215F30"/>
    <w:rsid w:val="00215F35"/>
    <w:rsid w:val="00216B56"/>
    <w:rsid w:val="00216CBE"/>
    <w:rsid w:val="00216DF3"/>
    <w:rsid w:val="00216EF3"/>
    <w:rsid w:val="0021795E"/>
    <w:rsid w:val="00217A13"/>
    <w:rsid w:val="002200D3"/>
    <w:rsid w:val="0022030C"/>
    <w:rsid w:val="002203DC"/>
    <w:rsid w:val="00220493"/>
    <w:rsid w:val="00220872"/>
    <w:rsid w:val="00220C54"/>
    <w:rsid w:val="00220D5D"/>
    <w:rsid w:val="00221111"/>
    <w:rsid w:val="00221BF1"/>
    <w:rsid w:val="00222306"/>
    <w:rsid w:val="002224B8"/>
    <w:rsid w:val="00222644"/>
    <w:rsid w:val="002228C1"/>
    <w:rsid w:val="0022300D"/>
    <w:rsid w:val="002232CB"/>
    <w:rsid w:val="002233B1"/>
    <w:rsid w:val="00223958"/>
    <w:rsid w:val="00223AEE"/>
    <w:rsid w:val="00223C0B"/>
    <w:rsid w:val="002249A4"/>
    <w:rsid w:val="002251F6"/>
    <w:rsid w:val="00225219"/>
    <w:rsid w:val="0022551F"/>
    <w:rsid w:val="0022580D"/>
    <w:rsid w:val="00225C20"/>
    <w:rsid w:val="0022619E"/>
    <w:rsid w:val="00226828"/>
    <w:rsid w:val="00226B9C"/>
    <w:rsid w:val="00226C9F"/>
    <w:rsid w:val="00226E1F"/>
    <w:rsid w:val="002270AF"/>
    <w:rsid w:val="00227367"/>
    <w:rsid w:val="00227596"/>
    <w:rsid w:val="00227C57"/>
    <w:rsid w:val="0022B8AB"/>
    <w:rsid w:val="00230173"/>
    <w:rsid w:val="00230BDB"/>
    <w:rsid w:val="00230E50"/>
    <w:rsid w:val="00231005"/>
    <w:rsid w:val="00231217"/>
    <w:rsid w:val="0023195F"/>
    <w:rsid w:val="00231A97"/>
    <w:rsid w:val="00231CB3"/>
    <w:rsid w:val="002329AC"/>
    <w:rsid w:val="00232C7C"/>
    <w:rsid w:val="00232E96"/>
    <w:rsid w:val="00233534"/>
    <w:rsid w:val="002335B8"/>
    <w:rsid w:val="0023381A"/>
    <w:rsid w:val="00233FD7"/>
    <w:rsid w:val="0023439F"/>
    <w:rsid w:val="00234805"/>
    <w:rsid w:val="00234917"/>
    <w:rsid w:val="00234B4D"/>
    <w:rsid w:val="00234E71"/>
    <w:rsid w:val="00234EC9"/>
    <w:rsid w:val="002354FC"/>
    <w:rsid w:val="00235850"/>
    <w:rsid w:val="00235D15"/>
    <w:rsid w:val="00235E11"/>
    <w:rsid w:val="00235FB5"/>
    <w:rsid w:val="0023675B"/>
    <w:rsid w:val="002368EA"/>
    <w:rsid w:val="00236A8B"/>
    <w:rsid w:val="00237169"/>
    <w:rsid w:val="002371A3"/>
    <w:rsid w:val="002374D2"/>
    <w:rsid w:val="00237652"/>
    <w:rsid w:val="002378EB"/>
    <w:rsid w:val="002407AF"/>
    <w:rsid w:val="00240AC5"/>
    <w:rsid w:val="00240F71"/>
    <w:rsid w:val="002410E8"/>
    <w:rsid w:val="00241171"/>
    <w:rsid w:val="00241509"/>
    <w:rsid w:val="00241837"/>
    <w:rsid w:val="00241DC8"/>
    <w:rsid w:val="00241E17"/>
    <w:rsid w:val="00241E30"/>
    <w:rsid w:val="00242351"/>
    <w:rsid w:val="002425F5"/>
    <w:rsid w:val="00242C3F"/>
    <w:rsid w:val="00242E3D"/>
    <w:rsid w:val="00242F21"/>
    <w:rsid w:val="00242F43"/>
    <w:rsid w:val="00242F62"/>
    <w:rsid w:val="002431BE"/>
    <w:rsid w:val="00243318"/>
    <w:rsid w:val="00243606"/>
    <w:rsid w:val="00243911"/>
    <w:rsid w:val="00243A24"/>
    <w:rsid w:val="00243D2F"/>
    <w:rsid w:val="00243D72"/>
    <w:rsid w:val="00243EA8"/>
    <w:rsid w:val="00244DBF"/>
    <w:rsid w:val="00245019"/>
    <w:rsid w:val="002455F6"/>
    <w:rsid w:val="002459B1"/>
    <w:rsid w:val="00245FFB"/>
    <w:rsid w:val="002460E1"/>
    <w:rsid w:val="0024642C"/>
    <w:rsid w:val="00246911"/>
    <w:rsid w:val="002470BF"/>
    <w:rsid w:val="0024733D"/>
    <w:rsid w:val="00247373"/>
    <w:rsid w:val="0024789C"/>
    <w:rsid w:val="0025005D"/>
    <w:rsid w:val="00250B1A"/>
    <w:rsid w:val="00250DE4"/>
    <w:rsid w:val="00250F31"/>
    <w:rsid w:val="0025143D"/>
    <w:rsid w:val="00251BFA"/>
    <w:rsid w:val="00251F66"/>
    <w:rsid w:val="00252382"/>
    <w:rsid w:val="00252E33"/>
    <w:rsid w:val="0025300A"/>
    <w:rsid w:val="002533F1"/>
    <w:rsid w:val="0025387B"/>
    <w:rsid w:val="00253DAB"/>
    <w:rsid w:val="00254D50"/>
    <w:rsid w:val="00254D77"/>
    <w:rsid w:val="00255064"/>
    <w:rsid w:val="00255175"/>
    <w:rsid w:val="00255214"/>
    <w:rsid w:val="00255240"/>
    <w:rsid w:val="0025535D"/>
    <w:rsid w:val="00255468"/>
    <w:rsid w:val="00255629"/>
    <w:rsid w:val="00255838"/>
    <w:rsid w:val="00255AE6"/>
    <w:rsid w:val="00255C14"/>
    <w:rsid w:val="002561B9"/>
    <w:rsid w:val="00256226"/>
    <w:rsid w:val="00256D88"/>
    <w:rsid w:val="00257187"/>
    <w:rsid w:val="002574BF"/>
    <w:rsid w:val="00257DD2"/>
    <w:rsid w:val="00257DF8"/>
    <w:rsid w:val="002603DC"/>
    <w:rsid w:val="002608AC"/>
    <w:rsid w:val="00260A04"/>
    <w:rsid w:val="00260D19"/>
    <w:rsid w:val="00260D1C"/>
    <w:rsid w:val="00261091"/>
    <w:rsid w:val="002611B6"/>
    <w:rsid w:val="002611BE"/>
    <w:rsid w:val="0026121F"/>
    <w:rsid w:val="00261334"/>
    <w:rsid w:val="00261C71"/>
    <w:rsid w:val="00261DB8"/>
    <w:rsid w:val="002624E9"/>
    <w:rsid w:val="002625CE"/>
    <w:rsid w:val="00262742"/>
    <w:rsid w:val="00262AC8"/>
    <w:rsid w:val="00262CD0"/>
    <w:rsid w:val="00262CD7"/>
    <w:rsid w:val="00262E52"/>
    <w:rsid w:val="00263311"/>
    <w:rsid w:val="002637A9"/>
    <w:rsid w:val="0026383A"/>
    <w:rsid w:val="00264020"/>
    <w:rsid w:val="00264883"/>
    <w:rsid w:val="00264900"/>
    <w:rsid w:val="002651DB"/>
    <w:rsid w:val="0026534C"/>
    <w:rsid w:val="002656F1"/>
    <w:rsid w:val="002657A5"/>
    <w:rsid w:val="00265816"/>
    <w:rsid w:val="00265AF3"/>
    <w:rsid w:val="00265B24"/>
    <w:rsid w:val="00265E0E"/>
    <w:rsid w:val="0026625B"/>
    <w:rsid w:val="0026653F"/>
    <w:rsid w:val="002666CA"/>
    <w:rsid w:val="00266A2C"/>
    <w:rsid w:val="00267050"/>
    <w:rsid w:val="002670FB"/>
    <w:rsid w:val="002673C7"/>
    <w:rsid w:val="00267AD1"/>
    <w:rsid w:val="00267E8C"/>
    <w:rsid w:val="00267F8C"/>
    <w:rsid w:val="002701F8"/>
    <w:rsid w:val="00270299"/>
    <w:rsid w:val="002709EC"/>
    <w:rsid w:val="00270A76"/>
    <w:rsid w:val="00270AEC"/>
    <w:rsid w:val="00270B01"/>
    <w:rsid w:val="00271260"/>
    <w:rsid w:val="002714FF"/>
    <w:rsid w:val="00271681"/>
    <w:rsid w:val="002718A7"/>
    <w:rsid w:val="002719EB"/>
    <w:rsid w:val="00271B5E"/>
    <w:rsid w:val="00271DFC"/>
    <w:rsid w:val="00271E51"/>
    <w:rsid w:val="0027209A"/>
    <w:rsid w:val="00272140"/>
    <w:rsid w:val="00272478"/>
    <w:rsid w:val="00272B0B"/>
    <w:rsid w:val="00272BFE"/>
    <w:rsid w:val="00272FB0"/>
    <w:rsid w:val="0027320A"/>
    <w:rsid w:val="00273A5A"/>
    <w:rsid w:val="00273AEE"/>
    <w:rsid w:val="00273CDE"/>
    <w:rsid w:val="0027416B"/>
    <w:rsid w:val="002741EF"/>
    <w:rsid w:val="002742F8"/>
    <w:rsid w:val="002743C0"/>
    <w:rsid w:val="00274682"/>
    <w:rsid w:val="002746DE"/>
    <w:rsid w:val="0027482D"/>
    <w:rsid w:val="002749DF"/>
    <w:rsid w:val="00274D6F"/>
    <w:rsid w:val="00274DA9"/>
    <w:rsid w:val="00274E60"/>
    <w:rsid w:val="002751A4"/>
    <w:rsid w:val="00275259"/>
    <w:rsid w:val="00275331"/>
    <w:rsid w:val="002753C7"/>
    <w:rsid w:val="00275546"/>
    <w:rsid w:val="002755A9"/>
    <w:rsid w:val="002758C3"/>
    <w:rsid w:val="00275B67"/>
    <w:rsid w:val="00276548"/>
    <w:rsid w:val="00276735"/>
    <w:rsid w:val="00276B22"/>
    <w:rsid w:val="00276B6A"/>
    <w:rsid w:val="00276C95"/>
    <w:rsid w:val="002770C5"/>
    <w:rsid w:val="002770D0"/>
    <w:rsid w:val="0027793C"/>
    <w:rsid w:val="00277ADF"/>
    <w:rsid w:val="00277E13"/>
    <w:rsid w:val="00280094"/>
    <w:rsid w:val="0028096D"/>
    <w:rsid w:val="00280B4F"/>
    <w:rsid w:val="00280CB9"/>
    <w:rsid w:val="00280DBD"/>
    <w:rsid w:val="002811C2"/>
    <w:rsid w:val="00281415"/>
    <w:rsid w:val="0028169A"/>
    <w:rsid w:val="00281818"/>
    <w:rsid w:val="0028183D"/>
    <w:rsid w:val="00281849"/>
    <w:rsid w:val="002819C9"/>
    <w:rsid w:val="00281BF6"/>
    <w:rsid w:val="00281F03"/>
    <w:rsid w:val="00282276"/>
    <w:rsid w:val="0028249A"/>
    <w:rsid w:val="00282595"/>
    <w:rsid w:val="0028265F"/>
    <w:rsid w:val="0028275B"/>
    <w:rsid w:val="00282787"/>
    <w:rsid w:val="002828F3"/>
    <w:rsid w:val="00282ACC"/>
    <w:rsid w:val="00282D4C"/>
    <w:rsid w:val="00283614"/>
    <w:rsid w:val="00283BFA"/>
    <w:rsid w:val="00283D7F"/>
    <w:rsid w:val="00283DBB"/>
    <w:rsid w:val="002845C8"/>
    <w:rsid w:val="002845DC"/>
    <w:rsid w:val="0028464C"/>
    <w:rsid w:val="002850A4"/>
    <w:rsid w:val="0028540D"/>
    <w:rsid w:val="002858E3"/>
    <w:rsid w:val="00285900"/>
    <w:rsid w:val="00285B56"/>
    <w:rsid w:val="00285E24"/>
    <w:rsid w:val="002862DB"/>
    <w:rsid w:val="0028673F"/>
    <w:rsid w:val="002868A9"/>
    <w:rsid w:val="00286DFA"/>
    <w:rsid w:val="0028730D"/>
    <w:rsid w:val="0028731B"/>
    <w:rsid w:val="00287457"/>
    <w:rsid w:val="002876BD"/>
    <w:rsid w:val="002879D0"/>
    <w:rsid w:val="0029007F"/>
    <w:rsid w:val="002900B8"/>
    <w:rsid w:val="00290919"/>
    <w:rsid w:val="00290BCE"/>
    <w:rsid w:val="00290D1E"/>
    <w:rsid w:val="00290FB6"/>
    <w:rsid w:val="00291099"/>
    <w:rsid w:val="00291260"/>
    <w:rsid w:val="00291595"/>
    <w:rsid w:val="00291774"/>
    <w:rsid w:val="002917E0"/>
    <w:rsid w:val="002917F2"/>
    <w:rsid w:val="002918F7"/>
    <w:rsid w:val="00291DBE"/>
    <w:rsid w:val="002920AF"/>
    <w:rsid w:val="002922C3"/>
    <w:rsid w:val="002925F4"/>
    <w:rsid w:val="002927ED"/>
    <w:rsid w:val="00292906"/>
    <w:rsid w:val="00292973"/>
    <w:rsid w:val="00292B92"/>
    <w:rsid w:val="002931D1"/>
    <w:rsid w:val="00294142"/>
    <w:rsid w:val="0029456B"/>
    <w:rsid w:val="00294C41"/>
    <w:rsid w:val="00294E79"/>
    <w:rsid w:val="002950C4"/>
    <w:rsid w:val="002952FB"/>
    <w:rsid w:val="0029578A"/>
    <w:rsid w:val="002958ED"/>
    <w:rsid w:val="00295BB0"/>
    <w:rsid w:val="00295F79"/>
    <w:rsid w:val="00296524"/>
    <w:rsid w:val="00296558"/>
    <w:rsid w:val="00296A5C"/>
    <w:rsid w:val="00296E48"/>
    <w:rsid w:val="0029701C"/>
    <w:rsid w:val="00297308"/>
    <w:rsid w:val="00297A6C"/>
    <w:rsid w:val="00297BCD"/>
    <w:rsid w:val="002A01D0"/>
    <w:rsid w:val="002A031A"/>
    <w:rsid w:val="002A0445"/>
    <w:rsid w:val="002A0481"/>
    <w:rsid w:val="002A057E"/>
    <w:rsid w:val="002A06D1"/>
    <w:rsid w:val="002A0952"/>
    <w:rsid w:val="002A0F68"/>
    <w:rsid w:val="002A19CE"/>
    <w:rsid w:val="002A1A33"/>
    <w:rsid w:val="002A1AD2"/>
    <w:rsid w:val="002A1B9E"/>
    <w:rsid w:val="002A1CB7"/>
    <w:rsid w:val="002A1D71"/>
    <w:rsid w:val="002A1E3E"/>
    <w:rsid w:val="002A230C"/>
    <w:rsid w:val="002A27FB"/>
    <w:rsid w:val="002A2B79"/>
    <w:rsid w:val="002A2B85"/>
    <w:rsid w:val="002A302A"/>
    <w:rsid w:val="002A30AC"/>
    <w:rsid w:val="002A328F"/>
    <w:rsid w:val="002A32E7"/>
    <w:rsid w:val="002A387D"/>
    <w:rsid w:val="002A3B3E"/>
    <w:rsid w:val="002A3D7E"/>
    <w:rsid w:val="002A3DA2"/>
    <w:rsid w:val="002A3DB5"/>
    <w:rsid w:val="002A3F73"/>
    <w:rsid w:val="002A4243"/>
    <w:rsid w:val="002A4280"/>
    <w:rsid w:val="002A42C8"/>
    <w:rsid w:val="002A451A"/>
    <w:rsid w:val="002A4D4B"/>
    <w:rsid w:val="002A5A1E"/>
    <w:rsid w:val="002A5F60"/>
    <w:rsid w:val="002A63E2"/>
    <w:rsid w:val="002A6593"/>
    <w:rsid w:val="002A6782"/>
    <w:rsid w:val="002A6A80"/>
    <w:rsid w:val="002A70E6"/>
    <w:rsid w:val="002A7273"/>
    <w:rsid w:val="002A7384"/>
    <w:rsid w:val="002A74AC"/>
    <w:rsid w:val="002B0093"/>
    <w:rsid w:val="002B02D1"/>
    <w:rsid w:val="002B0519"/>
    <w:rsid w:val="002B07F3"/>
    <w:rsid w:val="002B080E"/>
    <w:rsid w:val="002B100A"/>
    <w:rsid w:val="002B14C9"/>
    <w:rsid w:val="002B161E"/>
    <w:rsid w:val="002B1A2A"/>
    <w:rsid w:val="002B1BFA"/>
    <w:rsid w:val="002B1E00"/>
    <w:rsid w:val="002B20DC"/>
    <w:rsid w:val="002B212C"/>
    <w:rsid w:val="002B2381"/>
    <w:rsid w:val="002B2517"/>
    <w:rsid w:val="002B26A3"/>
    <w:rsid w:val="002B2D16"/>
    <w:rsid w:val="002B315F"/>
    <w:rsid w:val="002B352D"/>
    <w:rsid w:val="002B37CF"/>
    <w:rsid w:val="002B3C79"/>
    <w:rsid w:val="002B3CDB"/>
    <w:rsid w:val="002B3FB6"/>
    <w:rsid w:val="002B4251"/>
    <w:rsid w:val="002B4586"/>
    <w:rsid w:val="002B487F"/>
    <w:rsid w:val="002B48CD"/>
    <w:rsid w:val="002B4B11"/>
    <w:rsid w:val="002B4C4A"/>
    <w:rsid w:val="002B4FB3"/>
    <w:rsid w:val="002B596F"/>
    <w:rsid w:val="002B5C90"/>
    <w:rsid w:val="002B6142"/>
    <w:rsid w:val="002B6607"/>
    <w:rsid w:val="002B6A1C"/>
    <w:rsid w:val="002B6BFC"/>
    <w:rsid w:val="002B7698"/>
    <w:rsid w:val="002B7744"/>
    <w:rsid w:val="002B7BD1"/>
    <w:rsid w:val="002B7EEA"/>
    <w:rsid w:val="002C07A5"/>
    <w:rsid w:val="002C07D2"/>
    <w:rsid w:val="002C086E"/>
    <w:rsid w:val="002C0A27"/>
    <w:rsid w:val="002C0C06"/>
    <w:rsid w:val="002C1321"/>
    <w:rsid w:val="002C18C4"/>
    <w:rsid w:val="002C1EE4"/>
    <w:rsid w:val="002C1FBD"/>
    <w:rsid w:val="002C20BE"/>
    <w:rsid w:val="002C2839"/>
    <w:rsid w:val="002C2D8A"/>
    <w:rsid w:val="002C2D9C"/>
    <w:rsid w:val="002C3074"/>
    <w:rsid w:val="002C31DA"/>
    <w:rsid w:val="002C3711"/>
    <w:rsid w:val="002C37DC"/>
    <w:rsid w:val="002C3C1B"/>
    <w:rsid w:val="002C3D3F"/>
    <w:rsid w:val="002C4565"/>
    <w:rsid w:val="002C47CC"/>
    <w:rsid w:val="002C4C38"/>
    <w:rsid w:val="002C4C76"/>
    <w:rsid w:val="002C5180"/>
    <w:rsid w:val="002C553E"/>
    <w:rsid w:val="002C55E2"/>
    <w:rsid w:val="002C59FF"/>
    <w:rsid w:val="002C6BFF"/>
    <w:rsid w:val="002C6C13"/>
    <w:rsid w:val="002C6E76"/>
    <w:rsid w:val="002C7228"/>
    <w:rsid w:val="002C7436"/>
    <w:rsid w:val="002C7448"/>
    <w:rsid w:val="002C7589"/>
    <w:rsid w:val="002C7E2F"/>
    <w:rsid w:val="002D0201"/>
    <w:rsid w:val="002D02FE"/>
    <w:rsid w:val="002D0708"/>
    <w:rsid w:val="002D092D"/>
    <w:rsid w:val="002D0FFF"/>
    <w:rsid w:val="002D15BD"/>
    <w:rsid w:val="002D19C2"/>
    <w:rsid w:val="002D1CDB"/>
    <w:rsid w:val="002D1DB6"/>
    <w:rsid w:val="002D2421"/>
    <w:rsid w:val="002D24D8"/>
    <w:rsid w:val="002D2522"/>
    <w:rsid w:val="002D2634"/>
    <w:rsid w:val="002D26E8"/>
    <w:rsid w:val="002D281E"/>
    <w:rsid w:val="002D2961"/>
    <w:rsid w:val="002D2983"/>
    <w:rsid w:val="002D31CE"/>
    <w:rsid w:val="002D32FD"/>
    <w:rsid w:val="002D36D9"/>
    <w:rsid w:val="002D37BA"/>
    <w:rsid w:val="002D3EC0"/>
    <w:rsid w:val="002D4299"/>
    <w:rsid w:val="002D4A27"/>
    <w:rsid w:val="002D4C94"/>
    <w:rsid w:val="002D4CE1"/>
    <w:rsid w:val="002D4D0D"/>
    <w:rsid w:val="002D53BB"/>
    <w:rsid w:val="002D56FE"/>
    <w:rsid w:val="002D5797"/>
    <w:rsid w:val="002D5A49"/>
    <w:rsid w:val="002D5DD4"/>
    <w:rsid w:val="002D5EF2"/>
    <w:rsid w:val="002D63CB"/>
    <w:rsid w:val="002D640C"/>
    <w:rsid w:val="002D664B"/>
    <w:rsid w:val="002D6AFE"/>
    <w:rsid w:val="002D7157"/>
    <w:rsid w:val="002D76B7"/>
    <w:rsid w:val="002D76F9"/>
    <w:rsid w:val="002D7D11"/>
    <w:rsid w:val="002E0227"/>
    <w:rsid w:val="002E045A"/>
    <w:rsid w:val="002E1048"/>
    <w:rsid w:val="002E1242"/>
    <w:rsid w:val="002E1695"/>
    <w:rsid w:val="002E1B26"/>
    <w:rsid w:val="002E1BE3"/>
    <w:rsid w:val="002E1D34"/>
    <w:rsid w:val="002E20CD"/>
    <w:rsid w:val="002E2622"/>
    <w:rsid w:val="002E278F"/>
    <w:rsid w:val="002E2B0F"/>
    <w:rsid w:val="002E2CA6"/>
    <w:rsid w:val="002E3070"/>
    <w:rsid w:val="002E351B"/>
    <w:rsid w:val="002E359C"/>
    <w:rsid w:val="002E3C6B"/>
    <w:rsid w:val="002E3CC9"/>
    <w:rsid w:val="002E3EF5"/>
    <w:rsid w:val="002E3F3E"/>
    <w:rsid w:val="002E416F"/>
    <w:rsid w:val="002E4491"/>
    <w:rsid w:val="002E4556"/>
    <w:rsid w:val="002E4C10"/>
    <w:rsid w:val="002E5A07"/>
    <w:rsid w:val="002E5F62"/>
    <w:rsid w:val="002E5F8B"/>
    <w:rsid w:val="002E614C"/>
    <w:rsid w:val="002E618B"/>
    <w:rsid w:val="002E62E4"/>
    <w:rsid w:val="002E66D8"/>
    <w:rsid w:val="002E689F"/>
    <w:rsid w:val="002E6AEC"/>
    <w:rsid w:val="002E6C98"/>
    <w:rsid w:val="002E6D23"/>
    <w:rsid w:val="002E6EA0"/>
    <w:rsid w:val="002E6FD0"/>
    <w:rsid w:val="002E70BA"/>
    <w:rsid w:val="002E714F"/>
    <w:rsid w:val="002E72CA"/>
    <w:rsid w:val="002E7375"/>
    <w:rsid w:val="002E7966"/>
    <w:rsid w:val="002F0392"/>
    <w:rsid w:val="002F0C64"/>
    <w:rsid w:val="002F1082"/>
    <w:rsid w:val="002F1161"/>
    <w:rsid w:val="002F1779"/>
    <w:rsid w:val="002F17D6"/>
    <w:rsid w:val="002F1871"/>
    <w:rsid w:val="002F1897"/>
    <w:rsid w:val="002F1AE0"/>
    <w:rsid w:val="002F1C6F"/>
    <w:rsid w:val="002F1E59"/>
    <w:rsid w:val="002F2354"/>
    <w:rsid w:val="002F273A"/>
    <w:rsid w:val="002F2AA6"/>
    <w:rsid w:val="002F2B11"/>
    <w:rsid w:val="002F2BE3"/>
    <w:rsid w:val="002F3973"/>
    <w:rsid w:val="002F3B13"/>
    <w:rsid w:val="002F3BD4"/>
    <w:rsid w:val="002F3D52"/>
    <w:rsid w:val="002F44B6"/>
    <w:rsid w:val="002F5012"/>
    <w:rsid w:val="002F56FB"/>
    <w:rsid w:val="002F580E"/>
    <w:rsid w:val="002F58CE"/>
    <w:rsid w:val="002F5A6C"/>
    <w:rsid w:val="002F5C4A"/>
    <w:rsid w:val="002F5C5A"/>
    <w:rsid w:val="002F6856"/>
    <w:rsid w:val="002F72B7"/>
    <w:rsid w:val="002F7BC2"/>
    <w:rsid w:val="002F7E57"/>
    <w:rsid w:val="0030006A"/>
    <w:rsid w:val="00300460"/>
    <w:rsid w:val="00300720"/>
    <w:rsid w:val="0030081E"/>
    <w:rsid w:val="00300822"/>
    <w:rsid w:val="0030084E"/>
    <w:rsid w:val="00300A71"/>
    <w:rsid w:val="00300F68"/>
    <w:rsid w:val="003010B1"/>
    <w:rsid w:val="003014E4"/>
    <w:rsid w:val="00301724"/>
    <w:rsid w:val="003017C7"/>
    <w:rsid w:val="00301B17"/>
    <w:rsid w:val="00301E67"/>
    <w:rsid w:val="00301EBF"/>
    <w:rsid w:val="003022A9"/>
    <w:rsid w:val="0030243C"/>
    <w:rsid w:val="00302661"/>
    <w:rsid w:val="00302A33"/>
    <w:rsid w:val="00302BFC"/>
    <w:rsid w:val="00303954"/>
    <w:rsid w:val="003039B1"/>
    <w:rsid w:val="00303ADC"/>
    <w:rsid w:val="00303B6D"/>
    <w:rsid w:val="00303BB0"/>
    <w:rsid w:val="00303E19"/>
    <w:rsid w:val="00303F21"/>
    <w:rsid w:val="003042B7"/>
    <w:rsid w:val="00304A3A"/>
    <w:rsid w:val="00305FC4"/>
    <w:rsid w:val="00306138"/>
    <w:rsid w:val="00306171"/>
    <w:rsid w:val="003062A6"/>
    <w:rsid w:val="00306844"/>
    <w:rsid w:val="00306D62"/>
    <w:rsid w:val="00306E94"/>
    <w:rsid w:val="00307378"/>
    <w:rsid w:val="0030783A"/>
    <w:rsid w:val="00307BD2"/>
    <w:rsid w:val="00307C3A"/>
    <w:rsid w:val="00307EC6"/>
    <w:rsid w:val="003102DA"/>
    <w:rsid w:val="0031162D"/>
    <w:rsid w:val="0031168B"/>
    <w:rsid w:val="003118CC"/>
    <w:rsid w:val="003120E9"/>
    <w:rsid w:val="00312238"/>
    <w:rsid w:val="003125A5"/>
    <w:rsid w:val="003126C0"/>
    <w:rsid w:val="0031297F"/>
    <w:rsid w:val="003129B7"/>
    <w:rsid w:val="00313992"/>
    <w:rsid w:val="00313B26"/>
    <w:rsid w:val="00313CC5"/>
    <w:rsid w:val="00313E6D"/>
    <w:rsid w:val="00313F2C"/>
    <w:rsid w:val="00314266"/>
    <w:rsid w:val="00314556"/>
    <w:rsid w:val="003147B6"/>
    <w:rsid w:val="00315B8B"/>
    <w:rsid w:val="00315FF4"/>
    <w:rsid w:val="003160B8"/>
    <w:rsid w:val="00316181"/>
    <w:rsid w:val="00316230"/>
    <w:rsid w:val="00316970"/>
    <w:rsid w:val="00316DD1"/>
    <w:rsid w:val="00317EBE"/>
    <w:rsid w:val="003202BE"/>
    <w:rsid w:val="003206D2"/>
    <w:rsid w:val="0032085F"/>
    <w:rsid w:val="00320CC6"/>
    <w:rsid w:val="003215EE"/>
    <w:rsid w:val="00321868"/>
    <w:rsid w:val="00321B05"/>
    <w:rsid w:val="00321BC3"/>
    <w:rsid w:val="00321C36"/>
    <w:rsid w:val="00321CAE"/>
    <w:rsid w:val="00321D08"/>
    <w:rsid w:val="00321F02"/>
    <w:rsid w:val="00322019"/>
    <w:rsid w:val="0032206F"/>
    <w:rsid w:val="003220FD"/>
    <w:rsid w:val="003223E2"/>
    <w:rsid w:val="003225FF"/>
    <w:rsid w:val="0032269F"/>
    <w:rsid w:val="00322764"/>
    <w:rsid w:val="00322810"/>
    <w:rsid w:val="00322BBD"/>
    <w:rsid w:val="00322CED"/>
    <w:rsid w:val="0032356E"/>
    <w:rsid w:val="00323E66"/>
    <w:rsid w:val="00323F22"/>
    <w:rsid w:val="003241EB"/>
    <w:rsid w:val="0032441D"/>
    <w:rsid w:val="0032450A"/>
    <w:rsid w:val="00324715"/>
    <w:rsid w:val="0032480D"/>
    <w:rsid w:val="00324B2E"/>
    <w:rsid w:val="0032501B"/>
    <w:rsid w:val="003250F8"/>
    <w:rsid w:val="00325157"/>
    <w:rsid w:val="00325382"/>
    <w:rsid w:val="003255EA"/>
    <w:rsid w:val="00325955"/>
    <w:rsid w:val="003259CC"/>
    <w:rsid w:val="00325A69"/>
    <w:rsid w:val="00325BF0"/>
    <w:rsid w:val="003268F7"/>
    <w:rsid w:val="00326909"/>
    <w:rsid w:val="00326B6C"/>
    <w:rsid w:val="00326D4B"/>
    <w:rsid w:val="00327023"/>
    <w:rsid w:val="00327083"/>
    <w:rsid w:val="003272F5"/>
    <w:rsid w:val="0032735D"/>
    <w:rsid w:val="003273D2"/>
    <w:rsid w:val="00327404"/>
    <w:rsid w:val="003277A2"/>
    <w:rsid w:val="00327926"/>
    <w:rsid w:val="003279E3"/>
    <w:rsid w:val="00327FBC"/>
    <w:rsid w:val="0033000F"/>
    <w:rsid w:val="003304DA"/>
    <w:rsid w:val="003308DD"/>
    <w:rsid w:val="00330E18"/>
    <w:rsid w:val="0033161C"/>
    <w:rsid w:val="00331840"/>
    <w:rsid w:val="00331967"/>
    <w:rsid w:val="00331F3F"/>
    <w:rsid w:val="003320E4"/>
    <w:rsid w:val="00332137"/>
    <w:rsid w:val="00333308"/>
    <w:rsid w:val="00333460"/>
    <w:rsid w:val="0033352E"/>
    <w:rsid w:val="0033377B"/>
    <w:rsid w:val="0033392E"/>
    <w:rsid w:val="00333D9F"/>
    <w:rsid w:val="00333E08"/>
    <w:rsid w:val="00334229"/>
    <w:rsid w:val="003344C2"/>
    <w:rsid w:val="00335052"/>
    <w:rsid w:val="003351BF"/>
    <w:rsid w:val="00335558"/>
    <w:rsid w:val="003355A1"/>
    <w:rsid w:val="00335660"/>
    <w:rsid w:val="0033592F"/>
    <w:rsid w:val="00335B0C"/>
    <w:rsid w:val="003360FB"/>
    <w:rsid w:val="00336201"/>
    <w:rsid w:val="0033675C"/>
    <w:rsid w:val="00336834"/>
    <w:rsid w:val="00336B67"/>
    <w:rsid w:val="00336EB0"/>
    <w:rsid w:val="00336F1A"/>
    <w:rsid w:val="00337366"/>
    <w:rsid w:val="00337C1F"/>
    <w:rsid w:val="0034012F"/>
    <w:rsid w:val="00340226"/>
    <w:rsid w:val="0034088A"/>
    <w:rsid w:val="003409D9"/>
    <w:rsid w:val="00340DEB"/>
    <w:rsid w:val="00340E80"/>
    <w:rsid w:val="00341132"/>
    <w:rsid w:val="00341181"/>
    <w:rsid w:val="003413BA"/>
    <w:rsid w:val="003413D4"/>
    <w:rsid w:val="0034167B"/>
    <w:rsid w:val="0034178D"/>
    <w:rsid w:val="0034184D"/>
    <w:rsid w:val="0034196A"/>
    <w:rsid w:val="00341E36"/>
    <w:rsid w:val="0034227F"/>
    <w:rsid w:val="00342637"/>
    <w:rsid w:val="003428B0"/>
    <w:rsid w:val="00342DB0"/>
    <w:rsid w:val="003433A3"/>
    <w:rsid w:val="00343444"/>
    <w:rsid w:val="003435AC"/>
    <w:rsid w:val="003437C8"/>
    <w:rsid w:val="00343B79"/>
    <w:rsid w:val="00344017"/>
    <w:rsid w:val="0034413E"/>
    <w:rsid w:val="00344369"/>
    <w:rsid w:val="00344E27"/>
    <w:rsid w:val="003452EC"/>
    <w:rsid w:val="00345583"/>
    <w:rsid w:val="003457F3"/>
    <w:rsid w:val="00345DAC"/>
    <w:rsid w:val="00345F9E"/>
    <w:rsid w:val="00345FEB"/>
    <w:rsid w:val="0034603C"/>
    <w:rsid w:val="00346092"/>
    <w:rsid w:val="003461E7"/>
    <w:rsid w:val="003469BF"/>
    <w:rsid w:val="00346C53"/>
    <w:rsid w:val="00347125"/>
    <w:rsid w:val="00347477"/>
    <w:rsid w:val="00347B4E"/>
    <w:rsid w:val="00347D22"/>
    <w:rsid w:val="0035056E"/>
    <w:rsid w:val="00350756"/>
    <w:rsid w:val="00350987"/>
    <w:rsid w:val="003509B5"/>
    <w:rsid w:val="00350EBB"/>
    <w:rsid w:val="00350ECA"/>
    <w:rsid w:val="0035112D"/>
    <w:rsid w:val="0035135A"/>
    <w:rsid w:val="003513D1"/>
    <w:rsid w:val="00351498"/>
    <w:rsid w:val="00351682"/>
    <w:rsid w:val="00351A17"/>
    <w:rsid w:val="00351F8A"/>
    <w:rsid w:val="00351F90"/>
    <w:rsid w:val="00352A20"/>
    <w:rsid w:val="00352BB1"/>
    <w:rsid w:val="00352E5C"/>
    <w:rsid w:val="0035343F"/>
    <w:rsid w:val="003535F5"/>
    <w:rsid w:val="00353947"/>
    <w:rsid w:val="00353977"/>
    <w:rsid w:val="003539F4"/>
    <w:rsid w:val="00353DCF"/>
    <w:rsid w:val="00354829"/>
    <w:rsid w:val="00354A8B"/>
    <w:rsid w:val="00354CB0"/>
    <w:rsid w:val="003550FC"/>
    <w:rsid w:val="0035512D"/>
    <w:rsid w:val="003552F7"/>
    <w:rsid w:val="0035535D"/>
    <w:rsid w:val="0035571C"/>
    <w:rsid w:val="003558A3"/>
    <w:rsid w:val="00356153"/>
    <w:rsid w:val="00356154"/>
    <w:rsid w:val="003562A5"/>
    <w:rsid w:val="0035679D"/>
    <w:rsid w:val="003569EA"/>
    <w:rsid w:val="00356F72"/>
    <w:rsid w:val="0035701C"/>
    <w:rsid w:val="003571C6"/>
    <w:rsid w:val="003577F4"/>
    <w:rsid w:val="00357E41"/>
    <w:rsid w:val="00357E9D"/>
    <w:rsid w:val="00357EA6"/>
    <w:rsid w:val="00357F46"/>
    <w:rsid w:val="003604E6"/>
    <w:rsid w:val="0036057C"/>
    <w:rsid w:val="00360789"/>
    <w:rsid w:val="00360E91"/>
    <w:rsid w:val="00361289"/>
    <w:rsid w:val="0036158E"/>
    <w:rsid w:val="0036167F"/>
    <w:rsid w:val="00361758"/>
    <w:rsid w:val="00361D24"/>
    <w:rsid w:val="00361E57"/>
    <w:rsid w:val="00362133"/>
    <w:rsid w:val="00362201"/>
    <w:rsid w:val="00362BE0"/>
    <w:rsid w:val="00362C94"/>
    <w:rsid w:val="00362CB6"/>
    <w:rsid w:val="0036314B"/>
    <w:rsid w:val="003634BD"/>
    <w:rsid w:val="00363830"/>
    <w:rsid w:val="00363C4B"/>
    <w:rsid w:val="00363C9E"/>
    <w:rsid w:val="0036403C"/>
    <w:rsid w:val="00364B9E"/>
    <w:rsid w:val="00364C4A"/>
    <w:rsid w:val="003656C9"/>
    <w:rsid w:val="00365F9A"/>
    <w:rsid w:val="003662BF"/>
    <w:rsid w:val="003663D8"/>
    <w:rsid w:val="003668D5"/>
    <w:rsid w:val="00366AF2"/>
    <w:rsid w:val="00366C73"/>
    <w:rsid w:val="00366CDB"/>
    <w:rsid w:val="00366E8F"/>
    <w:rsid w:val="00366FD1"/>
    <w:rsid w:val="0036714B"/>
    <w:rsid w:val="0036748F"/>
    <w:rsid w:val="003674AE"/>
    <w:rsid w:val="0036759B"/>
    <w:rsid w:val="003677EF"/>
    <w:rsid w:val="00367DDD"/>
    <w:rsid w:val="00367EF1"/>
    <w:rsid w:val="003701B4"/>
    <w:rsid w:val="003708D1"/>
    <w:rsid w:val="003708FF"/>
    <w:rsid w:val="0037093F"/>
    <w:rsid w:val="0037095F"/>
    <w:rsid w:val="00370A19"/>
    <w:rsid w:val="00370AE7"/>
    <w:rsid w:val="00371288"/>
    <w:rsid w:val="003713CA"/>
    <w:rsid w:val="00371CCE"/>
    <w:rsid w:val="00371D2E"/>
    <w:rsid w:val="00372193"/>
    <w:rsid w:val="0037256D"/>
    <w:rsid w:val="00372616"/>
    <w:rsid w:val="00372902"/>
    <w:rsid w:val="00372EF1"/>
    <w:rsid w:val="00372F0F"/>
    <w:rsid w:val="00373033"/>
    <w:rsid w:val="00373315"/>
    <w:rsid w:val="00373BDF"/>
    <w:rsid w:val="00373C3E"/>
    <w:rsid w:val="00373E60"/>
    <w:rsid w:val="00374588"/>
    <w:rsid w:val="003745E3"/>
    <w:rsid w:val="0037466A"/>
    <w:rsid w:val="00374903"/>
    <w:rsid w:val="00375267"/>
    <w:rsid w:val="003753B8"/>
    <w:rsid w:val="00375E6C"/>
    <w:rsid w:val="00375FBB"/>
    <w:rsid w:val="003761B5"/>
    <w:rsid w:val="00376526"/>
    <w:rsid w:val="003765BE"/>
    <w:rsid w:val="003768F9"/>
    <w:rsid w:val="003769D7"/>
    <w:rsid w:val="00376A5A"/>
    <w:rsid w:val="00376E09"/>
    <w:rsid w:val="0037702F"/>
    <w:rsid w:val="00377042"/>
    <w:rsid w:val="003770A3"/>
    <w:rsid w:val="003771B0"/>
    <w:rsid w:val="003773D2"/>
    <w:rsid w:val="003777D3"/>
    <w:rsid w:val="003777F5"/>
    <w:rsid w:val="00377CF4"/>
    <w:rsid w:val="00380137"/>
    <w:rsid w:val="003801E8"/>
    <w:rsid w:val="0038083F"/>
    <w:rsid w:val="00380C2E"/>
    <w:rsid w:val="00380DC4"/>
    <w:rsid w:val="003811C5"/>
    <w:rsid w:val="0038121E"/>
    <w:rsid w:val="00381294"/>
    <w:rsid w:val="00381A9B"/>
    <w:rsid w:val="00381C16"/>
    <w:rsid w:val="00381F95"/>
    <w:rsid w:val="00382185"/>
    <w:rsid w:val="0038236C"/>
    <w:rsid w:val="0038249C"/>
    <w:rsid w:val="003824A7"/>
    <w:rsid w:val="00382570"/>
    <w:rsid w:val="00382731"/>
    <w:rsid w:val="00382B7D"/>
    <w:rsid w:val="00382C6E"/>
    <w:rsid w:val="003835EF"/>
    <w:rsid w:val="0038365E"/>
    <w:rsid w:val="0038365F"/>
    <w:rsid w:val="00383A09"/>
    <w:rsid w:val="00383DA1"/>
    <w:rsid w:val="00384584"/>
    <w:rsid w:val="003845ED"/>
    <w:rsid w:val="00384736"/>
    <w:rsid w:val="003848BA"/>
    <w:rsid w:val="00384D2C"/>
    <w:rsid w:val="00384EC2"/>
    <w:rsid w:val="00384F72"/>
    <w:rsid w:val="00385611"/>
    <w:rsid w:val="003857EB"/>
    <w:rsid w:val="00385D60"/>
    <w:rsid w:val="003861B5"/>
    <w:rsid w:val="00386400"/>
    <w:rsid w:val="00386508"/>
    <w:rsid w:val="00386910"/>
    <w:rsid w:val="00386BE2"/>
    <w:rsid w:val="00387822"/>
    <w:rsid w:val="00387AC8"/>
    <w:rsid w:val="00387FC0"/>
    <w:rsid w:val="0039008F"/>
    <w:rsid w:val="003903BA"/>
    <w:rsid w:val="00390B98"/>
    <w:rsid w:val="00390BC4"/>
    <w:rsid w:val="00390D4A"/>
    <w:rsid w:val="0039158C"/>
    <w:rsid w:val="003916B6"/>
    <w:rsid w:val="0039185A"/>
    <w:rsid w:val="00392033"/>
    <w:rsid w:val="00392699"/>
    <w:rsid w:val="00392969"/>
    <w:rsid w:val="00392AFA"/>
    <w:rsid w:val="00392F51"/>
    <w:rsid w:val="0039317A"/>
    <w:rsid w:val="00393BC8"/>
    <w:rsid w:val="00393EF0"/>
    <w:rsid w:val="00394028"/>
    <w:rsid w:val="0039416C"/>
    <w:rsid w:val="0039435F"/>
    <w:rsid w:val="00394770"/>
    <w:rsid w:val="00394A1C"/>
    <w:rsid w:val="00394ADE"/>
    <w:rsid w:val="00394B83"/>
    <w:rsid w:val="00394DCF"/>
    <w:rsid w:val="003951EB"/>
    <w:rsid w:val="00395493"/>
    <w:rsid w:val="0039599F"/>
    <w:rsid w:val="00396090"/>
    <w:rsid w:val="0039610B"/>
    <w:rsid w:val="00396496"/>
    <w:rsid w:val="003964E8"/>
    <w:rsid w:val="00396536"/>
    <w:rsid w:val="00396E60"/>
    <w:rsid w:val="003975CB"/>
    <w:rsid w:val="003977FD"/>
    <w:rsid w:val="00397FE4"/>
    <w:rsid w:val="003A0124"/>
    <w:rsid w:val="003A0BEF"/>
    <w:rsid w:val="003A0EF8"/>
    <w:rsid w:val="003A0F4C"/>
    <w:rsid w:val="003A10F2"/>
    <w:rsid w:val="003A130E"/>
    <w:rsid w:val="003A14FB"/>
    <w:rsid w:val="003A15B7"/>
    <w:rsid w:val="003A19EB"/>
    <w:rsid w:val="003A1A57"/>
    <w:rsid w:val="003A1A76"/>
    <w:rsid w:val="003A1B8A"/>
    <w:rsid w:val="003A1C3D"/>
    <w:rsid w:val="003A1CD4"/>
    <w:rsid w:val="003A1F4C"/>
    <w:rsid w:val="003A1F91"/>
    <w:rsid w:val="003A2508"/>
    <w:rsid w:val="003A2765"/>
    <w:rsid w:val="003A2889"/>
    <w:rsid w:val="003A29BC"/>
    <w:rsid w:val="003A2AE3"/>
    <w:rsid w:val="003A2C64"/>
    <w:rsid w:val="003A2F15"/>
    <w:rsid w:val="003A37CD"/>
    <w:rsid w:val="003A38B9"/>
    <w:rsid w:val="003A398B"/>
    <w:rsid w:val="003A39E1"/>
    <w:rsid w:val="003A4273"/>
    <w:rsid w:val="003A4AAA"/>
    <w:rsid w:val="003A4BCF"/>
    <w:rsid w:val="003A5545"/>
    <w:rsid w:val="003A5AEF"/>
    <w:rsid w:val="003A5F11"/>
    <w:rsid w:val="003A60D2"/>
    <w:rsid w:val="003A61A3"/>
    <w:rsid w:val="003A6733"/>
    <w:rsid w:val="003A6F2C"/>
    <w:rsid w:val="003A7024"/>
    <w:rsid w:val="003A7301"/>
    <w:rsid w:val="003A7724"/>
    <w:rsid w:val="003A7927"/>
    <w:rsid w:val="003A7A8A"/>
    <w:rsid w:val="003A7D19"/>
    <w:rsid w:val="003A7FF2"/>
    <w:rsid w:val="003B0701"/>
    <w:rsid w:val="003B0976"/>
    <w:rsid w:val="003B0AB8"/>
    <w:rsid w:val="003B0BA1"/>
    <w:rsid w:val="003B0C9E"/>
    <w:rsid w:val="003B0EBF"/>
    <w:rsid w:val="003B10AF"/>
    <w:rsid w:val="003B159C"/>
    <w:rsid w:val="003B15B5"/>
    <w:rsid w:val="003B2341"/>
    <w:rsid w:val="003B267D"/>
    <w:rsid w:val="003B2818"/>
    <w:rsid w:val="003B2ADA"/>
    <w:rsid w:val="003B2C9B"/>
    <w:rsid w:val="003B2E31"/>
    <w:rsid w:val="003B2E39"/>
    <w:rsid w:val="003B3050"/>
    <w:rsid w:val="003B31EF"/>
    <w:rsid w:val="003B3364"/>
    <w:rsid w:val="003B3811"/>
    <w:rsid w:val="003B3993"/>
    <w:rsid w:val="003B3E02"/>
    <w:rsid w:val="003B4789"/>
    <w:rsid w:val="003B4CCF"/>
    <w:rsid w:val="003B4DFB"/>
    <w:rsid w:val="003B539A"/>
    <w:rsid w:val="003B5EED"/>
    <w:rsid w:val="003B64C4"/>
    <w:rsid w:val="003B64E4"/>
    <w:rsid w:val="003B6538"/>
    <w:rsid w:val="003B68A7"/>
    <w:rsid w:val="003B6C89"/>
    <w:rsid w:val="003B7305"/>
    <w:rsid w:val="003B7509"/>
    <w:rsid w:val="003B77FC"/>
    <w:rsid w:val="003B796E"/>
    <w:rsid w:val="003B7AAC"/>
    <w:rsid w:val="003B7B6F"/>
    <w:rsid w:val="003B7B80"/>
    <w:rsid w:val="003B7DEE"/>
    <w:rsid w:val="003C047D"/>
    <w:rsid w:val="003C0944"/>
    <w:rsid w:val="003C0EA8"/>
    <w:rsid w:val="003C0EDF"/>
    <w:rsid w:val="003C0FC6"/>
    <w:rsid w:val="003C111F"/>
    <w:rsid w:val="003C1352"/>
    <w:rsid w:val="003C13C2"/>
    <w:rsid w:val="003C149E"/>
    <w:rsid w:val="003C1829"/>
    <w:rsid w:val="003C1A55"/>
    <w:rsid w:val="003C1B24"/>
    <w:rsid w:val="003C1B52"/>
    <w:rsid w:val="003C1D57"/>
    <w:rsid w:val="003C1DBE"/>
    <w:rsid w:val="003C2185"/>
    <w:rsid w:val="003C21D6"/>
    <w:rsid w:val="003C25F8"/>
    <w:rsid w:val="003C2708"/>
    <w:rsid w:val="003C2BC4"/>
    <w:rsid w:val="003C2FD8"/>
    <w:rsid w:val="003C370D"/>
    <w:rsid w:val="003C3830"/>
    <w:rsid w:val="003C3B97"/>
    <w:rsid w:val="003C4436"/>
    <w:rsid w:val="003C44D1"/>
    <w:rsid w:val="003C4612"/>
    <w:rsid w:val="003C464C"/>
    <w:rsid w:val="003C4B98"/>
    <w:rsid w:val="003C4FDC"/>
    <w:rsid w:val="003C5A84"/>
    <w:rsid w:val="003C5BA5"/>
    <w:rsid w:val="003C5BF6"/>
    <w:rsid w:val="003C5FE2"/>
    <w:rsid w:val="003C611C"/>
    <w:rsid w:val="003C6761"/>
    <w:rsid w:val="003C755C"/>
    <w:rsid w:val="003C7712"/>
    <w:rsid w:val="003C78BA"/>
    <w:rsid w:val="003D097D"/>
    <w:rsid w:val="003D0C27"/>
    <w:rsid w:val="003D0DA8"/>
    <w:rsid w:val="003D0E13"/>
    <w:rsid w:val="003D1822"/>
    <w:rsid w:val="003D1BC3"/>
    <w:rsid w:val="003D1D90"/>
    <w:rsid w:val="003D222A"/>
    <w:rsid w:val="003D2837"/>
    <w:rsid w:val="003D2C45"/>
    <w:rsid w:val="003D2CCE"/>
    <w:rsid w:val="003D2D2C"/>
    <w:rsid w:val="003D2F0E"/>
    <w:rsid w:val="003D31C9"/>
    <w:rsid w:val="003D3408"/>
    <w:rsid w:val="003D34D7"/>
    <w:rsid w:val="003D372F"/>
    <w:rsid w:val="003D37D5"/>
    <w:rsid w:val="003D3A58"/>
    <w:rsid w:val="003D3F79"/>
    <w:rsid w:val="003D4220"/>
    <w:rsid w:val="003D453C"/>
    <w:rsid w:val="003D4691"/>
    <w:rsid w:val="003D4A28"/>
    <w:rsid w:val="003D4A90"/>
    <w:rsid w:val="003D4C57"/>
    <w:rsid w:val="003D56A8"/>
    <w:rsid w:val="003D5BEB"/>
    <w:rsid w:val="003D5E8B"/>
    <w:rsid w:val="003D6313"/>
    <w:rsid w:val="003D63BD"/>
    <w:rsid w:val="003D63CA"/>
    <w:rsid w:val="003D6843"/>
    <w:rsid w:val="003D6846"/>
    <w:rsid w:val="003D6D62"/>
    <w:rsid w:val="003D6E53"/>
    <w:rsid w:val="003D7089"/>
    <w:rsid w:val="003D73C0"/>
    <w:rsid w:val="003D7902"/>
    <w:rsid w:val="003D7AAF"/>
    <w:rsid w:val="003E0289"/>
    <w:rsid w:val="003E036C"/>
    <w:rsid w:val="003E0530"/>
    <w:rsid w:val="003E056E"/>
    <w:rsid w:val="003E0892"/>
    <w:rsid w:val="003E09D3"/>
    <w:rsid w:val="003E0FB1"/>
    <w:rsid w:val="003E13AB"/>
    <w:rsid w:val="003E13B8"/>
    <w:rsid w:val="003E13EF"/>
    <w:rsid w:val="003E146D"/>
    <w:rsid w:val="003E1579"/>
    <w:rsid w:val="003E19C8"/>
    <w:rsid w:val="003E1E3B"/>
    <w:rsid w:val="003E2722"/>
    <w:rsid w:val="003E2B51"/>
    <w:rsid w:val="003E2CCA"/>
    <w:rsid w:val="003E3CA2"/>
    <w:rsid w:val="003E3F1E"/>
    <w:rsid w:val="003E3FF8"/>
    <w:rsid w:val="003E426C"/>
    <w:rsid w:val="003E428C"/>
    <w:rsid w:val="003E42C3"/>
    <w:rsid w:val="003E4855"/>
    <w:rsid w:val="003E4E30"/>
    <w:rsid w:val="003E502C"/>
    <w:rsid w:val="003E53F1"/>
    <w:rsid w:val="003E551C"/>
    <w:rsid w:val="003E5531"/>
    <w:rsid w:val="003E56DE"/>
    <w:rsid w:val="003E58B9"/>
    <w:rsid w:val="003E5D09"/>
    <w:rsid w:val="003E5F45"/>
    <w:rsid w:val="003E62A4"/>
    <w:rsid w:val="003E64C7"/>
    <w:rsid w:val="003E6B29"/>
    <w:rsid w:val="003E6B93"/>
    <w:rsid w:val="003E6C9A"/>
    <w:rsid w:val="003E7530"/>
    <w:rsid w:val="003E7788"/>
    <w:rsid w:val="003E7F2E"/>
    <w:rsid w:val="003E7F72"/>
    <w:rsid w:val="003F0A21"/>
    <w:rsid w:val="003F0A88"/>
    <w:rsid w:val="003F153A"/>
    <w:rsid w:val="003F1AC2"/>
    <w:rsid w:val="003F1D70"/>
    <w:rsid w:val="003F1F65"/>
    <w:rsid w:val="003F205B"/>
    <w:rsid w:val="003F21E0"/>
    <w:rsid w:val="003F2BBC"/>
    <w:rsid w:val="003F2F01"/>
    <w:rsid w:val="003F30D4"/>
    <w:rsid w:val="003F32E1"/>
    <w:rsid w:val="003F3397"/>
    <w:rsid w:val="003F3B07"/>
    <w:rsid w:val="003F3C05"/>
    <w:rsid w:val="003F3D1A"/>
    <w:rsid w:val="003F3D8D"/>
    <w:rsid w:val="003F3F7D"/>
    <w:rsid w:val="003F4425"/>
    <w:rsid w:val="003F44D8"/>
    <w:rsid w:val="003F5956"/>
    <w:rsid w:val="003F5F18"/>
    <w:rsid w:val="003F627C"/>
    <w:rsid w:val="003F62CF"/>
    <w:rsid w:val="003F65B0"/>
    <w:rsid w:val="003F69F8"/>
    <w:rsid w:val="003F6D67"/>
    <w:rsid w:val="003F6EA3"/>
    <w:rsid w:val="003F6EF5"/>
    <w:rsid w:val="003F6F0E"/>
    <w:rsid w:val="003F6F3F"/>
    <w:rsid w:val="003F6F4F"/>
    <w:rsid w:val="003F7221"/>
    <w:rsid w:val="003F76C7"/>
    <w:rsid w:val="003F7948"/>
    <w:rsid w:val="003F7A81"/>
    <w:rsid w:val="003F7B31"/>
    <w:rsid w:val="003F7DA8"/>
    <w:rsid w:val="003F7DE5"/>
    <w:rsid w:val="003F7FE6"/>
    <w:rsid w:val="00400710"/>
    <w:rsid w:val="00400A16"/>
    <w:rsid w:val="00400B4D"/>
    <w:rsid w:val="00401469"/>
    <w:rsid w:val="004014A4"/>
    <w:rsid w:val="004016BA"/>
    <w:rsid w:val="004016C8"/>
    <w:rsid w:val="00401B42"/>
    <w:rsid w:val="00401F84"/>
    <w:rsid w:val="004020EE"/>
    <w:rsid w:val="00402254"/>
    <w:rsid w:val="00402840"/>
    <w:rsid w:val="0040299D"/>
    <w:rsid w:val="00402A12"/>
    <w:rsid w:val="00402CB5"/>
    <w:rsid w:val="00402EF9"/>
    <w:rsid w:val="00403269"/>
    <w:rsid w:val="00403389"/>
    <w:rsid w:val="00403496"/>
    <w:rsid w:val="00403585"/>
    <w:rsid w:val="004035B2"/>
    <w:rsid w:val="004036D4"/>
    <w:rsid w:val="00403919"/>
    <w:rsid w:val="0040404D"/>
    <w:rsid w:val="00404095"/>
    <w:rsid w:val="004043B0"/>
    <w:rsid w:val="00404CA7"/>
    <w:rsid w:val="004050C7"/>
    <w:rsid w:val="0040560F"/>
    <w:rsid w:val="00405D45"/>
    <w:rsid w:val="00405D84"/>
    <w:rsid w:val="00406031"/>
    <w:rsid w:val="004060DE"/>
    <w:rsid w:val="00406292"/>
    <w:rsid w:val="004063C2"/>
    <w:rsid w:val="00406404"/>
    <w:rsid w:val="0040654A"/>
    <w:rsid w:val="004068D6"/>
    <w:rsid w:val="0040698D"/>
    <w:rsid w:val="00406B96"/>
    <w:rsid w:val="00406DCC"/>
    <w:rsid w:val="00406FF6"/>
    <w:rsid w:val="004072B1"/>
    <w:rsid w:val="004072E5"/>
    <w:rsid w:val="00407303"/>
    <w:rsid w:val="00407473"/>
    <w:rsid w:val="004077A5"/>
    <w:rsid w:val="00407D22"/>
    <w:rsid w:val="00407D3B"/>
    <w:rsid w:val="0041078B"/>
    <w:rsid w:val="004112BE"/>
    <w:rsid w:val="004114B7"/>
    <w:rsid w:val="00411B05"/>
    <w:rsid w:val="00411E42"/>
    <w:rsid w:val="004123F3"/>
    <w:rsid w:val="004124E6"/>
    <w:rsid w:val="00412531"/>
    <w:rsid w:val="0041285C"/>
    <w:rsid w:val="004129A6"/>
    <w:rsid w:val="00412B73"/>
    <w:rsid w:val="00413339"/>
    <w:rsid w:val="004138B1"/>
    <w:rsid w:val="00413B88"/>
    <w:rsid w:val="00413C56"/>
    <w:rsid w:val="00413CD4"/>
    <w:rsid w:val="00413CF8"/>
    <w:rsid w:val="00414422"/>
    <w:rsid w:val="00414491"/>
    <w:rsid w:val="0041449E"/>
    <w:rsid w:val="004144DE"/>
    <w:rsid w:val="0041454E"/>
    <w:rsid w:val="00415026"/>
    <w:rsid w:val="0041527F"/>
    <w:rsid w:val="004157D5"/>
    <w:rsid w:val="004157F8"/>
    <w:rsid w:val="0041584F"/>
    <w:rsid w:val="0041656D"/>
    <w:rsid w:val="00416574"/>
    <w:rsid w:val="0041678F"/>
    <w:rsid w:val="004167E9"/>
    <w:rsid w:val="00416AE3"/>
    <w:rsid w:val="00416DBF"/>
    <w:rsid w:val="004170D8"/>
    <w:rsid w:val="00417CA6"/>
    <w:rsid w:val="00417DDF"/>
    <w:rsid w:val="00417E3A"/>
    <w:rsid w:val="00420003"/>
    <w:rsid w:val="00420057"/>
    <w:rsid w:val="00420714"/>
    <w:rsid w:val="00420C62"/>
    <w:rsid w:val="00421987"/>
    <w:rsid w:val="004219BB"/>
    <w:rsid w:val="00421EBD"/>
    <w:rsid w:val="00421FB0"/>
    <w:rsid w:val="0042239E"/>
    <w:rsid w:val="0042271A"/>
    <w:rsid w:val="00422C69"/>
    <w:rsid w:val="00422CCB"/>
    <w:rsid w:val="00423224"/>
    <w:rsid w:val="0042332B"/>
    <w:rsid w:val="00423797"/>
    <w:rsid w:val="00423C86"/>
    <w:rsid w:val="00423E66"/>
    <w:rsid w:val="0042404C"/>
    <w:rsid w:val="0042431E"/>
    <w:rsid w:val="0042437B"/>
    <w:rsid w:val="00424960"/>
    <w:rsid w:val="00424DE1"/>
    <w:rsid w:val="00424EA2"/>
    <w:rsid w:val="004252C9"/>
    <w:rsid w:val="00425342"/>
    <w:rsid w:val="0042568E"/>
    <w:rsid w:val="00425FDB"/>
    <w:rsid w:val="004260A1"/>
    <w:rsid w:val="004261DF"/>
    <w:rsid w:val="00426919"/>
    <w:rsid w:val="00426AFA"/>
    <w:rsid w:val="0042763B"/>
    <w:rsid w:val="00427A9D"/>
    <w:rsid w:val="00427F91"/>
    <w:rsid w:val="00430063"/>
    <w:rsid w:val="0043014B"/>
    <w:rsid w:val="004302C9"/>
    <w:rsid w:val="004304BE"/>
    <w:rsid w:val="004309AE"/>
    <w:rsid w:val="00430CF3"/>
    <w:rsid w:val="00430F93"/>
    <w:rsid w:val="004311CA"/>
    <w:rsid w:val="004312BC"/>
    <w:rsid w:val="00431822"/>
    <w:rsid w:val="00431BC4"/>
    <w:rsid w:val="00432061"/>
    <w:rsid w:val="00432162"/>
    <w:rsid w:val="0043217C"/>
    <w:rsid w:val="00432473"/>
    <w:rsid w:val="00432579"/>
    <w:rsid w:val="00432DE0"/>
    <w:rsid w:val="004336C5"/>
    <w:rsid w:val="00433759"/>
    <w:rsid w:val="00433924"/>
    <w:rsid w:val="00433B17"/>
    <w:rsid w:val="00433C29"/>
    <w:rsid w:val="00433EE1"/>
    <w:rsid w:val="004341A2"/>
    <w:rsid w:val="0043481D"/>
    <w:rsid w:val="00434E9B"/>
    <w:rsid w:val="00435004"/>
    <w:rsid w:val="00435269"/>
    <w:rsid w:val="00435492"/>
    <w:rsid w:val="00435A34"/>
    <w:rsid w:val="00435A42"/>
    <w:rsid w:val="00435C6A"/>
    <w:rsid w:val="00436028"/>
    <w:rsid w:val="004360AB"/>
    <w:rsid w:val="004363D7"/>
    <w:rsid w:val="004369C6"/>
    <w:rsid w:val="00436A0C"/>
    <w:rsid w:val="00437059"/>
    <w:rsid w:val="0043735B"/>
    <w:rsid w:val="004376BF"/>
    <w:rsid w:val="0043778D"/>
    <w:rsid w:val="00437B61"/>
    <w:rsid w:val="00440005"/>
    <w:rsid w:val="00440023"/>
    <w:rsid w:val="00440332"/>
    <w:rsid w:val="004405E0"/>
    <w:rsid w:val="00440931"/>
    <w:rsid w:val="00441121"/>
    <w:rsid w:val="004411A8"/>
    <w:rsid w:val="00441431"/>
    <w:rsid w:val="004414E2"/>
    <w:rsid w:val="00441943"/>
    <w:rsid w:val="00441BE0"/>
    <w:rsid w:val="00441DEB"/>
    <w:rsid w:val="00441FD7"/>
    <w:rsid w:val="0044209A"/>
    <w:rsid w:val="004424DB"/>
    <w:rsid w:val="0044289A"/>
    <w:rsid w:val="00442C45"/>
    <w:rsid w:val="00442DBA"/>
    <w:rsid w:val="0044343F"/>
    <w:rsid w:val="00443603"/>
    <w:rsid w:val="0044365B"/>
    <w:rsid w:val="004438BB"/>
    <w:rsid w:val="00443E9F"/>
    <w:rsid w:val="004445F5"/>
    <w:rsid w:val="004448D3"/>
    <w:rsid w:val="00444F0B"/>
    <w:rsid w:val="00445195"/>
    <w:rsid w:val="00445777"/>
    <w:rsid w:val="00445951"/>
    <w:rsid w:val="00445B92"/>
    <w:rsid w:val="00445E11"/>
    <w:rsid w:val="00445F9E"/>
    <w:rsid w:val="0044605B"/>
    <w:rsid w:val="004460FA"/>
    <w:rsid w:val="00446469"/>
    <w:rsid w:val="00446896"/>
    <w:rsid w:val="00446A69"/>
    <w:rsid w:val="004472C8"/>
    <w:rsid w:val="00447654"/>
    <w:rsid w:val="00447661"/>
    <w:rsid w:val="00447679"/>
    <w:rsid w:val="00447D58"/>
    <w:rsid w:val="004507DE"/>
    <w:rsid w:val="004517AB"/>
    <w:rsid w:val="00451AA4"/>
    <w:rsid w:val="00451E43"/>
    <w:rsid w:val="00452ED2"/>
    <w:rsid w:val="0045359C"/>
    <w:rsid w:val="00453927"/>
    <w:rsid w:val="00453B3D"/>
    <w:rsid w:val="00453BBE"/>
    <w:rsid w:val="00453D10"/>
    <w:rsid w:val="00453DA3"/>
    <w:rsid w:val="00453EA4"/>
    <w:rsid w:val="00454812"/>
    <w:rsid w:val="00454947"/>
    <w:rsid w:val="0045579E"/>
    <w:rsid w:val="004559A4"/>
    <w:rsid w:val="00455C48"/>
    <w:rsid w:val="00456A57"/>
    <w:rsid w:val="00456CB1"/>
    <w:rsid w:val="00456F6A"/>
    <w:rsid w:val="00457034"/>
    <w:rsid w:val="00457051"/>
    <w:rsid w:val="00457066"/>
    <w:rsid w:val="00457456"/>
    <w:rsid w:val="004577C7"/>
    <w:rsid w:val="004578A9"/>
    <w:rsid w:val="00457934"/>
    <w:rsid w:val="00457A41"/>
    <w:rsid w:val="00457C7C"/>
    <w:rsid w:val="00457EFC"/>
    <w:rsid w:val="0046002A"/>
    <w:rsid w:val="00460287"/>
    <w:rsid w:val="0046052F"/>
    <w:rsid w:val="0046092D"/>
    <w:rsid w:val="00460BA3"/>
    <w:rsid w:val="00461186"/>
    <w:rsid w:val="00461233"/>
    <w:rsid w:val="00461AB8"/>
    <w:rsid w:val="00461CD4"/>
    <w:rsid w:val="00461E74"/>
    <w:rsid w:val="0046222F"/>
    <w:rsid w:val="004624FD"/>
    <w:rsid w:val="00462AE1"/>
    <w:rsid w:val="004634A0"/>
    <w:rsid w:val="00463590"/>
    <w:rsid w:val="0046367C"/>
    <w:rsid w:val="004636FF"/>
    <w:rsid w:val="00463919"/>
    <w:rsid w:val="00463BE8"/>
    <w:rsid w:val="004640A9"/>
    <w:rsid w:val="00464384"/>
    <w:rsid w:val="0046450A"/>
    <w:rsid w:val="004645D3"/>
    <w:rsid w:val="00464600"/>
    <w:rsid w:val="004647F5"/>
    <w:rsid w:val="004652E3"/>
    <w:rsid w:val="00465502"/>
    <w:rsid w:val="00465A97"/>
    <w:rsid w:val="00465B3F"/>
    <w:rsid w:val="00465F57"/>
    <w:rsid w:val="00465FA0"/>
    <w:rsid w:val="004665AB"/>
    <w:rsid w:val="004669E0"/>
    <w:rsid w:val="00466E85"/>
    <w:rsid w:val="00466E98"/>
    <w:rsid w:val="0046728F"/>
    <w:rsid w:val="0046773A"/>
    <w:rsid w:val="004677DA"/>
    <w:rsid w:val="0046794A"/>
    <w:rsid w:val="00467973"/>
    <w:rsid w:val="004679D8"/>
    <w:rsid w:val="00467B84"/>
    <w:rsid w:val="00467DCC"/>
    <w:rsid w:val="004701C8"/>
    <w:rsid w:val="004701E0"/>
    <w:rsid w:val="00470288"/>
    <w:rsid w:val="004705ED"/>
    <w:rsid w:val="0047090F"/>
    <w:rsid w:val="00470A03"/>
    <w:rsid w:val="00470A38"/>
    <w:rsid w:val="004710C7"/>
    <w:rsid w:val="004714E0"/>
    <w:rsid w:val="00471C3A"/>
    <w:rsid w:val="00471CA0"/>
    <w:rsid w:val="00471EF1"/>
    <w:rsid w:val="004723DA"/>
    <w:rsid w:val="0047290C"/>
    <w:rsid w:val="00472F2B"/>
    <w:rsid w:val="00472FA4"/>
    <w:rsid w:val="00473359"/>
    <w:rsid w:val="004735A5"/>
    <w:rsid w:val="004735AD"/>
    <w:rsid w:val="00473B29"/>
    <w:rsid w:val="00473B34"/>
    <w:rsid w:val="00473CFE"/>
    <w:rsid w:val="00473F5B"/>
    <w:rsid w:val="004744E6"/>
    <w:rsid w:val="004746A7"/>
    <w:rsid w:val="004748E8"/>
    <w:rsid w:val="00474D12"/>
    <w:rsid w:val="00474D5B"/>
    <w:rsid w:val="00474FDB"/>
    <w:rsid w:val="00475453"/>
    <w:rsid w:val="004758CC"/>
    <w:rsid w:val="00475E18"/>
    <w:rsid w:val="00476AD3"/>
    <w:rsid w:val="00476B89"/>
    <w:rsid w:val="00476CB7"/>
    <w:rsid w:val="00477075"/>
    <w:rsid w:val="0047709D"/>
    <w:rsid w:val="00477399"/>
    <w:rsid w:val="00477B63"/>
    <w:rsid w:val="00477D24"/>
    <w:rsid w:val="0048060D"/>
    <w:rsid w:val="00480BD3"/>
    <w:rsid w:val="00480D2C"/>
    <w:rsid w:val="00480F42"/>
    <w:rsid w:val="00480FFA"/>
    <w:rsid w:val="00481058"/>
    <w:rsid w:val="004810B2"/>
    <w:rsid w:val="004810C2"/>
    <w:rsid w:val="004812BC"/>
    <w:rsid w:val="00481ABE"/>
    <w:rsid w:val="00481B4D"/>
    <w:rsid w:val="00481D26"/>
    <w:rsid w:val="00481FCC"/>
    <w:rsid w:val="0048231B"/>
    <w:rsid w:val="00482643"/>
    <w:rsid w:val="0048266F"/>
    <w:rsid w:val="00482978"/>
    <w:rsid w:val="004829A7"/>
    <w:rsid w:val="00482A36"/>
    <w:rsid w:val="004838EB"/>
    <w:rsid w:val="00483F38"/>
    <w:rsid w:val="004843C1"/>
    <w:rsid w:val="00484737"/>
    <w:rsid w:val="00484A93"/>
    <w:rsid w:val="00484AB6"/>
    <w:rsid w:val="00484C97"/>
    <w:rsid w:val="0048501A"/>
    <w:rsid w:val="00485166"/>
    <w:rsid w:val="004854B3"/>
    <w:rsid w:val="00485500"/>
    <w:rsid w:val="0048595D"/>
    <w:rsid w:val="00485E4A"/>
    <w:rsid w:val="00485FB5"/>
    <w:rsid w:val="0048627E"/>
    <w:rsid w:val="00486A82"/>
    <w:rsid w:val="00486FF1"/>
    <w:rsid w:val="004872C3"/>
    <w:rsid w:val="004873BA"/>
    <w:rsid w:val="004878ED"/>
    <w:rsid w:val="00487915"/>
    <w:rsid w:val="00487A24"/>
    <w:rsid w:val="00487A75"/>
    <w:rsid w:val="00490047"/>
    <w:rsid w:val="004907A9"/>
    <w:rsid w:val="00490811"/>
    <w:rsid w:val="00490864"/>
    <w:rsid w:val="00490C3B"/>
    <w:rsid w:val="00490C9D"/>
    <w:rsid w:val="00490E98"/>
    <w:rsid w:val="0049144E"/>
    <w:rsid w:val="00491BBC"/>
    <w:rsid w:val="00491C57"/>
    <w:rsid w:val="00492078"/>
    <w:rsid w:val="0049230B"/>
    <w:rsid w:val="0049279B"/>
    <w:rsid w:val="00492B5C"/>
    <w:rsid w:val="00492DAA"/>
    <w:rsid w:val="00493654"/>
    <w:rsid w:val="00493863"/>
    <w:rsid w:val="0049393C"/>
    <w:rsid w:val="00493F5D"/>
    <w:rsid w:val="004940D0"/>
    <w:rsid w:val="00494251"/>
    <w:rsid w:val="0049442F"/>
    <w:rsid w:val="0049445C"/>
    <w:rsid w:val="004945B2"/>
    <w:rsid w:val="0049546D"/>
    <w:rsid w:val="004955A8"/>
    <w:rsid w:val="00495669"/>
    <w:rsid w:val="00495D10"/>
    <w:rsid w:val="00495DB0"/>
    <w:rsid w:val="00496388"/>
    <w:rsid w:val="00496446"/>
    <w:rsid w:val="00496EFF"/>
    <w:rsid w:val="00497083"/>
    <w:rsid w:val="004973EB"/>
    <w:rsid w:val="0049742A"/>
    <w:rsid w:val="004975A4"/>
    <w:rsid w:val="0049780F"/>
    <w:rsid w:val="00497823"/>
    <w:rsid w:val="00497C5E"/>
    <w:rsid w:val="00497C8E"/>
    <w:rsid w:val="00497E09"/>
    <w:rsid w:val="00497E8D"/>
    <w:rsid w:val="00499510"/>
    <w:rsid w:val="004A0144"/>
    <w:rsid w:val="004A02E5"/>
    <w:rsid w:val="004A0F6D"/>
    <w:rsid w:val="004A1F24"/>
    <w:rsid w:val="004A2118"/>
    <w:rsid w:val="004A2298"/>
    <w:rsid w:val="004A2AAD"/>
    <w:rsid w:val="004A2F8A"/>
    <w:rsid w:val="004A3264"/>
    <w:rsid w:val="004A340B"/>
    <w:rsid w:val="004A3977"/>
    <w:rsid w:val="004A3D4C"/>
    <w:rsid w:val="004A3E21"/>
    <w:rsid w:val="004A3EA4"/>
    <w:rsid w:val="004A4197"/>
    <w:rsid w:val="004A4905"/>
    <w:rsid w:val="004A4C37"/>
    <w:rsid w:val="004A5210"/>
    <w:rsid w:val="004A56D8"/>
    <w:rsid w:val="004A5E1A"/>
    <w:rsid w:val="004A6105"/>
    <w:rsid w:val="004A6284"/>
    <w:rsid w:val="004A687F"/>
    <w:rsid w:val="004A6A50"/>
    <w:rsid w:val="004A6D1F"/>
    <w:rsid w:val="004A701D"/>
    <w:rsid w:val="004A7130"/>
    <w:rsid w:val="004B0327"/>
    <w:rsid w:val="004B171C"/>
    <w:rsid w:val="004B1FC5"/>
    <w:rsid w:val="004B2605"/>
    <w:rsid w:val="004B27E4"/>
    <w:rsid w:val="004B292A"/>
    <w:rsid w:val="004B2DD0"/>
    <w:rsid w:val="004B3645"/>
    <w:rsid w:val="004B3793"/>
    <w:rsid w:val="004B3A03"/>
    <w:rsid w:val="004B3EE2"/>
    <w:rsid w:val="004B4196"/>
    <w:rsid w:val="004B42A4"/>
    <w:rsid w:val="004B431C"/>
    <w:rsid w:val="004B4343"/>
    <w:rsid w:val="004B451A"/>
    <w:rsid w:val="004B50E2"/>
    <w:rsid w:val="004B59DE"/>
    <w:rsid w:val="004B5A94"/>
    <w:rsid w:val="004B620F"/>
    <w:rsid w:val="004B635D"/>
    <w:rsid w:val="004B6536"/>
    <w:rsid w:val="004B6847"/>
    <w:rsid w:val="004B69A7"/>
    <w:rsid w:val="004B69F6"/>
    <w:rsid w:val="004B6A4D"/>
    <w:rsid w:val="004B6AB8"/>
    <w:rsid w:val="004B6FD0"/>
    <w:rsid w:val="004B7550"/>
    <w:rsid w:val="004B7BA0"/>
    <w:rsid w:val="004B7CDB"/>
    <w:rsid w:val="004B7E26"/>
    <w:rsid w:val="004C0395"/>
    <w:rsid w:val="004C03D2"/>
    <w:rsid w:val="004C091E"/>
    <w:rsid w:val="004C0AF9"/>
    <w:rsid w:val="004C10E9"/>
    <w:rsid w:val="004C13CC"/>
    <w:rsid w:val="004C16E0"/>
    <w:rsid w:val="004C1C78"/>
    <w:rsid w:val="004C1FDE"/>
    <w:rsid w:val="004C2410"/>
    <w:rsid w:val="004C2A9E"/>
    <w:rsid w:val="004C2CB8"/>
    <w:rsid w:val="004C2DBD"/>
    <w:rsid w:val="004C30CA"/>
    <w:rsid w:val="004C3155"/>
    <w:rsid w:val="004C31B9"/>
    <w:rsid w:val="004C33B6"/>
    <w:rsid w:val="004C34DA"/>
    <w:rsid w:val="004C3D0D"/>
    <w:rsid w:val="004C400A"/>
    <w:rsid w:val="004C4A2A"/>
    <w:rsid w:val="004C4D2B"/>
    <w:rsid w:val="004C4DCC"/>
    <w:rsid w:val="004C4E08"/>
    <w:rsid w:val="004C4E39"/>
    <w:rsid w:val="004C561D"/>
    <w:rsid w:val="004C5DE8"/>
    <w:rsid w:val="004C62B0"/>
    <w:rsid w:val="004C64DC"/>
    <w:rsid w:val="004C66E5"/>
    <w:rsid w:val="004C6CEE"/>
    <w:rsid w:val="004C7188"/>
    <w:rsid w:val="004C73D5"/>
    <w:rsid w:val="004C746D"/>
    <w:rsid w:val="004C781F"/>
    <w:rsid w:val="004C78E6"/>
    <w:rsid w:val="004C7A0B"/>
    <w:rsid w:val="004C7A95"/>
    <w:rsid w:val="004C7AF0"/>
    <w:rsid w:val="004C7FDE"/>
    <w:rsid w:val="004D012F"/>
    <w:rsid w:val="004D02BF"/>
    <w:rsid w:val="004D0759"/>
    <w:rsid w:val="004D0A46"/>
    <w:rsid w:val="004D0B58"/>
    <w:rsid w:val="004D0BE9"/>
    <w:rsid w:val="004D14E0"/>
    <w:rsid w:val="004D1805"/>
    <w:rsid w:val="004D1B5F"/>
    <w:rsid w:val="004D1CAB"/>
    <w:rsid w:val="004D1D41"/>
    <w:rsid w:val="004D1E87"/>
    <w:rsid w:val="004D1ED5"/>
    <w:rsid w:val="004D2FB4"/>
    <w:rsid w:val="004D326C"/>
    <w:rsid w:val="004D351B"/>
    <w:rsid w:val="004D35D4"/>
    <w:rsid w:val="004D37E2"/>
    <w:rsid w:val="004D39DD"/>
    <w:rsid w:val="004D433B"/>
    <w:rsid w:val="004D446C"/>
    <w:rsid w:val="004D4B23"/>
    <w:rsid w:val="004D4D86"/>
    <w:rsid w:val="004D4FA1"/>
    <w:rsid w:val="004D5155"/>
    <w:rsid w:val="004D578A"/>
    <w:rsid w:val="004D60A2"/>
    <w:rsid w:val="004D60A8"/>
    <w:rsid w:val="004D628B"/>
    <w:rsid w:val="004D65EF"/>
    <w:rsid w:val="004D695D"/>
    <w:rsid w:val="004D6B54"/>
    <w:rsid w:val="004D6BE6"/>
    <w:rsid w:val="004D6C0E"/>
    <w:rsid w:val="004D6C3B"/>
    <w:rsid w:val="004D6CF7"/>
    <w:rsid w:val="004D6D45"/>
    <w:rsid w:val="004D70A8"/>
    <w:rsid w:val="004D70F9"/>
    <w:rsid w:val="004D721E"/>
    <w:rsid w:val="004D7660"/>
    <w:rsid w:val="004D7820"/>
    <w:rsid w:val="004D7D46"/>
    <w:rsid w:val="004E0020"/>
    <w:rsid w:val="004E09A7"/>
    <w:rsid w:val="004E0B5E"/>
    <w:rsid w:val="004E0C8E"/>
    <w:rsid w:val="004E111A"/>
    <w:rsid w:val="004E160C"/>
    <w:rsid w:val="004E195D"/>
    <w:rsid w:val="004E1C66"/>
    <w:rsid w:val="004E1C70"/>
    <w:rsid w:val="004E1D19"/>
    <w:rsid w:val="004E28CB"/>
    <w:rsid w:val="004E2D98"/>
    <w:rsid w:val="004E2F85"/>
    <w:rsid w:val="004E2FAD"/>
    <w:rsid w:val="004E3061"/>
    <w:rsid w:val="004E30CC"/>
    <w:rsid w:val="004E32BC"/>
    <w:rsid w:val="004E36AD"/>
    <w:rsid w:val="004E3769"/>
    <w:rsid w:val="004E376B"/>
    <w:rsid w:val="004E3803"/>
    <w:rsid w:val="004E3B8B"/>
    <w:rsid w:val="004E3FC0"/>
    <w:rsid w:val="004E4295"/>
    <w:rsid w:val="004E44ED"/>
    <w:rsid w:val="004E4797"/>
    <w:rsid w:val="004E47A1"/>
    <w:rsid w:val="004E47E1"/>
    <w:rsid w:val="004E4824"/>
    <w:rsid w:val="004E4C7C"/>
    <w:rsid w:val="004E5268"/>
    <w:rsid w:val="004E5638"/>
    <w:rsid w:val="004E6105"/>
    <w:rsid w:val="004E6668"/>
    <w:rsid w:val="004E6BAB"/>
    <w:rsid w:val="004E6EDE"/>
    <w:rsid w:val="004E71F5"/>
    <w:rsid w:val="004E7BFE"/>
    <w:rsid w:val="004F00E8"/>
    <w:rsid w:val="004F0341"/>
    <w:rsid w:val="004F07B7"/>
    <w:rsid w:val="004F1166"/>
    <w:rsid w:val="004F1429"/>
    <w:rsid w:val="004F187D"/>
    <w:rsid w:val="004F1BBA"/>
    <w:rsid w:val="004F1EB1"/>
    <w:rsid w:val="004F2394"/>
    <w:rsid w:val="004F26F3"/>
    <w:rsid w:val="004F29CC"/>
    <w:rsid w:val="004F2B27"/>
    <w:rsid w:val="004F2D88"/>
    <w:rsid w:val="004F2E5B"/>
    <w:rsid w:val="004F2E65"/>
    <w:rsid w:val="004F33A8"/>
    <w:rsid w:val="004F36C7"/>
    <w:rsid w:val="004F47C1"/>
    <w:rsid w:val="004F481C"/>
    <w:rsid w:val="004F4AF7"/>
    <w:rsid w:val="004F4B83"/>
    <w:rsid w:val="004F4F32"/>
    <w:rsid w:val="004F503E"/>
    <w:rsid w:val="004F5204"/>
    <w:rsid w:val="004F55B0"/>
    <w:rsid w:val="004F5809"/>
    <w:rsid w:val="004F5BB5"/>
    <w:rsid w:val="004F5BBF"/>
    <w:rsid w:val="004F5E10"/>
    <w:rsid w:val="004F5F0F"/>
    <w:rsid w:val="004F6129"/>
    <w:rsid w:val="004F614A"/>
    <w:rsid w:val="004F62E3"/>
    <w:rsid w:val="004F62EC"/>
    <w:rsid w:val="004F632E"/>
    <w:rsid w:val="004F66BF"/>
    <w:rsid w:val="004F6814"/>
    <w:rsid w:val="004F6B2D"/>
    <w:rsid w:val="004F6E9D"/>
    <w:rsid w:val="004F71F0"/>
    <w:rsid w:val="004F7821"/>
    <w:rsid w:val="004F7994"/>
    <w:rsid w:val="004F7AD1"/>
    <w:rsid w:val="00500955"/>
    <w:rsid w:val="00501161"/>
    <w:rsid w:val="0050179B"/>
    <w:rsid w:val="005018E8"/>
    <w:rsid w:val="005019EB"/>
    <w:rsid w:val="00501B5C"/>
    <w:rsid w:val="005022A1"/>
    <w:rsid w:val="005023AE"/>
    <w:rsid w:val="005024A3"/>
    <w:rsid w:val="00502517"/>
    <w:rsid w:val="00502B59"/>
    <w:rsid w:val="005033CB"/>
    <w:rsid w:val="00503485"/>
    <w:rsid w:val="00503664"/>
    <w:rsid w:val="00503A90"/>
    <w:rsid w:val="00503D1A"/>
    <w:rsid w:val="00503FB6"/>
    <w:rsid w:val="0050408E"/>
    <w:rsid w:val="00504273"/>
    <w:rsid w:val="0050488F"/>
    <w:rsid w:val="00504ABA"/>
    <w:rsid w:val="00504DC0"/>
    <w:rsid w:val="00505440"/>
    <w:rsid w:val="00505800"/>
    <w:rsid w:val="005059F3"/>
    <w:rsid w:val="00505B15"/>
    <w:rsid w:val="00506E27"/>
    <w:rsid w:val="00507233"/>
    <w:rsid w:val="00507374"/>
    <w:rsid w:val="00507E36"/>
    <w:rsid w:val="00507FF1"/>
    <w:rsid w:val="005101AA"/>
    <w:rsid w:val="005102AB"/>
    <w:rsid w:val="005103E2"/>
    <w:rsid w:val="005104E0"/>
    <w:rsid w:val="00510547"/>
    <w:rsid w:val="00510B26"/>
    <w:rsid w:val="00510BCE"/>
    <w:rsid w:val="00510FEC"/>
    <w:rsid w:val="0051148B"/>
    <w:rsid w:val="00511ACA"/>
    <w:rsid w:val="00511DFF"/>
    <w:rsid w:val="00512084"/>
    <w:rsid w:val="00512328"/>
    <w:rsid w:val="005124C2"/>
    <w:rsid w:val="005126F0"/>
    <w:rsid w:val="00512AE0"/>
    <w:rsid w:val="00512B6C"/>
    <w:rsid w:val="00512D03"/>
    <w:rsid w:val="00513547"/>
    <w:rsid w:val="0051397F"/>
    <w:rsid w:val="00513E67"/>
    <w:rsid w:val="00514037"/>
    <w:rsid w:val="00514181"/>
    <w:rsid w:val="005143F7"/>
    <w:rsid w:val="0051465D"/>
    <w:rsid w:val="00514674"/>
    <w:rsid w:val="005146BC"/>
    <w:rsid w:val="005149A8"/>
    <w:rsid w:val="005149C6"/>
    <w:rsid w:val="00514A96"/>
    <w:rsid w:val="00514D00"/>
    <w:rsid w:val="00514FF0"/>
    <w:rsid w:val="00515777"/>
    <w:rsid w:val="005157D5"/>
    <w:rsid w:val="00515DF3"/>
    <w:rsid w:val="00515E40"/>
    <w:rsid w:val="00516076"/>
    <w:rsid w:val="005162F1"/>
    <w:rsid w:val="0051672F"/>
    <w:rsid w:val="00516A8E"/>
    <w:rsid w:val="00516C8A"/>
    <w:rsid w:val="00517134"/>
    <w:rsid w:val="005175D7"/>
    <w:rsid w:val="00517644"/>
    <w:rsid w:val="005177A4"/>
    <w:rsid w:val="0051786F"/>
    <w:rsid w:val="00517DD0"/>
    <w:rsid w:val="00520004"/>
    <w:rsid w:val="00520254"/>
    <w:rsid w:val="005203D8"/>
    <w:rsid w:val="00520909"/>
    <w:rsid w:val="00520AA5"/>
    <w:rsid w:val="00520BCB"/>
    <w:rsid w:val="00520F5D"/>
    <w:rsid w:val="00521115"/>
    <w:rsid w:val="0052189E"/>
    <w:rsid w:val="00521922"/>
    <w:rsid w:val="00521E43"/>
    <w:rsid w:val="00521F24"/>
    <w:rsid w:val="00522127"/>
    <w:rsid w:val="00522170"/>
    <w:rsid w:val="00522345"/>
    <w:rsid w:val="0052246A"/>
    <w:rsid w:val="0052264A"/>
    <w:rsid w:val="0052269D"/>
    <w:rsid w:val="00523047"/>
    <w:rsid w:val="00523235"/>
    <w:rsid w:val="00523607"/>
    <w:rsid w:val="00523CB5"/>
    <w:rsid w:val="00523D2A"/>
    <w:rsid w:val="00524064"/>
    <w:rsid w:val="005240C1"/>
    <w:rsid w:val="00524530"/>
    <w:rsid w:val="00524544"/>
    <w:rsid w:val="00524547"/>
    <w:rsid w:val="0052531D"/>
    <w:rsid w:val="00525331"/>
    <w:rsid w:val="005258D8"/>
    <w:rsid w:val="00525C82"/>
    <w:rsid w:val="005261B0"/>
    <w:rsid w:val="005268BF"/>
    <w:rsid w:val="0052725B"/>
    <w:rsid w:val="00527327"/>
    <w:rsid w:val="005274CF"/>
    <w:rsid w:val="005277BE"/>
    <w:rsid w:val="005278F5"/>
    <w:rsid w:val="00527FBA"/>
    <w:rsid w:val="00527FDD"/>
    <w:rsid w:val="00530354"/>
    <w:rsid w:val="0053081A"/>
    <w:rsid w:val="00530927"/>
    <w:rsid w:val="005309EF"/>
    <w:rsid w:val="00530AF5"/>
    <w:rsid w:val="00530C56"/>
    <w:rsid w:val="00531731"/>
    <w:rsid w:val="00531757"/>
    <w:rsid w:val="00531A0A"/>
    <w:rsid w:val="00531B65"/>
    <w:rsid w:val="0053218D"/>
    <w:rsid w:val="00532241"/>
    <w:rsid w:val="00532317"/>
    <w:rsid w:val="0053251C"/>
    <w:rsid w:val="0053307B"/>
    <w:rsid w:val="005333C6"/>
    <w:rsid w:val="00533436"/>
    <w:rsid w:val="00533883"/>
    <w:rsid w:val="00533A29"/>
    <w:rsid w:val="00533B18"/>
    <w:rsid w:val="00533C55"/>
    <w:rsid w:val="0053447C"/>
    <w:rsid w:val="00534525"/>
    <w:rsid w:val="00534BE8"/>
    <w:rsid w:val="00534D02"/>
    <w:rsid w:val="005359F0"/>
    <w:rsid w:val="00535C90"/>
    <w:rsid w:val="00535FA4"/>
    <w:rsid w:val="00536273"/>
    <w:rsid w:val="0053632C"/>
    <w:rsid w:val="005367F3"/>
    <w:rsid w:val="0053689F"/>
    <w:rsid w:val="005370EC"/>
    <w:rsid w:val="005373A4"/>
    <w:rsid w:val="00537975"/>
    <w:rsid w:val="00537A12"/>
    <w:rsid w:val="00537C93"/>
    <w:rsid w:val="00537E41"/>
    <w:rsid w:val="0054034D"/>
    <w:rsid w:val="00540423"/>
    <w:rsid w:val="00540A59"/>
    <w:rsid w:val="00540B32"/>
    <w:rsid w:val="00540DBF"/>
    <w:rsid w:val="0054107A"/>
    <w:rsid w:val="00541672"/>
    <w:rsid w:val="00541D0D"/>
    <w:rsid w:val="00542052"/>
    <w:rsid w:val="0054264D"/>
    <w:rsid w:val="00542A1C"/>
    <w:rsid w:val="00542DF6"/>
    <w:rsid w:val="00542FC1"/>
    <w:rsid w:val="00542FEA"/>
    <w:rsid w:val="00542FF6"/>
    <w:rsid w:val="005434A3"/>
    <w:rsid w:val="005435B0"/>
    <w:rsid w:val="0054376D"/>
    <w:rsid w:val="00543B12"/>
    <w:rsid w:val="005440EE"/>
    <w:rsid w:val="005441A8"/>
    <w:rsid w:val="00544941"/>
    <w:rsid w:val="005449BA"/>
    <w:rsid w:val="005453AD"/>
    <w:rsid w:val="0054576E"/>
    <w:rsid w:val="00545D92"/>
    <w:rsid w:val="00546091"/>
    <w:rsid w:val="00546121"/>
    <w:rsid w:val="00546302"/>
    <w:rsid w:val="005463F5"/>
    <w:rsid w:val="005464CD"/>
    <w:rsid w:val="005464D8"/>
    <w:rsid w:val="00546602"/>
    <w:rsid w:val="00546C6F"/>
    <w:rsid w:val="00547238"/>
    <w:rsid w:val="005475BB"/>
    <w:rsid w:val="005475FA"/>
    <w:rsid w:val="00547760"/>
    <w:rsid w:val="00547B3C"/>
    <w:rsid w:val="00547D05"/>
    <w:rsid w:val="0055012C"/>
    <w:rsid w:val="00550391"/>
    <w:rsid w:val="005503E2"/>
    <w:rsid w:val="0055047B"/>
    <w:rsid w:val="005505D8"/>
    <w:rsid w:val="00550863"/>
    <w:rsid w:val="00550933"/>
    <w:rsid w:val="00550D5B"/>
    <w:rsid w:val="00550F2C"/>
    <w:rsid w:val="00550F31"/>
    <w:rsid w:val="00551363"/>
    <w:rsid w:val="005516F3"/>
    <w:rsid w:val="005517DD"/>
    <w:rsid w:val="00551FCA"/>
    <w:rsid w:val="0055203A"/>
    <w:rsid w:val="0055227B"/>
    <w:rsid w:val="00552351"/>
    <w:rsid w:val="00552364"/>
    <w:rsid w:val="00552469"/>
    <w:rsid w:val="005529C8"/>
    <w:rsid w:val="00552ABC"/>
    <w:rsid w:val="00552B83"/>
    <w:rsid w:val="0055328B"/>
    <w:rsid w:val="00553388"/>
    <w:rsid w:val="005539E7"/>
    <w:rsid w:val="00553AD7"/>
    <w:rsid w:val="00553B13"/>
    <w:rsid w:val="00553C43"/>
    <w:rsid w:val="00553DD7"/>
    <w:rsid w:val="00554121"/>
    <w:rsid w:val="0055421D"/>
    <w:rsid w:val="00554E9B"/>
    <w:rsid w:val="005556D3"/>
    <w:rsid w:val="00555994"/>
    <w:rsid w:val="00555A16"/>
    <w:rsid w:val="00555A8A"/>
    <w:rsid w:val="00555AE0"/>
    <w:rsid w:val="00555C44"/>
    <w:rsid w:val="005560B8"/>
    <w:rsid w:val="005562CB"/>
    <w:rsid w:val="005564E4"/>
    <w:rsid w:val="00557060"/>
    <w:rsid w:val="00557290"/>
    <w:rsid w:val="0055781F"/>
    <w:rsid w:val="00557C6F"/>
    <w:rsid w:val="00557EA8"/>
    <w:rsid w:val="005602E1"/>
    <w:rsid w:val="005606B5"/>
    <w:rsid w:val="005606C6"/>
    <w:rsid w:val="00560889"/>
    <w:rsid w:val="00560C21"/>
    <w:rsid w:val="00560CF1"/>
    <w:rsid w:val="00560E7B"/>
    <w:rsid w:val="0056130B"/>
    <w:rsid w:val="00561345"/>
    <w:rsid w:val="00561415"/>
    <w:rsid w:val="00561A05"/>
    <w:rsid w:val="00561EEC"/>
    <w:rsid w:val="00561F4E"/>
    <w:rsid w:val="0056229F"/>
    <w:rsid w:val="00562E68"/>
    <w:rsid w:val="0056323E"/>
    <w:rsid w:val="0056333A"/>
    <w:rsid w:val="00563543"/>
    <w:rsid w:val="005636A8"/>
    <w:rsid w:val="00563771"/>
    <w:rsid w:val="0056434F"/>
    <w:rsid w:val="005645E7"/>
    <w:rsid w:val="0056472D"/>
    <w:rsid w:val="00564F82"/>
    <w:rsid w:val="00564FB9"/>
    <w:rsid w:val="0056500E"/>
    <w:rsid w:val="005650E4"/>
    <w:rsid w:val="005650F7"/>
    <w:rsid w:val="0056538E"/>
    <w:rsid w:val="0056572C"/>
    <w:rsid w:val="00565A8E"/>
    <w:rsid w:val="00565F63"/>
    <w:rsid w:val="005666FA"/>
    <w:rsid w:val="005668E0"/>
    <w:rsid w:val="00566B69"/>
    <w:rsid w:val="00566F18"/>
    <w:rsid w:val="0056727A"/>
    <w:rsid w:val="00567429"/>
    <w:rsid w:val="00567691"/>
    <w:rsid w:val="00567A02"/>
    <w:rsid w:val="00567E75"/>
    <w:rsid w:val="00567EDE"/>
    <w:rsid w:val="00570B9F"/>
    <w:rsid w:val="0057106B"/>
    <w:rsid w:val="005712FF"/>
    <w:rsid w:val="00571C0F"/>
    <w:rsid w:val="00571EBC"/>
    <w:rsid w:val="005721CA"/>
    <w:rsid w:val="0057220E"/>
    <w:rsid w:val="00572351"/>
    <w:rsid w:val="005728A4"/>
    <w:rsid w:val="00572D29"/>
    <w:rsid w:val="00572D5E"/>
    <w:rsid w:val="00572EE1"/>
    <w:rsid w:val="00572FAA"/>
    <w:rsid w:val="0057332B"/>
    <w:rsid w:val="00573A34"/>
    <w:rsid w:val="00573F08"/>
    <w:rsid w:val="00573F27"/>
    <w:rsid w:val="005740BE"/>
    <w:rsid w:val="0057483D"/>
    <w:rsid w:val="00574AD3"/>
    <w:rsid w:val="00574E3F"/>
    <w:rsid w:val="0057551A"/>
    <w:rsid w:val="00575724"/>
    <w:rsid w:val="00575F3B"/>
    <w:rsid w:val="00575F9A"/>
    <w:rsid w:val="005767ED"/>
    <w:rsid w:val="00576829"/>
    <w:rsid w:val="00576DC7"/>
    <w:rsid w:val="00576DF2"/>
    <w:rsid w:val="00576E6A"/>
    <w:rsid w:val="00577451"/>
    <w:rsid w:val="005776E1"/>
    <w:rsid w:val="0057794D"/>
    <w:rsid w:val="00577AB9"/>
    <w:rsid w:val="00577EC8"/>
    <w:rsid w:val="005801A1"/>
    <w:rsid w:val="005801F5"/>
    <w:rsid w:val="005803C9"/>
    <w:rsid w:val="00580541"/>
    <w:rsid w:val="00581010"/>
    <w:rsid w:val="0058106D"/>
    <w:rsid w:val="00581229"/>
    <w:rsid w:val="00581650"/>
    <w:rsid w:val="005817AB"/>
    <w:rsid w:val="005817B0"/>
    <w:rsid w:val="00581E5C"/>
    <w:rsid w:val="00581E92"/>
    <w:rsid w:val="00581F5A"/>
    <w:rsid w:val="005821FF"/>
    <w:rsid w:val="0058259F"/>
    <w:rsid w:val="00582A16"/>
    <w:rsid w:val="00582B86"/>
    <w:rsid w:val="00582BBC"/>
    <w:rsid w:val="0058305C"/>
    <w:rsid w:val="005831D6"/>
    <w:rsid w:val="00583B19"/>
    <w:rsid w:val="00583E60"/>
    <w:rsid w:val="005843E5"/>
    <w:rsid w:val="00584712"/>
    <w:rsid w:val="00584765"/>
    <w:rsid w:val="00584B47"/>
    <w:rsid w:val="00584D26"/>
    <w:rsid w:val="00585052"/>
    <w:rsid w:val="0058535E"/>
    <w:rsid w:val="00585435"/>
    <w:rsid w:val="005856C5"/>
    <w:rsid w:val="00585B17"/>
    <w:rsid w:val="00585FD1"/>
    <w:rsid w:val="005865D3"/>
    <w:rsid w:val="00586920"/>
    <w:rsid w:val="00586C8E"/>
    <w:rsid w:val="00587363"/>
    <w:rsid w:val="005874BF"/>
    <w:rsid w:val="00587769"/>
    <w:rsid w:val="005877E1"/>
    <w:rsid w:val="00587F8E"/>
    <w:rsid w:val="005901F4"/>
    <w:rsid w:val="005904FD"/>
    <w:rsid w:val="00590AAA"/>
    <w:rsid w:val="00590B6A"/>
    <w:rsid w:val="00590F83"/>
    <w:rsid w:val="00590FFE"/>
    <w:rsid w:val="00591CDF"/>
    <w:rsid w:val="00591FAA"/>
    <w:rsid w:val="00591FF1"/>
    <w:rsid w:val="005920D0"/>
    <w:rsid w:val="005923B2"/>
    <w:rsid w:val="0059241E"/>
    <w:rsid w:val="005924B6"/>
    <w:rsid w:val="00592706"/>
    <w:rsid w:val="00592808"/>
    <w:rsid w:val="00592824"/>
    <w:rsid w:val="00592982"/>
    <w:rsid w:val="00592AA9"/>
    <w:rsid w:val="00592C55"/>
    <w:rsid w:val="00592D91"/>
    <w:rsid w:val="005932BC"/>
    <w:rsid w:val="00593BD1"/>
    <w:rsid w:val="00593C48"/>
    <w:rsid w:val="00593EFC"/>
    <w:rsid w:val="00594966"/>
    <w:rsid w:val="00594B70"/>
    <w:rsid w:val="00594E50"/>
    <w:rsid w:val="00594EA9"/>
    <w:rsid w:val="005950CC"/>
    <w:rsid w:val="00595629"/>
    <w:rsid w:val="00595882"/>
    <w:rsid w:val="0059594C"/>
    <w:rsid w:val="00595DF5"/>
    <w:rsid w:val="0059606D"/>
    <w:rsid w:val="0059629D"/>
    <w:rsid w:val="0059697A"/>
    <w:rsid w:val="00596CB7"/>
    <w:rsid w:val="00596CF9"/>
    <w:rsid w:val="00596E8F"/>
    <w:rsid w:val="005971E8"/>
    <w:rsid w:val="0059733B"/>
    <w:rsid w:val="00597381"/>
    <w:rsid w:val="0059793D"/>
    <w:rsid w:val="00597A7B"/>
    <w:rsid w:val="00597C96"/>
    <w:rsid w:val="00597E81"/>
    <w:rsid w:val="005A0264"/>
    <w:rsid w:val="005A0391"/>
    <w:rsid w:val="005A100C"/>
    <w:rsid w:val="005A17F5"/>
    <w:rsid w:val="005A1A8C"/>
    <w:rsid w:val="005A1CB6"/>
    <w:rsid w:val="005A216F"/>
    <w:rsid w:val="005A267D"/>
    <w:rsid w:val="005A26D4"/>
    <w:rsid w:val="005A287D"/>
    <w:rsid w:val="005A2A3A"/>
    <w:rsid w:val="005A2BB3"/>
    <w:rsid w:val="005A3123"/>
    <w:rsid w:val="005A3196"/>
    <w:rsid w:val="005A329F"/>
    <w:rsid w:val="005A36DE"/>
    <w:rsid w:val="005A371F"/>
    <w:rsid w:val="005A3990"/>
    <w:rsid w:val="005A4630"/>
    <w:rsid w:val="005A4FF1"/>
    <w:rsid w:val="005A4FF3"/>
    <w:rsid w:val="005A5244"/>
    <w:rsid w:val="005A53B3"/>
    <w:rsid w:val="005A54AC"/>
    <w:rsid w:val="005A5A06"/>
    <w:rsid w:val="005A5C43"/>
    <w:rsid w:val="005A5ED4"/>
    <w:rsid w:val="005A5F45"/>
    <w:rsid w:val="005A6604"/>
    <w:rsid w:val="005A677F"/>
    <w:rsid w:val="005A72ED"/>
    <w:rsid w:val="005A76B6"/>
    <w:rsid w:val="005A78F9"/>
    <w:rsid w:val="005A7E02"/>
    <w:rsid w:val="005A7F90"/>
    <w:rsid w:val="005B0537"/>
    <w:rsid w:val="005B0633"/>
    <w:rsid w:val="005B0BAF"/>
    <w:rsid w:val="005B10A8"/>
    <w:rsid w:val="005B141F"/>
    <w:rsid w:val="005B14DD"/>
    <w:rsid w:val="005B1A3E"/>
    <w:rsid w:val="005B1BF5"/>
    <w:rsid w:val="005B1D61"/>
    <w:rsid w:val="005B20A8"/>
    <w:rsid w:val="005B23B9"/>
    <w:rsid w:val="005B2CD5"/>
    <w:rsid w:val="005B2D9F"/>
    <w:rsid w:val="005B2E0D"/>
    <w:rsid w:val="005B2F67"/>
    <w:rsid w:val="005B31BA"/>
    <w:rsid w:val="005B36A9"/>
    <w:rsid w:val="005B3B26"/>
    <w:rsid w:val="005B4169"/>
    <w:rsid w:val="005B47A7"/>
    <w:rsid w:val="005B4A6F"/>
    <w:rsid w:val="005B4BE8"/>
    <w:rsid w:val="005B4CA4"/>
    <w:rsid w:val="005B55EA"/>
    <w:rsid w:val="005B59B5"/>
    <w:rsid w:val="005B5A6C"/>
    <w:rsid w:val="005B5C27"/>
    <w:rsid w:val="005B5CF2"/>
    <w:rsid w:val="005B636A"/>
    <w:rsid w:val="005B6544"/>
    <w:rsid w:val="005B6740"/>
    <w:rsid w:val="005B6802"/>
    <w:rsid w:val="005B6BD4"/>
    <w:rsid w:val="005B6F65"/>
    <w:rsid w:val="005B7298"/>
    <w:rsid w:val="005B7671"/>
    <w:rsid w:val="005B780C"/>
    <w:rsid w:val="005B7A6D"/>
    <w:rsid w:val="005B7AA7"/>
    <w:rsid w:val="005B7B67"/>
    <w:rsid w:val="005C03E5"/>
    <w:rsid w:val="005C056F"/>
    <w:rsid w:val="005C06FA"/>
    <w:rsid w:val="005C0CFA"/>
    <w:rsid w:val="005C0E4A"/>
    <w:rsid w:val="005C0EC3"/>
    <w:rsid w:val="005C1104"/>
    <w:rsid w:val="005C111A"/>
    <w:rsid w:val="005C11F8"/>
    <w:rsid w:val="005C17A0"/>
    <w:rsid w:val="005C17AC"/>
    <w:rsid w:val="005C220E"/>
    <w:rsid w:val="005C239E"/>
    <w:rsid w:val="005C242A"/>
    <w:rsid w:val="005C2765"/>
    <w:rsid w:val="005C3162"/>
    <w:rsid w:val="005C3249"/>
    <w:rsid w:val="005C342A"/>
    <w:rsid w:val="005C3753"/>
    <w:rsid w:val="005C3778"/>
    <w:rsid w:val="005C37AB"/>
    <w:rsid w:val="005C39B7"/>
    <w:rsid w:val="005C3C0F"/>
    <w:rsid w:val="005C3C49"/>
    <w:rsid w:val="005C3DFC"/>
    <w:rsid w:val="005C3E0B"/>
    <w:rsid w:val="005C403B"/>
    <w:rsid w:val="005C486F"/>
    <w:rsid w:val="005C497D"/>
    <w:rsid w:val="005C4BEB"/>
    <w:rsid w:val="005C516C"/>
    <w:rsid w:val="005C51DF"/>
    <w:rsid w:val="005C5A3B"/>
    <w:rsid w:val="005C5B3F"/>
    <w:rsid w:val="005C5B92"/>
    <w:rsid w:val="005C5D99"/>
    <w:rsid w:val="005C5EB4"/>
    <w:rsid w:val="005C60C5"/>
    <w:rsid w:val="005C60CC"/>
    <w:rsid w:val="005C6568"/>
    <w:rsid w:val="005C660A"/>
    <w:rsid w:val="005C6B61"/>
    <w:rsid w:val="005C6D4E"/>
    <w:rsid w:val="005C7E8D"/>
    <w:rsid w:val="005D0556"/>
    <w:rsid w:val="005D0D9B"/>
    <w:rsid w:val="005D13CE"/>
    <w:rsid w:val="005D1762"/>
    <w:rsid w:val="005D178B"/>
    <w:rsid w:val="005D17DB"/>
    <w:rsid w:val="005D1B2D"/>
    <w:rsid w:val="005D222D"/>
    <w:rsid w:val="005D2D26"/>
    <w:rsid w:val="005D3215"/>
    <w:rsid w:val="005D35D6"/>
    <w:rsid w:val="005D4196"/>
    <w:rsid w:val="005D4502"/>
    <w:rsid w:val="005D4750"/>
    <w:rsid w:val="005D47EC"/>
    <w:rsid w:val="005D4827"/>
    <w:rsid w:val="005D48D7"/>
    <w:rsid w:val="005D4FF0"/>
    <w:rsid w:val="005D5401"/>
    <w:rsid w:val="005D5555"/>
    <w:rsid w:val="005D5B91"/>
    <w:rsid w:val="005D5D74"/>
    <w:rsid w:val="005D5DD4"/>
    <w:rsid w:val="005D5DFE"/>
    <w:rsid w:val="005D632D"/>
    <w:rsid w:val="005D664E"/>
    <w:rsid w:val="005D67C1"/>
    <w:rsid w:val="005D67CE"/>
    <w:rsid w:val="005D684D"/>
    <w:rsid w:val="005D6EB9"/>
    <w:rsid w:val="005D6F29"/>
    <w:rsid w:val="005D6FF9"/>
    <w:rsid w:val="005D724F"/>
    <w:rsid w:val="005D74D7"/>
    <w:rsid w:val="005D7AC0"/>
    <w:rsid w:val="005D7CB4"/>
    <w:rsid w:val="005E0A03"/>
    <w:rsid w:val="005E0CAB"/>
    <w:rsid w:val="005E0D25"/>
    <w:rsid w:val="005E0ED4"/>
    <w:rsid w:val="005E0FEF"/>
    <w:rsid w:val="005E155F"/>
    <w:rsid w:val="005E1805"/>
    <w:rsid w:val="005E1D6A"/>
    <w:rsid w:val="005E2A42"/>
    <w:rsid w:val="005E30A7"/>
    <w:rsid w:val="005E3196"/>
    <w:rsid w:val="005E3447"/>
    <w:rsid w:val="005E3927"/>
    <w:rsid w:val="005E397F"/>
    <w:rsid w:val="005E3988"/>
    <w:rsid w:val="005E3CD3"/>
    <w:rsid w:val="005E3F3F"/>
    <w:rsid w:val="005E47AB"/>
    <w:rsid w:val="005E4963"/>
    <w:rsid w:val="005E4DA5"/>
    <w:rsid w:val="005E52C1"/>
    <w:rsid w:val="005E5325"/>
    <w:rsid w:val="005E5572"/>
    <w:rsid w:val="005E5581"/>
    <w:rsid w:val="005E5BBE"/>
    <w:rsid w:val="005E5C88"/>
    <w:rsid w:val="005E5D2E"/>
    <w:rsid w:val="005E5D51"/>
    <w:rsid w:val="005E62AB"/>
    <w:rsid w:val="005E6506"/>
    <w:rsid w:val="005E67A9"/>
    <w:rsid w:val="005E6C39"/>
    <w:rsid w:val="005E7CFC"/>
    <w:rsid w:val="005E7FC6"/>
    <w:rsid w:val="005F007B"/>
    <w:rsid w:val="005F0686"/>
    <w:rsid w:val="005F0C3B"/>
    <w:rsid w:val="005F0CEA"/>
    <w:rsid w:val="005F1BA1"/>
    <w:rsid w:val="005F1BD3"/>
    <w:rsid w:val="005F1F4F"/>
    <w:rsid w:val="005F2384"/>
    <w:rsid w:val="005F2398"/>
    <w:rsid w:val="005F24EA"/>
    <w:rsid w:val="005F2A3B"/>
    <w:rsid w:val="005F2DA8"/>
    <w:rsid w:val="005F2DAF"/>
    <w:rsid w:val="005F2E0B"/>
    <w:rsid w:val="005F33FE"/>
    <w:rsid w:val="005F3AA0"/>
    <w:rsid w:val="005F3B3C"/>
    <w:rsid w:val="005F4781"/>
    <w:rsid w:val="005F4D83"/>
    <w:rsid w:val="005F50BC"/>
    <w:rsid w:val="005F5324"/>
    <w:rsid w:val="005F54D3"/>
    <w:rsid w:val="005F54E9"/>
    <w:rsid w:val="005F568D"/>
    <w:rsid w:val="005F5AC1"/>
    <w:rsid w:val="005F5BCA"/>
    <w:rsid w:val="005F647C"/>
    <w:rsid w:val="005F6787"/>
    <w:rsid w:val="005F6AFB"/>
    <w:rsid w:val="005F6C06"/>
    <w:rsid w:val="005F743F"/>
    <w:rsid w:val="005F770D"/>
    <w:rsid w:val="005F794D"/>
    <w:rsid w:val="005F7C03"/>
    <w:rsid w:val="005F7C73"/>
    <w:rsid w:val="005F7CD7"/>
    <w:rsid w:val="005F7D34"/>
    <w:rsid w:val="006001AF"/>
    <w:rsid w:val="00600EA0"/>
    <w:rsid w:val="006010DA"/>
    <w:rsid w:val="0060128C"/>
    <w:rsid w:val="0060133B"/>
    <w:rsid w:val="006015EF"/>
    <w:rsid w:val="00601A51"/>
    <w:rsid w:val="00601F7F"/>
    <w:rsid w:val="0060206A"/>
    <w:rsid w:val="006020CB"/>
    <w:rsid w:val="0060217A"/>
    <w:rsid w:val="006024B4"/>
    <w:rsid w:val="006025B0"/>
    <w:rsid w:val="00602D8B"/>
    <w:rsid w:val="0060354B"/>
    <w:rsid w:val="0060361D"/>
    <w:rsid w:val="00603732"/>
    <w:rsid w:val="00603794"/>
    <w:rsid w:val="00603A41"/>
    <w:rsid w:val="00603AD6"/>
    <w:rsid w:val="00603BB6"/>
    <w:rsid w:val="00603DAF"/>
    <w:rsid w:val="0060411C"/>
    <w:rsid w:val="0060422F"/>
    <w:rsid w:val="00604284"/>
    <w:rsid w:val="006042F5"/>
    <w:rsid w:val="00604857"/>
    <w:rsid w:val="00604BBA"/>
    <w:rsid w:val="00604D11"/>
    <w:rsid w:val="006054FB"/>
    <w:rsid w:val="006057E4"/>
    <w:rsid w:val="0060590A"/>
    <w:rsid w:val="00606133"/>
    <w:rsid w:val="00606599"/>
    <w:rsid w:val="0060666B"/>
    <w:rsid w:val="00606768"/>
    <w:rsid w:val="00606BC7"/>
    <w:rsid w:val="00606C45"/>
    <w:rsid w:val="00606D6B"/>
    <w:rsid w:val="00606E12"/>
    <w:rsid w:val="006074EE"/>
    <w:rsid w:val="00607840"/>
    <w:rsid w:val="006079E7"/>
    <w:rsid w:val="00607EFC"/>
    <w:rsid w:val="0060F49E"/>
    <w:rsid w:val="006105BF"/>
    <w:rsid w:val="00610887"/>
    <w:rsid w:val="00610A20"/>
    <w:rsid w:val="00610E1D"/>
    <w:rsid w:val="006110B0"/>
    <w:rsid w:val="006110B1"/>
    <w:rsid w:val="0061113A"/>
    <w:rsid w:val="00611357"/>
    <w:rsid w:val="0061135D"/>
    <w:rsid w:val="006113A1"/>
    <w:rsid w:val="006114CC"/>
    <w:rsid w:val="00611A11"/>
    <w:rsid w:val="0061216F"/>
    <w:rsid w:val="0061217E"/>
    <w:rsid w:val="006121FD"/>
    <w:rsid w:val="006124ED"/>
    <w:rsid w:val="006125BF"/>
    <w:rsid w:val="00612AFE"/>
    <w:rsid w:val="00612C68"/>
    <w:rsid w:val="00613087"/>
    <w:rsid w:val="0061315B"/>
    <w:rsid w:val="0061320A"/>
    <w:rsid w:val="0061372F"/>
    <w:rsid w:val="006137CD"/>
    <w:rsid w:val="00613920"/>
    <w:rsid w:val="0061403C"/>
    <w:rsid w:val="0061479B"/>
    <w:rsid w:val="00614906"/>
    <w:rsid w:val="006149B5"/>
    <w:rsid w:val="00614A0E"/>
    <w:rsid w:val="00614B2C"/>
    <w:rsid w:val="00614C5D"/>
    <w:rsid w:val="00615661"/>
    <w:rsid w:val="00615A64"/>
    <w:rsid w:val="00615B1B"/>
    <w:rsid w:val="00616750"/>
    <w:rsid w:val="00616B47"/>
    <w:rsid w:val="00616CF7"/>
    <w:rsid w:val="00616FD7"/>
    <w:rsid w:val="006170C2"/>
    <w:rsid w:val="00617194"/>
    <w:rsid w:val="006172D0"/>
    <w:rsid w:val="006173F2"/>
    <w:rsid w:val="006176FB"/>
    <w:rsid w:val="006178FD"/>
    <w:rsid w:val="00617A73"/>
    <w:rsid w:val="00617D03"/>
    <w:rsid w:val="00617DE0"/>
    <w:rsid w:val="00617F0A"/>
    <w:rsid w:val="006204EA"/>
    <w:rsid w:val="006207B3"/>
    <w:rsid w:val="006208BF"/>
    <w:rsid w:val="00620B70"/>
    <w:rsid w:val="00620DEA"/>
    <w:rsid w:val="00620EC9"/>
    <w:rsid w:val="006216E7"/>
    <w:rsid w:val="00621F65"/>
    <w:rsid w:val="00621F95"/>
    <w:rsid w:val="00622053"/>
    <w:rsid w:val="00622200"/>
    <w:rsid w:val="006224A3"/>
    <w:rsid w:val="006227CD"/>
    <w:rsid w:val="00622AF8"/>
    <w:rsid w:val="00622D5D"/>
    <w:rsid w:val="00622FE0"/>
    <w:rsid w:val="006231C0"/>
    <w:rsid w:val="006231D8"/>
    <w:rsid w:val="00623458"/>
    <w:rsid w:val="0062381D"/>
    <w:rsid w:val="00623825"/>
    <w:rsid w:val="00624025"/>
    <w:rsid w:val="006242F7"/>
    <w:rsid w:val="00624300"/>
    <w:rsid w:val="006243B5"/>
    <w:rsid w:val="00624521"/>
    <w:rsid w:val="00624738"/>
    <w:rsid w:val="006247B6"/>
    <w:rsid w:val="00624977"/>
    <w:rsid w:val="00624CB3"/>
    <w:rsid w:val="00625190"/>
    <w:rsid w:val="006255AA"/>
    <w:rsid w:val="00625792"/>
    <w:rsid w:val="006257E9"/>
    <w:rsid w:val="00625BFD"/>
    <w:rsid w:val="00625E54"/>
    <w:rsid w:val="00626066"/>
    <w:rsid w:val="00626666"/>
    <w:rsid w:val="00626D64"/>
    <w:rsid w:val="00626DF1"/>
    <w:rsid w:val="00626E73"/>
    <w:rsid w:val="0062722F"/>
    <w:rsid w:val="006272AC"/>
    <w:rsid w:val="00627915"/>
    <w:rsid w:val="00627BC4"/>
    <w:rsid w:val="00627C55"/>
    <w:rsid w:val="00627F24"/>
    <w:rsid w:val="00630E00"/>
    <w:rsid w:val="00631697"/>
    <w:rsid w:val="006317AD"/>
    <w:rsid w:val="006318A8"/>
    <w:rsid w:val="0063246C"/>
    <w:rsid w:val="00632554"/>
    <w:rsid w:val="00632773"/>
    <w:rsid w:val="00632A08"/>
    <w:rsid w:val="00632B65"/>
    <w:rsid w:val="00632D9A"/>
    <w:rsid w:val="00632FCE"/>
    <w:rsid w:val="0063312B"/>
    <w:rsid w:val="006331A4"/>
    <w:rsid w:val="006336BD"/>
    <w:rsid w:val="00633D02"/>
    <w:rsid w:val="00633DBE"/>
    <w:rsid w:val="006341D5"/>
    <w:rsid w:val="00634319"/>
    <w:rsid w:val="006346D4"/>
    <w:rsid w:val="00634E8B"/>
    <w:rsid w:val="00635213"/>
    <w:rsid w:val="00635554"/>
    <w:rsid w:val="006364F3"/>
    <w:rsid w:val="0063650D"/>
    <w:rsid w:val="00636531"/>
    <w:rsid w:val="00636651"/>
    <w:rsid w:val="006367D9"/>
    <w:rsid w:val="006369CB"/>
    <w:rsid w:val="00636EED"/>
    <w:rsid w:val="00636F5B"/>
    <w:rsid w:val="00637078"/>
    <w:rsid w:val="0063743D"/>
    <w:rsid w:val="00637589"/>
    <w:rsid w:val="006376E8"/>
    <w:rsid w:val="0063773F"/>
    <w:rsid w:val="00637B55"/>
    <w:rsid w:val="00637E30"/>
    <w:rsid w:val="00640D29"/>
    <w:rsid w:val="00640D4B"/>
    <w:rsid w:val="00640D95"/>
    <w:rsid w:val="00640DF0"/>
    <w:rsid w:val="0064117F"/>
    <w:rsid w:val="0064122E"/>
    <w:rsid w:val="006412F8"/>
    <w:rsid w:val="00641652"/>
    <w:rsid w:val="00641ADA"/>
    <w:rsid w:val="00641B6D"/>
    <w:rsid w:val="00641D6C"/>
    <w:rsid w:val="00641D9B"/>
    <w:rsid w:val="00642371"/>
    <w:rsid w:val="006425EC"/>
    <w:rsid w:val="00643316"/>
    <w:rsid w:val="006440CD"/>
    <w:rsid w:val="0064485F"/>
    <w:rsid w:val="00644C67"/>
    <w:rsid w:val="00645357"/>
    <w:rsid w:val="006456E8"/>
    <w:rsid w:val="00645989"/>
    <w:rsid w:val="006459D5"/>
    <w:rsid w:val="00646138"/>
    <w:rsid w:val="006462E7"/>
    <w:rsid w:val="006465ED"/>
    <w:rsid w:val="00646638"/>
    <w:rsid w:val="00646BC0"/>
    <w:rsid w:val="00646C70"/>
    <w:rsid w:val="00646EAB"/>
    <w:rsid w:val="006477C5"/>
    <w:rsid w:val="00647DD2"/>
    <w:rsid w:val="00650771"/>
    <w:rsid w:val="006508C7"/>
    <w:rsid w:val="00650F22"/>
    <w:rsid w:val="00651349"/>
    <w:rsid w:val="00651C31"/>
    <w:rsid w:val="00651DB0"/>
    <w:rsid w:val="00652957"/>
    <w:rsid w:val="006529EB"/>
    <w:rsid w:val="00652DEF"/>
    <w:rsid w:val="00653325"/>
    <w:rsid w:val="006535F0"/>
    <w:rsid w:val="00653836"/>
    <w:rsid w:val="00654141"/>
    <w:rsid w:val="00654344"/>
    <w:rsid w:val="00654353"/>
    <w:rsid w:val="006545FB"/>
    <w:rsid w:val="0065464E"/>
    <w:rsid w:val="00654764"/>
    <w:rsid w:val="0065492F"/>
    <w:rsid w:val="00654BA6"/>
    <w:rsid w:val="00654C71"/>
    <w:rsid w:val="00654CE4"/>
    <w:rsid w:val="00654F7D"/>
    <w:rsid w:val="00655336"/>
    <w:rsid w:val="00655801"/>
    <w:rsid w:val="006558D3"/>
    <w:rsid w:val="00655ABF"/>
    <w:rsid w:val="00655BA1"/>
    <w:rsid w:val="00655CCF"/>
    <w:rsid w:val="0065608A"/>
    <w:rsid w:val="006560B5"/>
    <w:rsid w:val="00656F99"/>
    <w:rsid w:val="00657107"/>
    <w:rsid w:val="00657382"/>
    <w:rsid w:val="00657588"/>
    <w:rsid w:val="006576F5"/>
    <w:rsid w:val="006577BB"/>
    <w:rsid w:val="00657AD9"/>
    <w:rsid w:val="00657C7C"/>
    <w:rsid w:val="00657D73"/>
    <w:rsid w:val="006600E4"/>
    <w:rsid w:val="0066099A"/>
    <w:rsid w:val="006619AA"/>
    <w:rsid w:val="006619C9"/>
    <w:rsid w:val="00661E25"/>
    <w:rsid w:val="00661EBA"/>
    <w:rsid w:val="00661EDB"/>
    <w:rsid w:val="00662005"/>
    <w:rsid w:val="00662020"/>
    <w:rsid w:val="006620D2"/>
    <w:rsid w:val="0066217F"/>
    <w:rsid w:val="006622EF"/>
    <w:rsid w:val="00662610"/>
    <w:rsid w:val="006628F1"/>
    <w:rsid w:val="00663019"/>
    <w:rsid w:val="006636C1"/>
    <w:rsid w:val="006636E2"/>
    <w:rsid w:val="00663B72"/>
    <w:rsid w:val="00663B9A"/>
    <w:rsid w:val="00663E07"/>
    <w:rsid w:val="006643EC"/>
    <w:rsid w:val="00664739"/>
    <w:rsid w:val="00664E3D"/>
    <w:rsid w:val="006653E5"/>
    <w:rsid w:val="0066543D"/>
    <w:rsid w:val="006657EC"/>
    <w:rsid w:val="00665C06"/>
    <w:rsid w:val="00666215"/>
    <w:rsid w:val="006669E9"/>
    <w:rsid w:val="00666C7B"/>
    <w:rsid w:val="00666E4F"/>
    <w:rsid w:val="00667120"/>
    <w:rsid w:val="00667395"/>
    <w:rsid w:val="0066745C"/>
    <w:rsid w:val="0066787D"/>
    <w:rsid w:val="0066791B"/>
    <w:rsid w:val="00667B4F"/>
    <w:rsid w:val="00667DB4"/>
    <w:rsid w:val="006700A4"/>
    <w:rsid w:val="006701E1"/>
    <w:rsid w:val="00670369"/>
    <w:rsid w:val="0067055A"/>
    <w:rsid w:val="006707B6"/>
    <w:rsid w:val="00670803"/>
    <w:rsid w:val="00670916"/>
    <w:rsid w:val="00670BE3"/>
    <w:rsid w:val="00670DA0"/>
    <w:rsid w:val="00670DD9"/>
    <w:rsid w:val="00670F55"/>
    <w:rsid w:val="00671192"/>
    <w:rsid w:val="00671556"/>
    <w:rsid w:val="00671696"/>
    <w:rsid w:val="00671A31"/>
    <w:rsid w:val="00672019"/>
    <w:rsid w:val="0067202A"/>
    <w:rsid w:val="00672063"/>
    <w:rsid w:val="0067270D"/>
    <w:rsid w:val="0067275E"/>
    <w:rsid w:val="00672CF8"/>
    <w:rsid w:val="006732D5"/>
    <w:rsid w:val="0067348E"/>
    <w:rsid w:val="0067399B"/>
    <w:rsid w:val="006739C1"/>
    <w:rsid w:val="006739F4"/>
    <w:rsid w:val="00673A94"/>
    <w:rsid w:val="00673C00"/>
    <w:rsid w:val="00673E0A"/>
    <w:rsid w:val="00673E98"/>
    <w:rsid w:val="00674861"/>
    <w:rsid w:val="00674B36"/>
    <w:rsid w:val="00674D70"/>
    <w:rsid w:val="00674E56"/>
    <w:rsid w:val="006754FB"/>
    <w:rsid w:val="00675915"/>
    <w:rsid w:val="00675A2E"/>
    <w:rsid w:val="00675A73"/>
    <w:rsid w:val="00676292"/>
    <w:rsid w:val="00676B44"/>
    <w:rsid w:val="00677320"/>
    <w:rsid w:val="006774A1"/>
    <w:rsid w:val="00677A98"/>
    <w:rsid w:val="00677AFF"/>
    <w:rsid w:val="00677F85"/>
    <w:rsid w:val="0068032C"/>
    <w:rsid w:val="00680492"/>
    <w:rsid w:val="0068067B"/>
    <w:rsid w:val="00681477"/>
    <w:rsid w:val="00681710"/>
    <w:rsid w:val="00681806"/>
    <w:rsid w:val="00681CEC"/>
    <w:rsid w:val="00682491"/>
    <w:rsid w:val="00682514"/>
    <w:rsid w:val="0068264F"/>
    <w:rsid w:val="006839CD"/>
    <w:rsid w:val="00683A43"/>
    <w:rsid w:val="00684295"/>
    <w:rsid w:val="006845DE"/>
    <w:rsid w:val="00684659"/>
    <w:rsid w:val="00684935"/>
    <w:rsid w:val="00684DF7"/>
    <w:rsid w:val="00685085"/>
    <w:rsid w:val="0068508B"/>
    <w:rsid w:val="00685680"/>
    <w:rsid w:val="0068568C"/>
    <w:rsid w:val="00685C22"/>
    <w:rsid w:val="0068605D"/>
    <w:rsid w:val="00686332"/>
    <w:rsid w:val="006865D5"/>
    <w:rsid w:val="00686742"/>
    <w:rsid w:val="00686C6A"/>
    <w:rsid w:val="00687A17"/>
    <w:rsid w:val="00690038"/>
    <w:rsid w:val="00690B34"/>
    <w:rsid w:val="00690B72"/>
    <w:rsid w:val="00690BBF"/>
    <w:rsid w:val="00690C1A"/>
    <w:rsid w:val="00690DB9"/>
    <w:rsid w:val="0069122F"/>
    <w:rsid w:val="00691649"/>
    <w:rsid w:val="00691742"/>
    <w:rsid w:val="0069190D"/>
    <w:rsid w:val="00691B49"/>
    <w:rsid w:val="00691BD5"/>
    <w:rsid w:val="00691E07"/>
    <w:rsid w:val="00691E4F"/>
    <w:rsid w:val="00691EAE"/>
    <w:rsid w:val="006922E9"/>
    <w:rsid w:val="00692405"/>
    <w:rsid w:val="0069246E"/>
    <w:rsid w:val="006924A7"/>
    <w:rsid w:val="00692657"/>
    <w:rsid w:val="00692D36"/>
    <w:rsid w:val="0069307C"/>
    <w:rsid w:val="00693489"/>
    <w:rsid w:val="006934D4"/>
    <w:rsid w:val="00693814"/>
    <w:rsid w:val="00693841"/>
    <w:rsid w:val="00693CCA"/>
    <w:rsid w:val="00694124"/>
    <w:rsid w:val="006941A4"/>
    <w:rsid w:val="006943B1"/>
    <w:rsid w:val="00694794"/>
    <w:rsid w:val="00694845"/>
    <w:rsid w:val="00694D50"/>
    <w:rsid w:val="00695412"/>
    <w:rsid w:val="00695472"/>
    <w:rsid w:val="00695627"/>
    <w:rsid w:val="00696021"/>
    <w:rsid w:val="00696102"/>
    <w:rsid w:val="00696228"/>
    <w:rsid w:val="00696AAF"/>
    <w:rsid w:val="00696AEA"/>
    <w:rsid w:val="00696E55"/>
    <w:rsid w:val="00696F3D"/>
    <w:rsid w:val="006972A7"/>
    <w:rsid w:val="00697513"/>
    <w:rsid w:val="00697608"/>
    <w:rsid w:val="00697ACF"/>
    <w:rsid w:val="006A0266"/>
    <w:rsid w:val="006A06A6"/>
    <w:rsid w:val="006A0B09"/>
    <w:rsid w:val="006A0DF7"/>
    <w:rsid w:val="006A0F99"/>
    <w:rsid w:val="006A109F"/>
    <w:rsid w:val="006A11D8"/>
    <w:rsid w:val="006A15D5"/>
    <w:rsid w:val="006A193B"/>
    <w:rsid w:val="006A1C43"/>
    <w:rsid w:val="006A1C7B"/>
    <w:rsid w:val="006A1D22"/>
    <w:rsid w:val="006A1D62"/>
    <w:rsid w:val="006A1D63"/>
    <w:rsid w:val="006A2089"/>
    <w:rsid w:val="006A222E"/>
    <w:rsid w:val="006A2295"/>
    <w:rsid w:val="006A237D"/>
    <w:rsid w:val="006A24B6"/>
    <w:rsid w:val="006A27A6"/>
    <w:rsid w:val="006A2BFE"/>
    <w:rsid w:val="006A3716"/>
    <w:rsid w:val="006A3854"/>
    <w:rsid w:val="006A39B2"/>
    <w:rsid w:val="006A3DFE"/>
    <w:rsid w:val="006A43F4"/>
    <w:rsid w:val="006A5020"/>
    <w:rsid w:val="006A5309"/>
    <w:rsid w:val="006A535E"/>
    <w:rsid w:val="006A5471"/>
    <w:rsid w:val="006A59E2"/>
    <w:rsid w:val="006A6277"/>
    <w:rsid w:val="006A6A5B"/>
    <w:rsid w:val="006A6CCF"/>
    <w:rsid w:val="006A71EA"/>
    <w:rsid w:val="006A7568"/>
    <w:rsid w:val="006A7A2C"/>
    <w:rsid w:val="006A7D5D"/>
    <w:rsid w:val="006A7D90"/>
    <w:rsid w:val="006A7E7E"/>
    <w:rsid w:val="006B0186"/>
    <w:rsid w:val="006B0422"/>
    <w:rsid w:val="006B0437"/>
    <w:rsid w:val="006B0C58"/>
    <w:rsid w:val="006B0D22"/>
    <w:rsid w:val="006B108E"/>
    <w:rsid w:val="006B10AC"/>
    <w:rsid w:val="006B12E6"/>
    <w:rsid w:val="006B1564"/>
    <w:rsid w:val="006B1950"/>
    <w:rsid w:val="006B19FB"/>
    <w:rsid w:val="006B1B44"/>
    <w:rsid w:val="006B1C77"/>
    <w:rsid w:val="006B1C87"/>
    <w:rsid w:val="006B1FD6"/>
    <w:rsid w:val="006B220B"/>
    <w:rsid w:val="006B22F8"/>
    <w:rsid w:val="006B26E1"/>
    <w:rsid w:val="006B2889"/>
    <w:rsid w:val="006B2B83"/>
    <w:rsid w:val="006B30B6"/>
    <w:rsid w:val="006B3176"/>
    <w:rsid w:val="006B326E"/>
    <w:rsid w:val="006B36BD"/>
    <w:rsid w:val="006B4056"/>
    <w:rsid w:val="006B44B8"/>
    <w:rsid w:val="006B45E7"/>
    <w:rsid w:val="006B467A"/>
    <w:rsid w:val="006B48C2"/>
    <w:rsid w:val="006B4F8A"/>
    <w:rsid w:val="006B51D4"/>
    <w:rsid w:val="006B53AA"/>
    <w:rsid w:val="006B54A0"/>
    <w:rsid w:val="006B57CA"/>
    <w:rsid w:val="006B5B3C"/>
    <w:rsid w:val="006B603C"/>
    <w:rsid w:val="006B6067"/>
    <w:rsid w:val="006B73E4"/>
    <w:rsid w:val="006B75D6"/>
    <w:rsid w:val="006B7735"/>
    <w:rsid w:val="006B7799"/>
    <w:rsid w:val="006B7ACD"/>
    <w:rsid w:val="006B7EE8"/>
    <w:rsid w:val="006C03F9"/>
    <w:rsid w:val="006C0CC1"/>
    <w:rsid w:val="006C103D"/>
    <w:rsid w:val="006C11A0"/>
    <w:rsid w:val="006C12D5"/>
    <w:rsid w:val="006C14AE"/>
    <w:rsid w:val="006C17A4"/>
    <w:rsid w:val="006C1885"/>
    <w:rsid w:val="006C1D9A"/>
    <w:rsid w:val="006C1E02"/>
    <w:rsid w:val="006C1F3D"/>
    <w:rsid w:val="006C20E1"/>
    <w:rsid w:val="006C2186"/>
    <w:rsid w:val="006C2623"/>
    <w:rsid w:val="006C2CA7"/>
    <w:rsid w:val="006C2ECD"/>
    <w:rsid w:val="006C2F24"/>
    <w:rsid w:val="006C2FE2"/>
    <w:rsid w:val="006C2FE5"/>
    <w:rsid w:val="006C3338"/>
    <w:rsid w:val="006C3656"/>
    <w:rsid w:val="006C372E"/>
    <w:rsid w:val="006C3997"/>
    <w:rsid w:val="006C3B99"/>
    <w:rsid w:val="006C3C06"/>
    <w:rsid w:val="006C402B"/>
    <w:rsid w:val="006C4302"/>
    <w:rsid w:val="006C4337"/>
    <w:rsid w:val="006C437E"/>
    <w:rsid w:val="006C4B22"/>
    <w:rsid w:val="006C4D68"/>
    <w:rsid w:val="006C4DA2"/>
    <w:rsid w:val="006C52BD"/>
    <w:rsid w:val="006C54A5"/>
    <w:rsid w:val="006C54CC"/>
    <w:rsid w:val="006C5A7F"/>
    <w:rsid w:val="006C6218"/>
    <w:rsid w:val="006C6546"/>
    <w:rsid w:val="006C69BF"/>
    <w:rsid w:val="006C6DEB"/>
    <w:rsid w:val="006C6DFA"/>
    <w:rsid w:val="006C77A1"/>
    <w:rsid w:val="006C78E2"/>
    <w:rsid w:val="006C7AA7"/>
    <w:rsid w:val="006C7E73"/>
    <w:rsid w:val="006C7FCB"/>
    <w:rsid w:val="006D01AA"/>
    <w:rsid w:val="006D01B3"/>
    <w:rsid w:val="006D0517"/>
    <w:rsid w:val="006D06B6"/>
    <w:rsid w:val="006D0D77"/>
    <w:rsid w:val="006D0F08"/>
    <w:rsid w:val="006D0F0F"/>
    <w:rsid w:val="006D1373"/>
    <w:rsid w:val="006D1763"/>
    <w:rsid w:val="006D199D"/>
    <w:rsid w:val="006D1FE9"/>
    <w:rsid w:val="006D25E0"/>
    <w:rsid w:val="006D285C"/>
    <w:rsid w:val="006D2906"/>
    <w:rsid w:val="006D2C71"/>
    <w:rsid w:val="006D35DC"/>
    <w:rsid w:val="006D368B"/>
    <w:rsid w:val="006D397B"/>
    <w:rsid w:val="006D3AF6"/>
    <w:rsid w:val="006D3CD3"/>
    <w:rsid w:val="006D42E9"/>
    <w:rsid w:val="006D4654"/>
    <w:rsid w:val="006D4920"/>
    <w:rsid w:val="006D4D11"/>
    <w:rsid w:val="006D5438"/>
    <w:rsid w:val="006D5C22"/>
    <w:rsid w:val="006D5F14"/>
    <w:rsid w:val="006D614C"/>
    <w:rsid w:val="006D6282"/>
    <w:rsid w:val="006D63D2"/>
    <w:rsid w:val="006D6721"/>
    <w:rsid w:val="006D691F"/>
    <w:rsid w:val="006D6A7F"/>
    <w:rsid w:val="006D6BF0"/>
    <w:rsid w:val="006D6C07"/>
    <w:rsid w:val="006D703D"/>
    <w:rsid w:val="006D70F5"/>
    <w:rsid w:val="006D720E"/>
    <w:rsid w:val="006D74D0"/>
    <w:rsid w:val="006D756F"/>
    <w:rsid w:val="006D7869"/>
    <w:rsid w:val="006E0460"/>
    <w:rsid w:val="006E0EC3"/>
    <w:rsid w:val="006E0F58"/>
    <w:rsid w:val="006E0FBB"/>
    <w:rsid w:val="006E1128"/>
    <w:rsid w:val="006E1428"/>
    <w:rsid w:val="006E14D0"/>
    <w:rsid w:val="006E14D4"/>
    <w:rsid w:val="006E1A20"/>
    <w:rsid w:val="006E1BFF"/>
    <w:rsid w:val="006E1EDF"/>
    <w:rsid w:val="006E221D"/>
    <w:rsid w:val="006E241B"/>
    <w:rsid w:val="006E2592"/>
    <w:rsid w:val="006E28AE"/>
    <w:rsid w:val="006E2B5F"/>
    <w:rsid w:val="006E2BDF"/>
    <w:rsid w:val="006E3931"/>
    <w:rsid w:val="006E3C21"/>
    <w:rsid w:val="006E3EF7"/>
    <w:rsid w:val="006E428E"/>
    <w:rsid w:val="006E444C"/>
    <w:rsid w:val="006E4AF8"/>
    <w:rsid w:val="006E5280"/>
    <w:rsid w:val="006E5541"/>
    <w:rsid w:val="006E5AF3"/>
    <w:rsid w:val="006E619E"/>
    <w:rsid w:val="006E647E"/>
    <w:rsid w:val="006E75E9"/>
    <w:rsid w:val="006E7663"/>
    <w:rsid w:val="006E76AA"/>
    <w:rsid w:val="006E7972"/>
    <w:rsid w:val="006E7BCE"/>
    <w:rsid w:val="006F003C"/>
    <w:rsid w:val="006F0C80"/>
    <w:rsid w:val="006F0DC1"/>
    <w:rsid w:val="006F1140"/>
    <w:rsid w:val="006F18B5"/>
    <w:rsid w:val="006F1AA0"/>
    <w:rsid w:val="006F2863"/>
    <w:rsid w:val="006F28B4"/>
    <w:rsid w:val="006F30E5"/>
    <w:rsid w:val="006F315D"/>
    <w:rsid w:val="006F3470"/>
    <w:rsid w:val="006F34DB"/>
    <w:rsid w:val="006F37FB"/>
    <w:rsid w:val="006F385B"/>
    <w:rsid w:val="006F395A"/>
    <w:rsid w:val="006F3D89"/>
    <w:rsid w:val="006F47F0"/>
    <w:rsid w:val="006F4886"/>
    <w:rsid w:val="006F5375"/>
    <w:rsid w:val="006F53F3"/>
    <w:rsid w:val="006F54C4"/>
    <w:rsid w:val="006F561B"/>
    <w:rsid w:val="006F5AD2"/>
    <w:rsid w:val="006F5C36"/>
    <w:rsid w:val="006F5DA6"/>
    <w:rsid w:val="006F61E3"/>
    <w:rsid w:val="006F6413"/>
    <w:rsid w:val="006F66EA"/>
    <w:rsid w:val="006F6958"/>
    <w:rsid w:val="006F6B98"/>
    <w:rsid w:val="006F6DBF"/>
    <w:rsid w:val="006F714E"/>
    <w:rsid w:val="006F71E9"/>
    <w:rsid w:val="006F7626"/>
    <w:rsid w:val="006F7848"/>
    <w:rsid w:val="006F7BC7"/>
    <w:rsid w:val="006F7E17"/>
    <w:rsid w:val="00700240"/>
    <w:rsid w:val="007005A2"/>
    <w:rsid w:val="007011B3"/>
    <w:rsid w:val="007015C2"/>
    <w:rsid w:val="00701E5B"/>
    <w:rsid w:val="00701F64"/>
    <w:rsid w:val="00701F8B"/>
    <w:rsid w:val="007026B0"/>
    <w:rsid w:val="00702805"/>
    <w:rsid w:val="00702B66"/>
    <w:rsid w:val="007030BC"/>
    <w:rsid w:val="00704013"/>
    <w:rsid w:val="007040D1"/>
    <w:rsid w:val="0070466A"/>
    <w:rsid w:val="00704DAD"/>
    <w:rsid w:val="00704DC7"/>
    <w:rsid w:val="00704DD0"/>
    <w:rsid w:val="00704F1F"/>
    <w:rsid w:val="00704FD1"/>
    <w:rsid w:val="0070529E"/>
    <w:rsid w:val="00705370"/>
    <w:rsid w:val="00705599"/>
    <w:rsid w:val="00705956"/>
    <w:rsid w:val="007059DB"/>
    <w:rsid w:val="007059EC"/>
    <w:rsid w:val="0070667E"/>
    <w:rsid w:val="007069DB"/>
    <w:rsid w:val="00706D47"/>
    <w:rsid w:val="00707223"/>
    <w:rsid w:val="00707672"/>
    <w:rsid w:val="00707D8E"/>
    <w:rsid w:val="00707EDF"/>
    <w:rsid w:val="0071035D"/>
    <w:rsid w:val="00710673"/>
    <w:rsid w:val="0071067A"/>
    <w:rsid w:val="00710B87"/>
    <w:rsid w:val="00710CA8"/>
    <w:rsid w:val="00710CAD"/>
    <w:rsid w:val="00710CB6"/>
    <w:rsid w:val="00711048"/>
    <w:rsid w:val="0071105E"/>
    <w:rsid w:val="007110E5"/>
    <w:rsid w:val="00711484"/>
    <w:rsid w:val="007117EF"/>
    <w:rsid w:val="007118EE"/>
    <w:rsid w:val="00711AB5"/>
    <w:rsid w:val="00711C50"/>
    <w:rsid w:val="00711F90"/>
    <w:rsid w:val="0071214A"/>
    <w:rsid w:val="00712154"/>
    <w:rsid w:val="0071270F"/>
    <w:rsid w:val="00712993"/>
    <w:rsid w:val="00712B56"/>
    <w:rsid w:val="00712E1E"/>
    <w:rsid w:val="00712F32"/>
    <w:rsid w:val="007132A1"/>
    <w:rsid w:val="007132B2"/>
    <w:rsid w:val="00713424"/>
    <w:rsid w:val="007140F9"/>
    <w:rsid w:val="00714263"/>
    <w:rsid w:val="00714312"/>
    <w:rsid w:val="00714687"/>
    <w:rsid w:val="007149A0"/>
    <w:rsid w:val="00714D1B"/>
    <w:rsid w:val="00715066"/>
    <w:rsid w:val="00715274"/>
    <w:rsid w:val="00715372"/>
    <w:rsid w:val="0071583B"/>
    <w:rsid w:val="00716058"/>
    <w:rsid w:val="00716318"/>
    <w:rsid w:val="00716902"/>
    <w:rsid w:val="00717BD1"/>
    <w:rsid w:val="00717E65"/>
    <w:rsid w:val="00720226"/>
    <w:rsid w:val="0072043C"/>
    <w:rsid w:val="00720463"/>
    <w:rsid w:val="00720F4C"/>
    <w:rsid w:val="00721005"/>
    <w:rsid w:val="007213FE"/>
    <w:rsid w:val="007229D7"/>
    <w:rsid w:val="00722B5E"/>
    <w:rsid w:val="00722CE1"/>
    <w:rsid w:val="00722FD5"/>
    <w:rsid w:val="007237BC"/>
    <w:rsid w:val="00723A2D"/>
    <w:rsid w:val="00723BDE"/>
    <w:rsid w:val="00723C51"/>
    <w:rsid w:val="00723D3A"/>
    <w:rsid w:val="00723DD2"/>
    <w:rsid w:val="007240BD"/>
    <w:rsid w:val="00724483"/>
    <w:rsid w:val="00724692"/>
    <w:rsid w:val="007247E1"/>
    <w:rsid w:val="007254B3"/>
    <w:rsid w:val="007259F4"/>
    <w:rsid w:val="00725B2A"/>
    <w:rsid w:val="00725D04"/>
    <w:rsid w:val="00726424"/>
    <w:rsid w:val="00726877"/>
    <w:rsid w:val="00726B82"/>
    <w:rsid w:val="007270B0"/>
    <w:rsid w:val="0072783F"/>
    <w:rsid w:val="00727B47"/>
    <w:rsid w:val="00727C81"/>
    <w:rsid w:val="0073026E"/>
    <w:rsid w:val="0073031B"/>
    <w:rsid w:val="007303E8"/>
    <w:rsid w:val="007306FB"/>
    <w:rsid w:val="007308C0"/>
    <w:rsid w:val="00730B2B"/>
    <w:rsid w:val="0073175D"/>
    <w:rsid w:val="00731A20"/>
    <w:rsid w:val="00731A38"/>
    <w:rsid w:val="00731AC1"/>
    <w:rsid w:val="00731EE8"/>
    <w:rsid w:val="007321B9"/>
    <w:rsid w:val="007327DE"/>
    <w:rsid w:val="00732A3E"/>
    <w:rsid w:val="00732FB3"/>
    <w:rsid w:val="00733288"/>
    <w:rsid w:val="007335D4"/>
    <w:rsid w:val="007337E1"/>
    <w:rsid w:val="0073394A"/>
    <w:rsid w:val="00733EE6"/>
    <w:rsid w:val="00733F24"/>
    <w:rsid w:val="00734629"/>
    <w:rsid w:val="007349C9"/>
    <w:rsid w:val="00735331"/>
    <w:rsid w:val="007353C1"/>
    <w:rsid w:val="00735582"/>
    <w:rsid w:val="007355C1"/>
    <w:rsid w:val="00735FAD"/>
    <w:rsid w:val="007366E0"/>
    <w:rsid w:val="00736C1F"/>
    <w:rsid w:val="00737177"/>
    <w:rsid w:val="0073761D"/>
    <w:rsid w:val="00737879"/>
    <w:rsid w:val="00737FB2"/>
    <w:rsid w:val="00740880"/>
    <w:rsid w:val="00740889"/>
    <w:rsid w:val="007409EE"/>
    <w:rsid w:val="00740DBE"/>
    <w:rsid w:val="00741110"/>
    <w:rsid w:val="00741444"/>
    <w:rsid w:val="007418CF"/>
    <w:rsid w:val="00741E01"/>
    <w:rsid w:val="007424E5"/>
    <w:rsid w:val="007428DB"/>
    <w:rsid w:val="0074295C"/>
    <w:rsid w:val="00742B22"/>
    <w:rsid w:val="00742D63"/>
    <w:rsid w:val="00742D7C"/>
    <w:rsid w:val="00742E0C"/>
    <w:rsid w:val="00742E9C"/>
    <w:rsid w:val="00743374"/>
    <w:rsid w:val="007438E9"/>
    <w:rsid w:val="00743ABB"/>
    <w:rsid w:val="00743D1B"/>
    <w:rsid w:val="007440F7"/>
    <w:rsid w:val="007444DD"/>
    <w:rsid w:val="0074454B"/>
    <w:rsid w:val="0074468C"/>
    <w:rsid w:val="007446CF"/>
    <w:rsid w:val="007448A8"/>
    <w:rsid w:val="00744DAE"/>
    <w:rsid w:val="00744F90"/>
    <w:rsid w:val="00744FA5"/>
    <w:rsid w:val="00745494"/>
    <w:rsid w:val="007458FA"/>
    <w:rsid w:val="00745BFF"/>
    <w:rsid w:val="007461A2"/>
    <w:rsid w:val="007461B3"/>
    <w:rsid w:val="00746347"/>
    <w:rsid w:val="007466F0"/>
    <w:rsid w:val="0074678F"/>
    <w:rsid w:val="007469BB"/>
    <w:rsid w:val="007469F4"/>
    <w:rsid w:val="00746A4F"/>
    <w:rsid w:val="00746ACE"/>
    <w:rsid w:val="00746ED9"/>
    <w:rsid w:val="00746F5A"/>
    <w:rsid w:val="007474F0"/>
    <w:rsid w:val="007501EA"/>
    <w:rsid w:val="007502BD"/>
    <w:rsid w:val="007503F3"/>
    <w:rsid w:val="00751454"/>
    <w:rsid w:val="00752428"/>
    <w:rsid w:val="007527F1"/>
    <w:rsid w:val="00753324"/>
    <w:rsid w:val="00753D3C"/>
    <w:rsid w:val="007540BD"/>
    <w:rsid w:val="00754257"/>
    <w:rsid w:val="00754300"/>
    <w:rsid w:val="00754A8F"/>
    <w:rsid w:val="00754EEC"/>
    <w:rsid w:val="0075500F"/>
    <w:rsid w:val="007553D8"/>
    <w:rsid w:val="00755770"/>
    <w:rsid w:val="0075587E"/>
    <w:rsid w:val="00756251"/>
    <w:rsid w:val="0075649C"/>
    <w:rsid w:val="007564A6"/>
    <w:rsid w:val="0075679C"/>
    <w:rsid w:val="00756814"/>
    <w:rsid w:val="007568F1"/>
    <w:rsid w:val="00756930"/>
    <w:rsid w:val="007572E0"/>
    <w:rsid w:val="00757EDE"/>
    <w:rsid w:val="00757FBC"/>
    <w:rsid w:val="0076053E"/>
    <w:rsid w:val="007609A7"/>
    <w:rsid w:val="00760A4F"/>
    <w:rsid w:val="00760AF2"/>
    <w:rsid w:val="00760C67"/>
    <w:rsid w:val="00760EF6"/>
    <w:rsid w:val="00761248"/>
    <w:rsid w:val="00761279"/>
    <w:rsid w:val="0076165B"/>
    <w:rsid w:val="00761735"/>
    <w:rsid w:val="007618AA"/>
    <w:rsid w:val="00761969"/>
    <w:rsid w:val="00761B00"/>
    <w:rsid w:val="00761E52"/>
    <w:rsid w:val="007620CC"/>
    <w:rsid w:val="00762931"/>
    <w:rsid w:val="00762C1F"/>
    <w:rsid w:val="00762C67"/>
    <w:rsid w:val="00762C7B"/>
    <w:rsid w:val="00763348"/>
    <w:rsid w:val="0076443D"/>
    <w:rsid w:val="00764906"/>
    <w:rsid w:val="00764C35"/>
    <w:rsid w:val="00764E3D"/>
    <w:rsid w:val="00765028"/>
    <w:rsid w:val="0076558C"/>
    <w:rsid w:val="007659BB"/>
    <w:rsid w:val="00765D75"/>
    <w:rsid w:val="00766088"/>
    <w:rsid w:val="0076696B"/>
    <w:rsid w:val="00766ACF"/>
    <w:rsid w:val="00766CD6"/>
    <w:rsid w:val="00766EC9"/>
    <w:rsid w:val="007679A3"/>
    <w:rsid w:val="007679F2"/>
    <w:rsid w:val="00767F5B"/>
    <w:rsid w:val="007700F0"/>
    <w:rsid w:val="007705BE"/>
    <w:rsid w:val="007709C7"/>
    <w:rsid w:val="00770A0B"/>
    <w:rsid w:val="00770DD9"/>
    <w:rsid w:val="00771847"/>
    <w:rsid w:val="00771B6A"/>
    <w:rsid w:val="00771BE3"/>
    <w:rsid w:val="0077215D"/>
    <w:rsid w:val="00772392"/>
    <w:rsid w:val="00772A1A"/>
    <w:rsid w:val="00772C8C"/>
    <w:rsid w:val="00772E5F"/>
    <w:rsid w:val="00773348"/>
    <w:rsid w:val="00773467"/>
    <w:rsid w:val="007739D0"/>
    <w:rsid w:val="00773CDB"/>
    <w:rsid w:val="00773D42"/>
    <w:rsid w:val="00773FD1"/>
    <w:rsid w:val="00774206"/>
    <w:rsid w:val="00774619"/>
    <w:rsid w:val="00774A32"/>
    <w:rsid w:val="00774B4C"/>
    <w:rsid w:val="00774B8E"/>
    <w:rsid w:val="00774E65"/>
    <w:rsid w:val="00775409"/>
    <w:rsid w:val="007758D7"/>
    <w:rsid w:val="00775A94"/>
    <w:rsid w:val="00775E90"/>
    <w:rsid w:val="00775FA5"/>
    <w:rsid w:val="007764DF"/>
    <w:rsid w:val="00776785"/>
    <w:rsid w:val="007767FA"/>
    <w:rsid w:val="00776D73"/>
    <w:rsid w:val="00780000"/>
    <w:rsid w:val="00780658"/>
    <w:rsid w:val="007807FD"/>
    <w:rsid w:val="007815BC"/>
    <w:rsid w:val="0078166C"/>
    <w:rsid w:val="00781C44"/>
    <w:rsid w:val="00781E47"/>
    <w:rsid w:val="0078215D"/>
    <w:rsid w:val="007823CF"/>
    <w:rsid w:val="00782E4E"/>
    <w:rsid w:val="00782F61"/>
    <w:rsid w:val="00783454"/>
    <w:rsid w:val="00783AFA"/>
    <w:rsid w:val="00783CD6"/>
    <w:rsid w:val="00784264"/>
    <w:rsid w:val="00784457"/>
    <w:rsid w:val="0078481C"/>
    <w:rsid w:val="00784A2B"/>
    <w:rsid w:val="00784C02"/>
    <w:rsid w:val="00784D13"/>
    <w:rsid w:val="0078508E"/>
    <w:rsid w:val="0078508F"/>
    <w:rsid w:val="00785352"/>
    <w:rsid w:val="00785848"/>
    <w:rsid w:val="00785C54"/>
    <w:rsid w:val="0078609F"/>
    <w:rsid w:val="00786956"/>
    <w:rsid w:val="007869A2"/>
    <w:rsid w:val="00786A4E"/>
    <w:rsid w:val="00786B65"/>
    <w:rsid w:val="007871DB"/>
    <w:rsid w:val="00787668"/>
    <w:rsid w:val="007876EA"/>
    <w:rsid w:val="00787708"/>
    <w:rsid w:val="00787B8E"/>
    <w:rsid w:val="00787FF0"/>
    <w:rsid w:val="0079014A"/>
    <w:rsid w:val="0079064C"/>
    <w:rsid w:val="00790A3D"/>
    <w:rsid w:val="00790E56"/>
    <w:rsid w:val="0079141C"/>
    <w:rsid w:val="00791907"/>
    <w:rsid w:val="00792138"/>
    <w:rsid w:val="0079261A"/>
    <w:rsid w:val="00792822"/>
    <w:rsid w:val="007928C5"/>
    <w:rsid w:val="007929A7"/>
    <w:rsid w:val="00792ABE"/>
    <w:rsid w:val="00792B80"/>
    <w:rsid w:val="00793192"/>
    <w:rsid w:val="007933CD"/>
    <w:rsid w:val="007935B6"/>
    <w:rsid w:val="007938D2"/>
    <w:rsid w:val="00793A88"/>
    <w:rsid w:val="00793E73"/>
    <w:rsid w:val="00794477"/>
    <w:rsid w:val="007944BE"/>
    <w:rsid w:val="00794630"/>
    <w:rsid w:val="00794C06"/>
    <w:rsid w:val="00794CAC"/>
    <w:rsid w:val="00794CB4"/>
    <w:rsid w:val="00794D9F"/>
    <w:rsid w:val="00794FBB"/>
    <w:rsid w:val="007951F2"/>
    <w:rsid w:val="007952BB"/>
    <w:rsid w:val="0079592F"/>
    <w:rsid w:val="00795C53"/>
    <w:rsid w:val="0079626C"/>
    <w:rsid w:val="00796417"/>
    <w:rsid w:val="00796714"/>
    <w:rsid w:val="0079686D"/>
    <w:rsid w:val="007976D9"/>
    <w:rsid w:val="00797B29"/>
    <w:rsid w:val="00797DBF"/>
    <w:rsid w:val="007A07CA"/>
    <w:rsid w:val="007A0E7F"/>
    <w:rsid w:val="007A0F94"/>
    <w:rsid w:val="007A1985"/>
    <w:rsid w:val="007A1B31"/>
    <w:rsid w:val="007A21CC"/>
    <w:rsid w:val="007A25E7"/>
    <w:rsid w:val="007A26CC"/>
    <w:rsid w:val="007A2741"/>
    <w:rsid w:val="007A28BA"/>
    <w:rsid w:val="007A29CA"/>
    <w:rsid w:val="007A29DB"/>
    <w:rsid w:val="007A2C06"/>
    <w:rsid w:val="007A2FEA"/>
    <w:rsid w:val="007A34D0"/>
    <w:rsid w:val="007A3501"/>
    <w:rsid w:val="007A390C"/>
    <w:rsid w:val="007A3A7C"/>
    <w:rsid w:val="007A3EF1"/>
    <w:rsid w:val="007A444D"/>
    <w:rsid w:val="007A448C"/>
    <w:rsid w:val="007A4544"/>
    <w:rsid w:val="007A49FF"/>
    <w:rsid w:val="007A4C52"/>
    <w:rsid w:val="007A4CD6"/>
    <w:rsid w:val="007A4DD7"/>
    <w:rsid w:val="007A4ED6"/>
    <w:rsid w:val="007A5304"/>
    <w:rsid w:val="007A583E"/>
    <w:rsid w:val="007A5851"/>
    <w:rsid w:val="007A58BA"/>
    <w:rsid w:val="007A5912"/>
    <w:rsid w:val="007A5D7F"/>
    <w:rsid w:val="007A5E19"/>
    <w:rsid w:val="007A6145"/>
    <w:rsid w:val="007A6377"/>
    <w:rsid w:val="007A6CAF"/>
    <w:rsid w:val="007A7013"/>
    <w:rsid w:val="007A73D1"/>
    <w:rsid w:val="007A751F"/>
    <w:rsid w:val="007A790A"/>
    <w:rsid w:val="007B0130"/>
    <w:rsid w:val="007B014B"/>
    <w:rsid w:val="007B01FE"/>
    <w:rsid w:val="007B0778"/>
    <w:rsid w:val="007B0BC6"/>
    <w:rsid w:val="007B148C"/>
    <w:rsid w:val="007B16AC"/>
    <w:rsid w:val="007B17AE"/>
    <w:rsid w:val="007B17E7"/>
    <w:rsid w:val="007B2443"/>
    <w:rsid w:val="007B31ED"/>
    <w:rsid w:val="007B3677"/>
    <w:rsid w:val="007B381C"/>
    <w:rsid w:val="007B3826"/>
    <w:rsid w:val="007B3B98"/>
    <w:rsid w:val="007B3C33"/>
    <w:rsid w:val="007B3C35"/>
    <w:rsid w:val="007B3EA5"/>
    <w:rsid w:val="007B4142"/>
    <w:rsid w:val="007B4D0E"/>
    <w:rsid w:val="007B4FFA"/>
    <w:rsid w:val="007B5168"/>
    <w:rsid w:val="007B53C1"/>
    <w:rsid w:val="007B54EC"/>
    <w:rsid w:val="007B55D9"/>
    <w:rsid w:val="007B5BA4"/>
    <w:rsid w:val="007B5D1A"/>
    <w:rsid w:val="007B66E9"/>
    <w:rsid w:val="007B6FCD"/>
    <w:rsid w:val="007B7549"/>
    <w:rsid w:val="007B7945"/>
    <w:rsid w:val="007B798F"/>
    <w:rsid w:val="007B7B90"/>
    <w:rsid w:val="007B7CAB"/>
    <w:rsid w:val="007B7E28"/>
    <w:rsid w:val="007C00B0"/>
    <w:rsid w:val="007C0228"/>
    <w:rsid w:val="007C0386"/>
    <w:rsid w:val="007C0BA8"/>
    <w:rsid w:val="007C0E78"/>
    <w:rsid w:val="007C12F9"/>
    <w:rsid w:val="007C15A7"/>
    <w:rsid w:val="007C167D"/>
    <w:rsid w:val="007C16B9"/>
    <w:rsid w:val="007C19F5"/>
    <w:rsid w:val="007C1A84"/>
    <w:rsid w:val="007C1C5A"/>
    <w:rsid w:val="007C1EB4"/>
    <w:rsid w:val="007C200F"/>
    <w:rsid w:val="007C2405"/>
    <w:rsid w:val="007C2831"/>
    <w:rsid w:val="007C284B"/>
    <w:rsid w:val="007C2B69"/>
    <w:rsid w:val="007C2D04"/>
    <w:rsid w:val="007C2E5F"/>
    <w:rsid w:val="007C3181"/>
    <w:rsid w:val="007C3355"/>
    <w:rsid w:val="007C37E0"/>
    <w:rsid w:val="007C37E4"/>
    <w:rsid w:val="007C3DE8"/>
    <w:rsid w:val="007C3F00"/>
    <w:rsid w:val="007C4063"/>
    <w:rsid w:val="007C42D0"/>
    <w:rsid w:val="007C4810"/>
    <w:rsid w:val="007C48FD"/>
    <w:rsid w:val="007C4A90"/>
    <w:rsid w:val="007C4BA0"/>
    <w:rsid w:val="007C4C06"/>
    <w:rsid w:val="007C4CB8"/>
    <w:rsid w:val="007C4D5E"/>
    <w:rsid w:val="007C517B"/>
    <w:rsid w:val="007C5371"/>
    <w:rsid w:val="007C543C"/>
    <w:rsid w:val="007C5739"/>
    <w:rsid w:val="007C5B54"/>
    <w:rsid w:val="007C5D08"/>
    <w:rsid w:val="007C6127"/>
    <w:rsid w:val="007C615E"/>
    <w:rsid w:val="007C621B"/>
    <w:rsid w:val="007C62D9"/>
    <w:rsid w:val="007C6377"/>
    <w:rsid w:val="007C64AB"/>
    <w:rsid w:val="007C689B"/>
    <w:rsid w:val="007C712F"/>
    <w:rsid w:val="007C74AC"/>
    <w:rsid w:val="007C77E6"/>
    <w:rsid w:val="007D0155"/>
    <w:rsid w:val="007D026C"/>
    <w:rsid w:val="007D036F"/>
    <w:rsid w:val="007D038F"/>
    <w:rsid w:val="007D049C"/>
    <w:rsid w:val="007D060F"/>
    <w:rsid w:val="007D0968"/>
    <w:rsid w:val="007D0A52"/>
    <w:rsid w:val="007D0A8F"/>
    <w:rsid w:val="007D0DB9"/>
    <w:rsid w:val="007D0F6A"/>
    <w:rsid w:val="007D105D"/>
    <w:rsid w:val="007D150A"/>
    <w:rsid w:val="007D165C"/>
    <w:rsid w:val="007D17CD"/>
    <w:rsid w:val="007D1846"/>
    <w:rsid w:val="007D18C2"/>
    <w:rsid w:val="007D1A56"/>
    <w:rsid w:val="007D2206"/>
    <w:rsid w:val="007D2733"/>
    <w:rsid w:val="007D2957"/>
    <w:rsid w:val="007D2E76"/>
    <w:rsid w:val="007D3246"/>
    <w:rsid w:val="007D33F0"/>
    <w:rsid w:val="007D34A2"/>
    <w:rsid w:val="007D37D1"/>
    <w:rsid w:val="007D4003"/>
    <w:rsid w:val="007D4773"/>
    <w:rsid w:val="007D485F"/>
    <w:rsid w:val="007D512A"/>
    <w:rsid w:val="007D58F3"/>
    <w:rsid w:val="007D5964"/>
    <w:rsid w:val="007D597D"/>
    <w:rsid w:val="007D5FED"/>
    <w:rsid w:val="007D639D"/>
    <w:rsid w:val="007D6F11"/>
    <w:rsid w:val="007D7068"/>
    <w:rsid w:val="007D70C9"/>
    <w:rsid w:val="007D7BF4"/>
    <w:rsid w:val="007E01AD"/>
    <w:rsid w:val="007E02A7"/>
    <w:rsid w:val="007E0559"/>
    <w:rsid w:val="007E0661"/>
    <w:rsid w:val="007E0BE8"/>
    <w:rsid w:val="007E0DF1"/>
    <w:rsid w:val="007E128D"/>
    <w:rsid w:val="007E1358"/>
    <w:rsid w:val="007E1368"/>
    <w:rsid w:val="007E1529"/>
    <w:rsid w:val="007E172A"/>
    <w:rsid w:val="007E17AB"/>
    <w:rsid w:val="007E1B51"/>
    <w:rsid w:val="007E21A0"/>
    <w:rsid w:val="007E275B"/>
    <w:rsid w:val="007E2AEC"/>
    <w:rsid w:val="007E2D57"/>
    <w:rsid w:val="007E2EAB"/>
    <w:rsid w:val="007E3149"/>
    <w:rsid w:val="007E3502"/>
    <w:rsid w:val="007E399E"/>
    <w:rsid w:val="007E3EE0"/>
    <w:rsid w:val="007E44BA"/>
    <w:rsid w:val="007E4696"/>
    <w:rsid w:val="007E4816"/>
    <w:rsid w:val="007E4DCF"/>
    <w:rsid w:val="007E4FE7"/>
    <w:rsid w:val="007E515F"/>
    <w:rsid w:val="007E578B"/>
    <w:rsid w:val="007E57CD"/>
    <w:rsid w:val="007E585D"/>
    <w:rsid w:val="007E5D9A"/>
    <w:rsid w:val="007E5DD2"/>
    <w:rsid w:val="007E617D"/>
    <w:rsid w:val="007E67D2"/>
    <w:rsid w:val="007E6D1E"/>
    <w:rsid w:val="007E6EE2"/>
    <w:rsid w:val="007E6F45"/>
    <w:rsid w:val="007E74E7"/>
    <w:rsid w:val="007E74F8"/>
    <w:rsid w:val="007E753B"/>
    <w:rsid w:val="007E75BF"/>
    <w:rsid w:val="007E76E2"/>
    <w:rsid w:val="007E7788"/>
    <w:rsid w:val="007E7AB8"/>
    <w:rsid w:val="007F0775"/>
    <w:rsid w:val="007F07F8"/>
    <w:rsid w:val="007F0A30"/>
    <w:rsid w:val="007F11C1"/>
    <w:rsid w:val="007F11D0"/>
    <w:rsid w:val="007F1C3D"/>
    <w:rsid w:val="007F225E"/>
    <w:rsid w:val="007F239D"/>
    <w:rsid w:val="007F23AB"/>
    <w:rsid w:val="007F23B8"/>
    <w:rsid w:val="007F2660"/>
    <w:rsid w:val="007F26C2"/>
    <w:rsid w:val="007F2872"/>
    <w:rsid w:val="007F2A64"/>
    <w:rsid w:val="007F31D0"/>
    <w:rsid w:val="007F3364"/>
    <w:rsid w:val="007F3A2F"/>
    <w:rsid w:val="007F3AC4"/>
    <w:rsid w:val="007F3B97"/>
    <w:rsid w:val="007F3CF1"/>
    <w:rsid w:val="007F4185"/>
    <w:rsid w:val="007F4560"/>
    <w:rsid w:val="007F4616"/>
    <w:rsid w:val="007F4677"/>
    <w:rsid w:val="007F4960"/>
    <w:rsid w:val="007F4CD2"/>
    <w:rsid w:val="007F4D5B"/>
    <w:rsid w:val="007F4F6B"/>
    <w:rsid w:val="007F51FC"/>
    <w:rsid w:val="007F530D"/>
    <w:rsid w:val="007F53D3"/>
    <w:rsid w:val="007F53F6"/>
    <w:rsid w:val="007F56D1"/>
    <w:rsid w:val="007F5722"/>
    <w:rsid w:val="007F5AE7"/>
    <w:rsid w:val="007F5B40"/>
    <w:rsid w:val="007F5BE3"/>
    <w:rsid w:val="007F5D14"/>
    <w:rsid w:val="007F606B"/>
    <w:rsid w:val="007F614C"/>
    <w:rsid w:val="007F636D"/>
    <w:rsid w:val="007F6B2D"/>
    <w:rsid w:val="007F70E0"/>
    <w:rsid w:val="007F71D5"/>
    <w:rsid w:val="007F72E4"/>
    <w:rsid w:val="007F75AB"/>
    <w:rsid w:val="007F7792"/>
    <w:rsid w:val="007F7EA3"/>
    <w:rsid w:val="008004BD"/>
    <w:rsid w:val="0080064B"/>
    <w:rsid w:val="00800B0A"/>
    <w:rsid w:val="00800BAC"/>
    <w:rsid w:val="00800BBF"/>
    <w:rsid w:val="008011F1"/>
    <w:rsid w:val="008015ED"/>
    <w:rsid w:val="0080166D"/>
    <w:rsid w:val="0080177A"/>
    <w:rsid w:val="0080187B"/>
    <w:rsid w:val="00802132"/>
    <w:rsid w:val="008026C3"/>
    <w:rsid w:val="00802C37"/>
    <w:rsid w:val="00802E4A"/>
    <w:rsid w:val="0080324E"/>
    <w:rsid w:val="00803283"/>
    <w:rsid w:val="00803AA8"/>
    <w:rsid w:val="00803BCE"/>
    <w:rsid w:val="00804411"/>
    <w:rsid w:val="0080482E"/>
    <w:rsid w:val="00804885"/>
    <w:rsid w:val="00804B66"/>
    <w:rsid w:val="00804C0A"/>
    <w:rsid w:val="00804CFA"/>
    <w:rsid w:val="00805159"/>
    <w:rsid w:val="00805169"/>
    <w:rsid w:val="0080536E"/>
    <w:rsid w:val="008063E3"/>
    <w:rsid w:val="008065CC"/>
    <w:rsid w:val="00806617"/>
    <w:rsid w:val="008066DA"/>
    <w:rsid w:val="00806C3B"/>
    <w:rsid w:val="00806D67"/>
    <w:rsid w:val="00807178"/>
    <w:rsid w:val="00807B82"/>
    <w:rsid w:val="00807DA4"/>
    <w:rsid w:val="00807E32"/>
    <w:rsid w:val="00807F6E"/>
    <w:rsid w:val="00807F78"/>
    <w:rsid w:val="008102B8"/>
    <w:rsid w:val="008108E6"/>
    <w:rsid w:val="008108EE"/>
    <w:rsid w:val="0081153A"/>
    <w:rsid w:val="008116A3"/>
    <w:rsid w:val="0081180E"/>
    <w:rsid w:val="00811D0D"/>
    <w:rsid w:val="00811EDA"/>
    <w:rsid w:val="008122F7"/>
    <w:rsid w:val="008126BF"/>
    <w:rsid w:val="00812D8C"/>
    <w:rsid w:val="00812DB4"/>
    <w:rsid w:val="00812F5A"/>
    <w:rsid w:val="00812FB2"/>
    <w:rsid w:val="00813221"/>
    <w:rsid w:val="008132A9"/>
    <w:rsid w:val="008132E4"/>
    <w:rsid w:val="00813D30"/>
    <w:rsid w:val="00813D39"/>
    <w:rsid w:val="008142F8"/>
    <w:rsid w:val="008144E9"/>
    <w:rsid w:val="00814527"/>
    <w:rsid w:val="00814B02"/>
    <w:rsid w:val="008158F7"/>
    <w:rsid w:val="00815D3C"/>
    <w:rsid w:val="00815DCD"/>
    <w:rsid w:val="00815F67"/>
    <w:rsid w:val="00815F76"/>
    <w:rsid w:val="00815FF2"/>
    <w:rsid w:val="0081610A"/>
    <w:rsid w:val="0081688B"/>
    <w:rsid w:val="00816D0C"/>
    <w:rsid w:val="00817067"/>
    <w:rsid w:val="00817146"/>
    <w:rsid w:val="008173A3"/>
    <w:rsid w:val="0081741D"/>
    <w:rsid w:val="0081749C"/>
    <w:rsid w:val="0081764B"/>
    <w:rsid w:val="00817948"/>
    <w:rsid w:val="00817C40"/>
    <w:rsid w:val="00817CEA"/>
    <w:rsid w:val="0082018B"/>
    <w:rsid w:val="008208F7"/>
    <w:rsid w:val="00820BC9"/>
    <w:rsid w:val="00820FC1"/>
    <w:rsid w:val="00821241"/>
    <w:rsid w:val="00821291"/>
    <w:rsid w:val="008213F1"/>
    <w:rsid w:val="008214D8"/>
    <w:rsid w:val="008215CE"/>
    <w:rsid w:val="0082173C"/>
    <w:rsid w:val="00821DE2"/>
    <w:rsid w:val="00821E90"/>
    <w:rsid w:val="00822142"/>
    <w:rsid w:val="0082219C"/>
    <w:rsid w:val="008226D8"/>
    <w:rsid w:val="00822E4F"/>
    <w:rsid w:val="00822E59"/>
    <w:rsid w:val="00822E95"/>
    <w:rsid w:val="008232BB"/>
    <w:rsid w:val="00823497"/>
    <w:rsid w:val="00823B76"/>
    <w:rsid w:val="008242EE"/>
    <w:rsid w:val="008247A1"/>
    <w:rsid w:val="008249BF"/>
    <w:rsid w:val="00824C74"/>
    <w:rsid w:val="00824F05"/>
    <w:rsid w:val="008253CE"/>
    <w:rsid w:val="00825440"/>
    <w:rsid w:val="008259A0"/>
    <w:rsid w:val="00825C70"/>
    <w:rsid w:val="00825DC7"/>
    <w:rsid w:val="00825DCD"/>
    <w:rsid w:val="00825EC4"/>
    <w:rsid w:val="008263C0"/>
    <w:rsid w:val="00826BE8"/>
    <w:rsid w:val="00826E25"/>
    <w:rsid w:val="0082700E"/>
    <w:rsid w:val="0082713C"/>
    <w:rsid w:val="00827308"/>
    <w:rsid w:val="008273F0"/>
    <w:rsid w:val="0082747E"/>
    <w:rsid w:val="00827588"/>
    <w:rsid w:val="00827651"/>
    <w:rsid w:val="00827B21"/>
    <w:rsid w:val="00827D9B"/>
    <w:rsid w:val="00827DF2"/>
    <w:rsid w:val="00827ECE"/>
    <w:rsid w:val="008300BB"/>
    <w:rsid w:val="008305C1"/>
    <w:rsid w:val="0083095C"/>
    <w:rsid w:val="00830C08"/>
    <w:rsid w:val="00830CD8"/>
    <w:rsid w:val="00830F3E"/>
    <w:rsid w:val="00831022"/>
    <w:rsid w:val="00831035"/>
    <w:rsid w:val="00831363"/>
    <w:rsid w:val="008314E2"/>
    <w:rsid w:val="008318E9"/>
    <w:rsid w:val="00831C5F"/>
    <w:rsid w:val="00831D00"/>
    <w:rsid w:val="00831DBA"/>
    <w:rsid w:val="00832150"/>
    <w:rsid w:val="00832818"/>
    <w:rsid w:val="00832998"/>
    <w:rsid w:val="00832DDE"/>
    <w:rsid w:val="00832E77"/>
    <w:rsid w:val="0083333F"/>
    <w:rsid w:val="00833601"/>
    <w:rsid w:val="00833782"/>
    <w:rsid w:val="00833C5F"/>
    <w:rsid w:val="008340DD"/>
    <w:rsid w:val="008341BF"/>
    <w:rsid w:val="008343D7"/>
    <w:rsid w:val="00834954"/>
    <w:rsid w:val="008349F5"/>
    <w:rsid w:val="008350BB"/>
    <w:rsid w:val="00835221"/>
    <w:rsid w:val="00835243"/>
    <w:rsid w:val="0083526A"/>
    <w:rsid w:val="00835A0E"/>
    <w:rsid w:val="0083623A"/>
    <w:rsid w:val="00836518"/>
    <w:rsid w:val="008368C6"/>
    <w:rsid w:val="00836E14"/>
    <w:rsid w:val="00836F2D"/>
    <w:rsid w:val="00837729"/>
    <w:rsid w:val="0083777D"/>
    <w:rsid w:val="00837B40"/>
    <w:rsid w:val="00840477"/>
    <w:rsid w:val="008407B5"/>
    <w:rsid w:val="008410C3"/>
    <w:rsid w:val="008411AF"/>
    <w:rsid w:val="00841846"/>
    <w:rsid w:val="008419D1"/>
    <w:rsid w:val="00841A6A"/>
    <w:rsid w:val="008421C5"/>
    <w:rsid w:val="00842364"/>
    <w:rsid w:val="008425D6"/>
    <w:rsid w:val="00842875"/>
    <w:rsid w:val="00842922"/>
    <w:rsid w:val="00842969"/>
    <w:rsid w:val="00842AE1"/>
    <w:rsid w:val="00842B49"/>
    <w:rsid w:val="00843372"/>
    <w:rsid w:val="00843471"/>
    <w:rsid w:val="008436EF"/>
    <w:rsid w:val="00843BD0"/>
    <w:rsid w:val="00843C1C"/>
    <w:rsid w:val="00843C2E"/>
    <w:rsid w:val="00843C5B"/>
    <w:rsid w:val="00843EEF"/>
    <w:rsid w:val="0084422F"/>
    <w:rsid w:val="00844302"/>
    <w:rsid w:val="00844D93"/>
    <w:rsid w:val="00845644"/>
    <w:rsid w:val="00845B9F"/>
    <w:rsid w:val="00845BCC"/>
    <w:rsid w:val="00845D45"/>
    <w:rsid w:val="008460F0"/>
    <w:rsid w:val="008461DA"/>
    <w:rsid w:val="0084626D"/>
    <w:rsid w:val="0084726B"/>
    <w:rsid w:val="0084729C"/>
    <w:rsid w:val="0084738D"/>
    <w:rsid w:val="0084740D"/>
    <w:rsid w:val="0084741B"/>
    <w:rsid w:val="0084773B"/>
    <w:rsid w:val="00847D0A"/>
    <w:rsid w:val="00847F1A"/>
    <w:rsid w:val="00850165"/>
    <w:rsid w:val="00850759"/>
    <w:rsid w:val="00850F37"/>
    <w:rsid w:val="0085153A"/>
    <w:rsid w:val="0085169F"/>
    <w:rsid w:val="00851796"/>
    <w:rsid w:val="00851905"/>
    <w:rsid w:val="00851976"/>
    <w:rsid w:val="00851F4B"/>
    <w:rsid w:val="0085213A"/>
    <w:rsid w:val="008522D5"/>
    <w:rsid w:val="008522E2"/>
    <w:rsid w:val="008523C3"/>
    <w:rsid w:val="008523D3"/>
    <w:rsid w:val="00852407"/>
    <w:rsid w:val="00852B0C"/>
    <w:rsid w:val="00852CD0"/>
    <w:rsid w:val="00852F7D"/>
    <w:rsid w:val="00852FC6"/>
    <w:rsid w:val="00853084"/>
    <w:rsid w:val="0085359B"/>
    <w:rsid w:val="00854106"/>
    <w:rsid w:val="00854537"/>
    <w:rsid w:val="008547D4"/>
    <w:rsid w:val="00854B27"/>
    <w:rsid w:val="00855076"/>
    <w:rsid w:val="00855527"/>
    <w:rsid w:val="00855545"/>
    <w:rsid w:val="0085615F"/>
    <w:rsid w:val="00856585"/>
    <w:rsid w:val="008566C7"/>
    <w:rsid w:val="00856A4C"/>
    <w:rsid w:val="00856AE4"/>
    <w:rsid w:val="00856BBA"/>
    <w:rsid w:val="00856F68"/>
    <w:rsid w:val="00857916"/>
    <w:rsid w:val="00857CCD"/>
    <w:rsid w:val="00857E12"/>
    <w:rsid w:val="00857F3A"/>
    <w:rsid w:val="008602F4"/>
    <w:rsid w:val="00860319"/>
    <w:rsid w:val="00860393"/>
    <w:rsid w:val="008607BC"/>
    <w:rsid w:val="00860CF7"/>
    <w:rsid w:val="008612E7"/>
    <w:rsid w:val="00861326"/>
    <w:rsid w:val="00861379"/>
    <w:rsid w:val="00861546"/>
    <w:rsid w:val="008619F4"/>
    <w:rsid w:val="00861AD8"/>
    <w:rsid w:val="00861C46"/>
    <w:rsid w:val="00861CDC"/>
    <w:rsid w:val="00861D70"/>
    <w:rsid w:val="00861EF8"/>
    <w:rsid w:val="0086203D"/>
    <w:rsid w:val="00862275"/>
    <w:rsid w:val="0086241A"/>
    <w:rsid w:val="00862427"/>
    <w:rsid w:val="0086288B"/>
    <w:rsid w:val="00862F72"/>
    <w:rsid w:val="0086302B"/>
    <w:rsid w:val="00863230"/>
    <w:rsid w:val="00863601"/>
    <w:rsid w:val="008641A7"/>
    <w:rsid w:val="00864254"/>
    <w:rsid w:val="008642A7"/>
    <w:rsid w:val="00864673"/>
    <w:rsid w:val="008647BC"/>
    <w:rsid w:val="00864914"/>
    <w:rsid w:val="00864CB3"/>
    <w:rsid w:val="00864CE6"/>
    <w:rsid w:val="00864EC8"/>
    <w:rsid w:val="00864EEB"/>
    <w:rsid w:val="00864FCD"/>
    <w:rsid w:val="0086521E"/>
    <w:rsid w:val="00865313"/>
    <w:rsid w:val="00865331"/>
    <w:rsid w:val="0086545C"/>
    <w:rsid w:val="008654B5"/>
    <w:rsid w:val="00865753"/>
    <w:rsid w:val="00865A0A"/>
    <w:rsid w:val="00865A5D"/>
    <w:rsid w:val="00865B27"/>
    <w:rsid w:val="00865C4D"/>
    <w:rsid w:val="00865E68"/>
    <w:rsid w:val="008666E0"/>
    <w:rsid w:val="00866A3A"/>
    <w:rsid w:val="00866E2D"/>
    <w:rsid w:val="00867703"/>
    <w:rsid w:val="00867967"/>
    <w:rsid w:val="00867C52"/>
    <w:rsid w:val="008705B2"/>
    <w:rsid w:val="00870642"/>
    <w:rsid w:val="008709C6"/>
    <w:rsid w:val="008709E5"/>
    <w:rsid w:val="00870B2E"/>
    <w:rsid w:val="00870B50"/>
    <w:rsid w:val="008712E8"/>
    <w:rsid w:val="00871410"/>
    <w:rsid w:val="00871658"/>
    <w:rsid w:val="00871674"/>
    <w:rsid w:val="008719E5"/>
    <w:rsid w:val="00871CBA"/>
    <w:rsid w:val="008722BA"/>
    <w:rsid w:val="00872309"/>
    <w:rsid w:val="008727C2"/>
    <w:rsid w:val="00872CF9"/>
    <w:rsid w:val="00872D2F"/>
    <w:rsid w:val="00872DEB"/>
    <w:rsid w:val="0087312F"/>
    <w:rsid w:val="00873318"/>
    <w:rsid w:val="00873735"/>
    <w:rsid w:val="00873D9B"/>
    <w:rsid w:val="00873EEA"/>
    <w:rsid w:val="00873FEC"/>
    <w:rsid w:val="0087452D"/>
    <w:rsid w:val="00874787"/>
    <w:rsid w:val="00874C9A"/>
    <w:rsid w:val="00874D22"/>
    <w:rsid w:val="00875D02"/>
    <w:rsid w:val="00875E65"/>
    <w:rsid w:val="008762EA"/>
    <w:rsid w:val="008763CE"/>
    <w:rsid w:val="0087683F"/>
    <w:rsid w:val="00876949"/>
    <w:rsid w:val="00876ADD"/>
    <w:rsid w:val="008773E5"/>
    <w:rsid w:val="00877E04"/>
    <w:rsid w:val="008800AC"/>
    <w:rsid w:val="0088019A"/>
    <w:rsid w:val="008805B1"/>
    <w:rsid w:val="008815BC"/>
    <w:rsid w:val="00881709"/>
    <w:rsid w:val="0088218C"/>
    <w:rsid w:val="00882274"/>
    <w:rsid w:val="0088235F"/>
    <w:rsid w:val="0088243B"/>
    <w:rsid w:val="00882978"/>
    <w:rsid w:val="008829C8"/>
    <w:rsid w:val="00882A09"/>
    <w:rsid w:val="00882DAB"/>
    <w:rsid w:val="00882E73"/>
    <w:rsid w:val="00882F6C"/>
    <w:rsid w:val="00882FE2"/>
    <w:rsid w:val="008834EC"/>
    <w:rsid w:val="008838F2"/>
    <w:rsid w:val="00883AD0"/>
    <w:rsid w:val="00883BC4"/>
    <w:rsid w:val="00884808"/>
    <w:rsid w:val="00884A1A"/>
    <w:rsid w:val="00884C76"/>
    <w:rsid w:val="00885009"/>
    <w:rsid w:val="0088521C"/>
    <w:rsid w:val="00885AE2"/>
    <w:rsid w:val="00885BBE"/>
    <w:rsid w:val="00885D83"/>
    <w:rsid w:val="00886411"/>
    <w:rsid w:val="00886C96"/>
    <w:rsid w:val="0088701C"/>
    <w:rsid w:val="008870E1"/>
    <w:rsid w:val="00887612"/>
    <w:rsid w:val="00887A22"/>
    <w:rsid w:val="00887B7D"/>
    <w:rsid w:val="00887E27"/>
    <w:rsid w:val="00887E2E"/>
    <w:rsid w:val="00890143"/>
    <w:rsid w:val="008905E4"/>
    <w:rsid w:val="00890804"/>
    <w:rsid w:val="00890EC4"/>
    <w:rsid w:val="00891237"/>
    <w:rsid w:val="008914F8"/>
    <w:rsid w:val="0089171C"/>
    <w:rsid w:val="00891A59"/>
    <w:rsid w:val="00891CBF"/>
    <w:rsid w:val="00891FC5"/>
    <w:rsid w:val="0089232A"/>
    <w:rsid w:val="00892B80"/>
    <w:rsid w:val="00893073"/>
    <w:rsid w:val="0089323A"/>
    <w:rsid w:val="00893710"/>
    <w:rsid w:val="00893781"/>
    <w:rsid w:val="00893918"/>
    <w:rsid w:val="00893A45"/>
    <w:rsid w:val="00893E07"/>
    <w:rsid w:val="00893EE7"/>
    <w:rsid w:val="00893EEE"/>
    <w:rsid w:val="00893F01"/>
    <w:rsid w:val="008946FE"/>
    <w:rsid w:val="008948E8"/>
    <w:rsid w:val="00894C7D"/>
    <w:rsid w:val="00894E6B"/>
    <w:rsid w:val="0089504D"/>
    <w:rsid w:val="0089517D"/>
    <w:rsid w:val="00895443"/>
    <w:rsid w:val="00895488"/>
    <w:rsid w:val="00895729"/>
    <w:rsid w:val="00895748"/>
    <w:rsid w:val="008957D7"/>
    <w:rsid w:val="00895DC6"/>
    <w:rsid w:val="00895ED3"/>
    <w:rsid w:val="00896203"/>
    <w:rsid w:val="0089698A"/>
    <w:rsid w:val="00896A43"/>
    <w:rsid w:val="00896DE1"/>
    <w:rsid w:val="00897714"/>
    <w:rsid w:val="00897AC6"/>
    <w:rsid w:val="00897BC3"/>
    <w:rsid w:val="00897BE8"/>
    <w:rsid w:val="008A0043"/>
    <w:rsid w:val="008A0345"/>
    <w:rsid w:val="008A0665"/>
    <w:rsid w:val="008A075D"/>
    <w:rsid w:val="008A0898"/>
    <w:rsid w:val="008A0B3B"/>
    <w:rsid w:val="008A12B0"/>
    <w:rsid w:val="008A1415"/>
    <w:rsid w:val="008A28DB"/>
    <w:rsid w:val="008A2A11"/>
    <w:rsid w:val="008A2AB3"/>
    <w:rsid w:val="008A302F"/>
    <w:rsid w:val="008A314E"/>
    <w:rsid w:val="008A3569"/>
    <w:rsid w:val="008A35EE"/>
    <w:rsid w:val="008A3894"/>
    <w:rsid w:val="008A3B03"/>
    <w:rsid w:val="008A3B74"/>
    <w:rsid w:val="008A4168"/>
    <w:rsid w:val="008A45D3"/>
    <w:rsid w:val="008A4750"/>
    <w:rsid w:val="008A4A8F"/>
    <w:rsid w:val="008A51AB"/>
    <w:rsid w:val="008A54DB"/>
    <w:rsid w:val="008A560C"/>
    <w:rsid w:val="008A5B97"/>
    <w:rsid w:val="008A5CAD"/>
    <w:rsid w:val="008A65C2"/>
    <w:rsid w:val="008A6BDC"/>
    <w:rsid w:val="008A6C8A"/>
    <w:rsid w:val="008A722D"/>
    <w:rsid w:val="008A72E6"/>
    <w:rsid w:val="008A7636"/>
    <w:rsid w:val="008A78B4"/>
    <w:rsid w:val="008A7A3A"/>
    <w:rsid w:val="008B0220"/>
    <w:rsid w:val="008B08AA"/>
    <w:rsid w:val="008B0950"/>
    <w:rsid w:val="008B14E7"/>
    <w:rsid w:val="008B1541"/>
    <w:rsid w:val="008B1BA2"/>
    <w:rsid w:val="008B1F4C"/>
    <w:rsid w:val="008B200D"/>
    <w:rsid w:val="008B2169"/>
    <w:rsid w:val="008B2A40"/>
    <w:rsid w:val="008B2AD3"/>
    <w:rsid w:val="008B2CA5"/>
    <w:rsid w:val="008B2F94"/>
    <w:rsid w:val="008B3169"/>
    <w:rsid w:val="008B3252"/>
    <w:rsid w:val="008B3913"/>
    <w:rsid w:val="008B3984"/>
    <w:rsid w:val="008B3ADF"/>
    <w:rsid w:val="008B3B13"/>
    <w:rsid w:val="008B3BEC"/>
    <w:rsid w:val="008B448F"/>
    <w:rsid w:val="008B4739"/>
    <w:rsid w:val="008B4774"/>
    <w:rsid w:val="008B47BF"/>
    <w:rsid w:val="008B4901"/>
    <w:rsid w:val="008B4A3E"/>
    <w:rsid w:val="008B4D0F"/>
    <w:rsid w:val="008B4DC7"/>
    <w:rsid w:val="008B546D"/>
    <w:rsid w:val="008B547E"/>
    <w:rsid w:val="008B57ED"/>
    <w:rsid w:val="008B65C3"/>
    <w:rsid w:val="008B6738"/>
    <w:rsid w:val="008B68A8"/>
    <w:rsid w:val="008B7141"/>
    <w:rsid w:val="008B71CC"/>
    <w:rsid w:val="008B7213"/>
    <w:rsid w:val="008B7227"/>
    <w:rsid w:val="008B726F"/>
    <w:rsid w:val="008B7660"/>
    <w:rsid w:val="008B788D"/>
    <w:rsid w:val="008B79DB"/>
    <w:rsid w:val="008B7BD1"/>
    <w:rsid w:val="008B7E56"/>
    <w:rsid w:val="008C0367"/>
    <w:rsid w:val="008C03F7"/>
    <w:rsid w:val="008C09BF"/>
    <w:rsid w:val="008C13F5"/>
    <w:rsid w:val="008C1675"/>
    <w:rsid w:val="008C1758"/>
    <w:rsid w:val="008C1833"/>
    <w:rsid w:val="008C19B3"/>
    <w:rsid w:val="008C1D4A"/>
    <w:rsid w:val="008C1FCE"/>
    <w:rsid w:val="008C217E"/>
    <w:rsid w:val="008C21C3"/>
    <w:rsid w:val="008C2549"/>
    <w:rsid w:val="008C2721"/>
    <w:rsid w:val="008C27D0"/>
    <w:rsid w:val="008C2A0A"/>
    <w:rsid w:val="008C2B4C"/>
    <w:rsid w:val="008C2BC8"/>
    <w:rsid w:val="008C2DED"/>
    <w:rsid w:val="008C2FF4"/>
    <w:rsid w:val="008C366B"/>
    <w:rsid w:val="008C3B68"/>
    <w:rsid w:val="008C3C25"/>
    <w:rsid w:val="008C477A"/>
    <w:rsid w:val="008C482C"/>
    <w:rsid w:val="008C4E9F"/>
    <w:rsid w:val="008C4F24"/>
    <w:rsid w:val="008C4FA1"/>
    <w:rsid w:val="008C5971"/>
    <w:rsid w:val="008C60D1"/>
    <w:rsid w:val="008C614E"/>
    <w:rsid w:val="008C63BB"/>
    <w:rsid w:val="008C6490"/>
    <w:rsid w:val="008C663B"/>
    <w:rsid w:val="008C6B0C"/>
    <w:rsid w:val="008C741D"/>
    <w:rsid w:val="008C78C2"/>
    <w:rsid w:val="008C7FE3"/>
    <w:rsid w:val="008D0D98"/>
    <w:rsid w:val="008D0EE1"/>
    <w:rsid w:val="008D102B"/>
    <w:rsid w:val="008D1088"/>
    <w:rsid w:val="008D129E"/>
    <w:rsid w:val="008D1353"/>
    <w:rsid w:val="008D15DF"/>
    <w:rsid w:val="008D1756"/>
    <w:rsid w:val="008D1808"/>
    <w:rsid w:val="008D18C5"/>
    <w:rsid w:val="008D23C8"/>
    <w:rsid w:val="008D29D4"/>
    <w:rsid w:val="008D2A14"/>
    <w:rsid w:val="008D2B64"/>
    <w:rsid w:val="008D3482"/>
    <w:rsid w:val="008D35EC"/>
    <w:rsid w:val="008D37EA"/>
    <w:rsid w:val="008D3EB7"/>
    <w:rsid w:val="008D410E"/>
    <w:rsid w:val="008D4184"/>
    <w:rsid w:val="008D42AE"/>
    <w:rsid w:val="008D44F4"/>
    <w:rsid w:val="008D4B3B"/>
    <w:rsid w:val="008D581C"/>
    <w:rsid w:val="008D5E12"/>
    <w:rsid w:val="008D5E6D"/>
    <w:rsid w:val="008D5EF9"/>
    <w:rsid w:val="008D5F7C"/>
    <w:rsid w:val="008D65E0"/>
    <w:rsid w:val="008D689A"/>
    <w:rsid w:val="008D68E4"/>
    <w:rsid w:val="008D6A3A"/>
    <w:rsid w:val="008D6C13"/>
    <w:rsid w:val="008D6E3B"/>
    <w:rsid w:val="008D70C4"/>
    <w:rsid w:val="008D7367"/>
    <w:rsid w:val="008D7680"/>
    <w:rsid w:val="008D76EA"/>
    <w:rsid w:val="008D76F7"/>
    <w:rsid w:val="008D7A25"/>
    <w:rsid w:val="008E030A"/>
    <w:rsid w:val="008E0969"/>
    <w:rsid w:val="008E0C8A"/>
    <w:rsid w:val="008E123D"/>
    <w:rsid w:val="008E1290"/>
    <w:rsid w:val="008E13FE"/>
    <w:rsid w:val="008E16E6"/>
    <w:rsid w:val="008E17D9"/>
    <w:rsid w:val="008E19DE"/>
    <w:rsid w:val="008E22A7"/>
    <w:rsid w:val="008E2364"/>
    <w:rsid w:val="008E2B1A"/>
    <w:rsid w:val="008E2C4E"/>
    <w:rsid w:val="008E2C59"/>
    <w:rsid w:val="008E2E9A"/>
    <w:rsid w:val="008E3025"/>
    <w:rsid w:val="008E3434"/>
    <w:rsid w:val="008E34EB"/>
    <w:rsid w:val="008E3B8B"/>
    <w:rsid w:val="008E3C04"/>
    <w:rsid w:val="008E3F6E"/>
    <w:rsid w:val="008E402A"/>
    <w:rsid w:val="008E409F"/>
    <w:rsid w:val="008E4242"/>
    <w:rsid w:val="008E4486"/>
    <w:rsid w:val="008E476E"/>
    <w:rsid w:val="008E4DD9"/>
    <w:rsid w:val="008E563D"/>
    <w:rsid w:val="008E6224"/>
    <w:rsid w:val="008E67AB"/>
    <w:rsid w:val="008E6852"/>
    <w:rsid w:val="008E6AD7"/>
    <w:rsid w:val="008E6C03"/>
    <w:rsid w:val="008E6F13"/>
    <w:rsid w:val="008E7253"/>
    <w:rsid w:val="008E7840"/>
    <w:rsid w:val="008E7993"/>
    <w:rsid w:val="008E7B28"/>
    <w:rsid w:val="008F00A5"/>
    <w:rsid w:val="008F00F1"/>
    <w:rsid w:val="008F057B"/>
    <w:rsid w:val="008F0A1D"/>
    <w:rsid w:val="008F0EFA"/>
    <w:rsid w:val="008F0F91"/>
    <w:rsid w:val="008F10AA"/>
    <w:rsid w:val="008F132C"/>
    <w:rsid w:val="008F13A3"/>
    <w:rsid w:val="008F1626"/>
    <w:rsid w:val="008F1879"/>
    <w:rsid w:val="008F19B2"/>
    <w:rsid w:val="008F1E81"/>
    <w:rsid w:val="008F1EE8"/>
    <w:rsid w:val="008F202F"/>
    <w:rsid w:val="008F2A03"/>
    <w:rsid w:val="008F2B5B"/>
    <w:rsid w:val="008F2E73"/>
    <w:rsid w:val="008F2F2A"/>
    <w:rsid w:val="008F334F"/>
    <w:rsid w:val="008F364F"/>
    <w:rsid w:val="008F3746"/>
    <w:rsid w:val="008F3927"/>
    <w:rsid w:val="008F4089"/>
    <w:rsid w:val="008F4224"/>
    <w:rsid w:val="008F4886"/>
    <w:rsid w:val="008F4DFA"/>
    <w:rsid w:val="008F4FA6"/>
    <w:rsid w:val="008F53FF"/>
    <w:rsid w:val="008F58B5"/>
    <w:rsid w:val="008F5F78"/>
    <w:rsid w:val="008F6A8B"/>
    <w:rsid w:val="008F6CF1"/>
    <w:rsid w:val="008F6CF5"/>
    <w:rsid w:val="008F6D86"/>
    <w:rsid w:val="008F7165"/>
    <w:rsid w:val="008F71D6"/>
    <w:rsid w:val="008F71F6"/>
    <w:rsid w:val="008F76D6"/>
    <w:rsid w:val="008F790B"/>
    <w:rsid w:val="008F7AE6"/>
    <w:rsid w:val="009000A6"/>
    <w:rsid w:val="00900175"/>
    <w:rsid w:val="009002F1"/>
    <w:rsid w:val="00900687"/>
    <w:rsid w:val="00900F31"/>
    <w:rsid w:val="00901227"/>
    <w:rsid w:val="009014D5"/>
    <w:rsid w:val="00901565"/>
    <w:rsid w:val="009015B8"/>
    <w:rsid w:val="00901692"/>
    <w:rsid w:val="0090182B"/>
    <w:rsid w:val="00901D6F"/>
    <w:rsid w:val="0090255A"/>
    <w:rsid w:val="0090256F"/>
    <w:rsid w:val="00902755"/>
    <w:rsid w:val="00902C6E"/>
    <w:rsid w:val="0090306E"/>
    <w:rsid w:val="0090327C"/>
    <w:rsid w:val="00903469"/>
    <w:rsid w:val="00903610"/>
    <w:rsid w:val="00903784"/>
    <w:rsid w:val="00903800"/>
    <w:rsid w:val="00903EE9"/>
    <w:rsid w:val="009042BF"/>
    <w:rsid w:val="009045DA"/>
    <w:rsid w:val="009046E5"/>
    <w:rsid w:val="0090474C"/>
    <w:rsid w:val="009047BE"/>
    <w:rsid w:val="009047E3"/>
    <w:rsid w:val="009048BF"/>
    <w:rsid w:val="00904AA3"/>
    <w:rsid w:val="00905325"/>
    <w:rsid w:val="009053F5"/>
    <w:rsid w:val="009056B8"/>
    <w:rsid w:val="00905703"/>
    <w:rsid w:val="00905AC8"/>
    <w:rsid w:val="00905AFD"/>
    <w:rsid w:val="00905B75"/>
    <w:rsid w:val="00905F49"/>
    <w:rsid w:val="00906210"/>
    <w:rsid w:val="009067DC"/>
    <w:rsid w:val="00906A72"/>
    <w:rsid w:val="00907012"/>
    <w:rsid w:val="00907146"/>
    <w:rsid w:val="00907305"/>
    <w:rsid w:val="00907A35"/>
    <w:rsid w:val="00907D1F"/>
    <w:rsid w:val="00910024"/>
    <w:rsid w:val="00910812"/>
    <w:rsid w:val="009108D8"/>
    <w:rsid w:val="00910A81"/>
    <w:rsid w:val="00910BD3"/>
    <w:rsid w:val="00910F75"/>
    <w:rsid w:val="009110BF"/>
    <w:rsid w:val="00911171"/>
    <w:rsid w:val="009113AF"/>
    <w:rsid w:val="009116F3"/>
    <w:rsid w:val="0091171F"/>
    <w:rsid w:val="0091176B"/>
    <w:rsid w:val="00911C62"/>
    <w:rsid w:val="00911D63"/>
    <w:rsid w:val="00911EC4"/>
    <w:rsid w:val="009120EA"/>
    <w:rsid w:val="0091222C"/>
    <w:rsid w:val="009125C0"/>
    <w:rsid w:val="00912A02"/>
    <w:rsid w:val="00912E00"/>
    <w:rsid w:val="009130C1"/>
    <w:rsid w:val="00913169"/>
    <w:rsid w:val="00913191"/>
    <w:rsid w:val="0091388D"/>
    <w:rsid w:val="00913951"/>
    <w:rsid w:val="009139F9"/>
    <w:rsid w:val="00913C50"/>
    <w:rsid w:val="00913C7E"/>
    <w:rsid w:val="00913DE9"/>
    <w:rsid w:val="00913ED1"/>
    <w:rsid w:val="009140E8"/>
    <w:rsid w:val="0091411D"/>
    <w:rsid w:val="00914149"/>
    <w:rsid w:val="00914431"/>
    <w:rsid w:val="009146A1"/>
    <w:rsid w:val="00914702"/>
    <w:rsid w:val="00915717"/>
    <w:rsid w:val="0091616F"/>
    <w:rsid w:val="00916762"/>
    <w:rsid w:val="00916B81"/>
    <w:rsid w:val="00916D54"/>
    <w:rsid w:val="00917295"/>
    <w:rsid w:val="009173A7"/>
    <w:rsid w:val="00917721"/>
    <w:rsid w:val="00917E6E"/>
    <w:rsid w:val="009200A5"/>
    <w:rsid w:val="009201C4"/>
    <w:rsid w:val="0092066E"/>
    <w:rsid w:val="00920690"/>
    <w:rsid w:val="00920ABF"/>
    <w:rsid w:val="0092117D"/>
    <w:rsid w:val="0092142D"/>
    <w:rsid w:val="009218EF"/>
    <w:rsid w:val="00921F92"/>
    <w:rsid w:val="00922A1D"/>
    <w:rsid w:val="00922ABC"/>
    <w:rsid w:val="00923601"/>
    <w:rsid w:val="00923E46"/>
    <w:rsid w:val="0092415A"/>
    <w:rsid w:val="009241CB"/>
    <w:rsid w:val="0092454E"/>
    <w:rsid w:val="009248F4"/>
    <w:rsid w:val="00924BB0"/>
    <w:rsid w:val="00924ED5"/>
    <w:rsid w:val="00924EF7"/>
    <w:rsid w:val="00925090"/>
    <w:rsid w:val="009250FE"/>
    <w:rsid w:val="00925155"/>
    <w:rsid w:val="0092546C"/>
    <w:rsid w:val="00925782"/>
    <w:rsid w:val="00926117"/>
    <w:rsid w:val="00926491"/>
    <w:rsid w:val="0092687C"/>
    <w:rsid w:val="00926AF8"/>
    <w:rsid w:val="00926BD4"/>
    <w:rsid w:val="0092784C"/>
    <w:rsid w:val="009278D2"/>
    <w:rsid w:val="00927DC5"/>
    <w:rsid w:val="00927DD7"/>
    <w:rsid w:val="00930353"/>
    <w:rsid w:val="009305A0"/>
    <w:rsid w:val="009305FF"/>
    <w:rsid w:val="00930FC6"/>
    <w:rsid w:val="0093101F"/>
    <w:rsid w:val="00931D05"/>
    <w:rsid w:val="0093206B"/>
    <w:rsid w:val="009327B5"/>
    <w:rsid w:val="00932970"/>
    <w:rsid w:val="009329B0"/>
    <w:rsid w:val="0093330D"/>
    <w:rsid w:val="00933B6D"/>
    <w:rsid w:val="00934704"/>
    <w:rsid w:val="009349DE"/>
    <w:rsid w:val="00934B13"/>
    <w:rsid w:val="00934B51"/>
    <w:rsid w:val="009352CF"/>
    <w:rsid w:val="009354E9"/>
    <w:rsid w:val="009357DC"/>
    <w:rsid w:val="00935862"/>
    <w:rsid w:val="009363F7"/>
    <w:rsid w:val="00936445"/>
    <w:rsid w:val="00936A2C"/>
    <w:rsid w:val="00936BA3"/>
    <w:rsid w:val="00936C73"/>
    <w:rsid w:val="009375C9"/>
    <w:rsid w:val="009376AC"/>
    <w:rsid w:val="00937828"/>
    <w:rsid w:val="00937ABC"/>
    <w:rsid w:val="00937B62"/>
    <w:rsid w:val="00937D3B"/>
    <w:rsid w:val="009404D1"/>
    <w:rsid w:val="009408B7"/>
    <w:rsid w:val="00940A20"/>
    <w:rsid w:val="00940DDB"/>
    <w:rsid w:val="009418E0"/>
    <w:rsid w:val="00941D9B"/>
    <w:rsid w:val="009420E2"/>
    <w:rsid w:val="009427AA"/>
    <w:rsid w:val="009427E0"/>
    <w:rsid w:val="00942E95"/>
    <w:rsid w:val="00943444"/>
    <w:rsid w:val="009435D7"/>
    <w:rsid w:val="0094373A"/>
    <w:rsid w:val="009441C2"/>
    <w:rsid w:val="00944224"/>
    <w:rsid w:val="00944767"/>
    <w:rsid w:val="00944C97"/>
    <w:rsid w:val="00944FE2"/>
    <w:rsid w:val="009454BB"/>
    <w:rsid w:val="00945C28"/>
    <w:rsid w:val="009466DC"/>
    <w:rsid w:val="009466E2"/>
    <w:rsid w:val="00946983"/>
    <w:rsid w:val="009469B2"/>
    <w:rsid w:val="00947414"/>
    <w:rsid w:val="00947479"/>
    <w:rsid w:val="00947511"/>
    <w:rsid w:val="0094771E"/>
    <w:rsid w:val="009477E3"/>
    <w:rsid w:val="00947809"/>
    <w:rsid w:val="00947F3F"/>
    <w:rsid w:val="00950265"/>
    <w:rsid w:val="009506E4"/>
    <w:rsid w:val="009508D4"/>
    <w:rsid w:val="00950D62"/>
    <w:rsid w:val="00951AD8"/>
    <w:rsid w:val="00951D75"/>
    <w:rsid w:val="009521B0"/>
    <w:rsid w:val="0095231B"/>
    <w:rsid w:val="00952352"/>
    <w:rsid w:val="0095237A"/>
    <w:rsid w:val="0095251E"/>
    <w:rsid w:val="00952550"/>
    <w:rsid w:val="00952B15"/>
    <w:rsid w:val="00952C9D"/>
    <w:rsid w:val="00952D49"/>
    <w:rsid w:val="00953092"/>
    <w:rsid w:val="00953115"/>
    <w:rsid w:val="00953204"/>
    <w:rsid w:val="00953286"/>
    <w:rsid w:val="00953443"/>
    <w:rsid w:val="00953B07"/>
    <w:rsid w:val="00953E6C"/>
    <w:rsid w:val="00953F22"/>
    <w:rsid w:val="00953F5D"/>
    <w:rsid w:val="00953FE1"/>
    <w:rsid w:val="009543FB"/>
    <w:rsid w:val="009546A7"/>
    <w:rsid w:val="009546C2"/>
    <w:rsid w:val="00954F3A"/>
    <w:rsid w:val="00954FA2"/>
    <w:rsid w:val="00955029"/>
    <w:rsid w:val="00955393"/>
    <w:rsid w:val="0095545D"/>
    <w:rsid w:val="0095552B"/>
    <w:rsid w:val="00955864"/>
    <w:rsid w:val="0095610F"/>
    <w:rsid w:val="0095689C"/>
    <w:rsid w:val="00956B73"/>
    <w:rsid w:val="0095789B"/>
    <w:rsid w:val="00957CC0"/>
    <w:rsid w:val="00957D6D"/>
    <w:rsid w:val="009605F2"/>
    <w:rsid w:val="00960ED2"/>
    <w:rsid w:val="009611E9"/>
    <w:rsid w:val="0096171F"/>
    <w:rsid w:val="00961DD0"/>
    <w:rsid w:val="00961ED8"/>
    <w:rsid w:val="0096227B"/>
    <w:rsid w:val="00962364"/>
    <w:rsid w:val="00962983"/>
    <w:rsid w:val="009629CC"/>
    <w:rsid w:val="009629EE"/>
    <w:rsid w:val="00962A0A"/>
    <w:rsid w:val="00962CD4"/>
    <w:rsid w:val="009639BD"/>
    <w:rsid w:val="00963E18"/>
    <w:rsid w:val="00964172"/>
    <w:rsid w:val="00964816"/>
    <w:rsid w:val="009648FF"/>
    <w:rsid w:val="00964DD0"/>
    <w:rsid w:val="00965002"/>
    <w:rsid w:val="009656F6"/>
    <w:rsid w:val="0096583C"/>
    <w:rsid w:val="00965DE9"/>
    <w:rsid w:val="00966029"/>
    <w:rsid w:val="009660B3"/>
    <w:rsid w:val="0096611B"/>
    <w:rsid w:val="0096657B"/>
    <w:rsid w:val="0096667B"/>
    <w:rsid w:val="009666D5"/>
    <w:rsid w:val="0096686F"/>
    <w:rsid w:val="00967897"/>
    <w:rsid w:val="0096799F"/>
    <w:rsid w:val="009679CB"/>
    <w:rsid w:val="009704FD"/>
    <w:rsid w:val="00970527"/>
    <w:rsid w:val="00971299"/>
    <w:rsid w:val="0097154F"/>
    <w:rsid w:val="0097156E"/>
    <w:rsid w:val="009719FF"/>
    <w:rsid w:val="00971A3A"/>
    <w:rsid w:val="00971AD7"/>
    <w:rsid w:val="00971EE9"/>
    <w:rsid w:val="0097229E"/>
    <w:rsid w:val="009722B2"/>
    <w:rsid w:val="00972640"/>
    <w:rsid w:val="00972B4F"/>
    <w:rsid w:val="009733C1"/>
    <w:rsid w:val="009734B2"/>
    <w:rsid w:val="0097375E"/>
    <w:rsid w:val="00973EF3"/>
    <w:rsid w:val="00973F31"/>
    <w:rsid w:val="0097411C"/>
    <w:rsid w:val="009741FF"/>
    <w:rsid w:val="00974254"/>
    <w:rsid w:val="0097449D"/>
    <w:rsid w:val="00975492"/>
    <w:rsid w:val="00975575"/>
    <w:rsid w:val="0097557B"/>
    <w:rsid w:val="00975F09"/>
    <w:rsid w:val="0097637F"/>
    <w:rsid w:val="009764AC"/>
    <w:rsid w:val="0097678B"/>
    <w:rsid w:val="00976867"/>
    <w:rsid w:val="00976984"/>
    <w:rsid w:val="00976D5C"/>
    <w:rsid w:val="00977987"/>
    <w:rsid w:val="00977B44"/>
    <w:rsid w:val="00977CCE"/>
    <w:rsid w:val="00977FC6"/>
    <w:rsid w:val="009800D9"/>
    <w:rsid w:val="009804EA"/>
    <w:rsid w:val="009810CF"/>
    <w:rsid w:val="009814AD"/>
    <w:rsid w:val="009814CB"/>
    <w:rsid w:val="00981717"/>
    <w:rsid w:val="00982145"/>
    <w:rsid w:val="0098276F"/>
    <w:rsid w:val="00982856"/>
    <w:rsid w:val="00982C83"/>
    <w:rsid w:val="009837A3"/>
    <w:rsid w:val="00983D85"/>
    <w:rsid w:val="00983FD1"/>
    <w:rsid w:val="0098439F"/>
    <w:rsid w:val="009851C4"/>
    <w:rsid w:val="009855F7"/>
    <w:rsid w:val="00985815"/>
    <w:rsid w:val="0098583D"/>
    <w:rsid w:val="00985E7C"/>
    <w:rsid w:val="00985EF6"/>
    <w:rsid w:val="00985F96"/>
    <w:rsid w:val="009862F9"/>
    <w:rsid w:val="009863E2"/>
    <w:rsid w:val="009865C8"/>
    <w:rsid w:val="00986AF0"/>
    <w:rsid w:val="00986BDA"/>
    <w:rsid w:val="00987B8F"/>
    <w:rsid w:val="00987D00"/>
    <w:rsid w:val="0099095B"/>
    <w:rsid w:val="00990DC0"/>
    <w:rsid w:val="00990EF9"/>
    <w:rsid w:val="00990FD6"/>
    <w:rsid w:val="00991576"/>
    <w:rsid w:val="00991B95"/>
    <w:rsid w:val="00991FF7"/>
    <w:rsid w:val="00992476"/>
    <w:rsid w:val="0099261D"/>
    <w:rsid w:val="009926B5"/>
    <w:rsid w:val="00992C47"/>
    <w:rsid w:val="00992D90"/>
    <w:rsid w:val="009931B7"/>
    <w:rsid w:val="00993235"/>
    <w:rsid w:val="009934D9"/>
    <w:rsid w:val="00993854"/>
    <w:rsid w:val="009938D0"/>
    <w:rsid w:val="00993928"/>
    <w:rsid w:val="00993950"/>
    <w:rsid w:val="00993952"/>
    <w:rsid w:val="00993A76"/>
    <w:rsid w:val="00993B11"/>
    <w:rsid w:val="00993D36"/>
    <w:rsid w:val="00993D8B"/>
    <w:rsid w:val="009945A2"/>
    <w:rsid w:val="00994963"/>
    <w:rsid w:val="00994A14"/>
    <w:rsid w:val="009951C0"/>
    <w:rsid w:val="009951D3"/>
    <w:rsid w:val="00995DDA"/>
    <w:rsid w:val="00996789"/>
    <w:rsid w:val="009969BE"/>
    <w:rsid w:val="00996D22"/>
    <w:rsid w:val="0099715D"/>
    <w:rsid w:val="00997565"/>
    <w:rsid w:val="00997716"/>
    <w:rsid w:val="00997838"/>
    <w:rsid w:val="00997B0A"/>
    <w:rsid w:val="009A0182"/>
    <w:rsid w:val="009A0213"/>
    <w:rsid w:val="009A0325"/>
    <w:rsid w:val="009A0460"/>
    <w:rsid w:val="009A04D6"/>
    <w:rsid w:val="009A06B3"/>
    <w:rsid w:val="009A09EB"/>
    <w:rsid w:val="009A0B28"/>
    <w:rsid w:val="009A0CE9"/>
    <w:rsid w:val="009A0EBD"/>
    <w:rsid w:val="009A1650"/>
    <w:rsid w:val="009A1AB9"/>
    <w:rsid w:val="009A1C95"/>
    <w:rsid w:val="009A1CF4"/>
    <w:rsid w:val="009A1E5E"/>
    <w:rsid w:val="009A215A"/>
    <w:rsid w:val="009A251C"/>
    <w:rsid w:val="009A2E21"/>
    <w:rsid w:val="009A2E79"/>
    <w:rsid w:val="009A39D3"/>
    <w:rsid w:val="009A3D63"/>
    <w:rsid w:val="009A3E98"/>
    <w:rsid w:val="009A40CF"/>
    <w:rsid w:val="009A412F"/>
    <w:rsid w:val="009A429F"/>
    <w:rsid w:val="009A4383"/>
    <w:rsid w:val="009A47C2"/>
    <w:rsid w:val="009A542B"/>
    <w:rsid w:val="009A5975"/>
    <w:rsid w:val="009A5BD3"/>
    <w:rsid w:val="009A5C0D"/>
    <w:rsid w:val="009A630E"/>
    <w:rsid w:val="009A6330"/>
    <w:rsid w:val="009A65A5"/>
    <w:rsid w:val="009A6713"/>
    <w:rsid w:val="009A67BB"/>
    <w:rsid w:val="009A7486"/>
    <w:rsid w:val="009A74DE"/>
    <w:rsid w:val="009A7A88"/>
    <w:rsid w:val="009A7CF0"/>
    <w:rsid w:val="009B02AE"/>
    <w:rsid w:val="009B0587"/>
    <w:rsid w:val="009B086A"/>
    <w:rsid w:val="009B089E"/>
    <w:rsid w:val="009B10E6"/>
    <w:rsid w:val="009B1422"/>
    <w:rsid w:val="009B15A6"/>
    <w:rsid w:val="009B1CE6"/>
    <w:rsid w:val="009B1F07"/>
    <w:rsid w:val="009B22DE"/>
    <w:rsid w:val="009B2CD2"/>
    <w:rsid w:val="009B2CF5"/>
    <w:rsid w:val="009B2EE7"/>
    <w:rsid w:val="009B340C"/>
    <w:rsid w:val="009B3B3B"/>
    <w:rsid w:val="009B3DD6"/>
    <w:rsid w:val="009B46C2"/>
    <w:rsid w:val="009B46F9"/>
    <w:rsid w:val="009B4EAB"/>
    <w:rsid w:val="009B5041"/>
    <w:rsid w:val="009B5323"/>
    <w:rsid w:val="009B548E"/>
    <w:rsid w:val="009B5621"/>
    <w:rsid w:val="009B5D5E"/>
    <w:rsid w:val="009B5DE1"/>
    <w:rsid w:val="009B5E0B"/>
    <w:rsid w:val="009B65D4"/>
    <w:rsid w:val="009B66F3"/>
    <w:rsid w:val="009B6741"/>
    <w:rsid w:val="009B6EDD"/>
    <w:rsid w:val="009B7186"/>
    <w:rsid w:val="009B729D"/>
    <w:rsid w:val="009B7329"/>
    <w:rsid w:val="009B7E94"/>
    <w:rsid w:val="009C06D6"/>
    <w:rsid w:val="009C0A00"/>
    <w:rsid w:val="009C0F1C"/>
    <w:rsid w:val="009C12EA"/>
    <w:rsid w:val="009C1D2D"/>
    <w:rsid w:val="009C23C3"/>
    <w:rsid w:val="009C25AC"/>
    <w:rsid w:val="009C28D2"/>
    <w:rsid w:val="009C29EE"/>
    <w:rsid w:val="009C2B27"/>
    <w:rsid w:val="009C2D36"/>
    <w:rsid w:val="009C31EA"/>
    <w:rsid w:val="009C32FD"/>
    <w:rsid w:val="009C32FE"/>
    <w:rsid w:val="009C3476"/>
    <w:rsid w:val="009C3510"/>
    <w:rsid w:val="009C38BE"/>
    <w:rsid w:val="009C3A5D"/>
    <w:rsid w:val="009C3CDD"/>
    <w:rsid w:val="009C4441"/>
    <w:rsid w:val="009C479E"/>
    <w:rsid w:val="009C47DF"/>
    <w:rsid w:val="009C587F"/>
    <w:rsid w:val="009C6161"/>
    <w:rsid w:val="009C6579"/>
    <w:rsid w:val="009C671E"/>
    <w:rsid w:val="009C67FF"/>
    <w:rsid w:val="009C6968"/>
    <w:rsid w:val="009C6C17"/>
    <w:rsid w:val="009C6F09"/>
    <w:rsid w:val="009C7188"/>
    <w:rsid w:val="009C73F5"/>
    <w:rsid w:val="009C7803"/>
    <w:rsid w:val="009C7B26"/>
    <w:rsid w:val="009C7B9C"/>
    <w:rsid w:val="009C7E61"/>
    <w:rsid w:val="009D00BB"/>
    <w:rsid w:val="009D05D5"/>
    <w:rsid w:val="009D09C1"/>
    <w:rsid w:val="009D0BF4"/>
    <w:rsid w:val="009D118F"/>
    <w:rsid w:val="009D11B5"/>
    <w:rsid w:val="009D1241"/>
    <w:rsid w:val="009D1821"/>
    <w:rsid w:val="009D1A51"/>
    <w:rsid w:val="009D1BAA"/>
    <w:rsid w:val="009D1C61"/>
    <w:rsid w:val="009D1C7F"/>
    <w:rsid w:val="009D1EF6"/>
    <w:rsid w:val="009D2011"/>
    <w:rsid w:val="009D2244"/>
    <w:rsid w:val="009D22CB"/>
    <w:rsid w:val="009D32FD"/>
    <w:rsid w:val="009D34E3"/>
    <w:rsid w:val="009D3555"/>
    <w:rsid w:val="009D35A4"/>
    <w:rsid w:val="009D3EFB"/>
    <w:rsid w:val="009D4019"/>
    <w:rsid w:val="009D402F"/>
    <w:rsid w:val="009D4105"/>
    <w:rsid w:val="009D4251"/>
    <w:rsid w:val="009D45A7"/>
    <w:rsid w:val="009D4661"/>
    <w:rsid w:val="009D48E0"/>
    <w:rsid w:val="009D4E5E"/>
    <w:rsid w:val="009D51F8"/>
    <w:rsid w:val="009D5380"/>
    <w:rsid w:val="009D59B8"/>
    <w:rsid w:val="009D5CEF"/>
    <w:rsid w:val="009D66B5"/>
    <w:rsid w:val="009D6817"/>
    <w:rsid w:val="009D6833"/>
    <w:rsid w:val="009D69C2"/>
    <w:rsid w:val="009D7358"/>
    <w:rsid w:val="009D739C"/>
    <w:rsid w:val="009D749A"/>
    <w:rsid w:val="009D79C5"/>
    <w:rsid w:val="009D7C98"/>
    <w:rsid w:val="009E02DD"/>
    <w:rsid w:val="009E078F"/>
    <w:rsid w:val="009E0F10"/>
    <w:rsid w:val="009E10E9"/>
    <w:rsid w:val="009E1516"/>
    <w:rsid w:val="009E1BA8"/>
    <w:rsid w:val="009E1BDA"/>
    <w:rsid w:val="009E1E13"/>
    <w:rsid w:val="009E21BC"/>
    <w:rsid w:val="009E25A0"/>
    <w:rsid w:val="009E26F1"/>
    <w:rsid w:val="009E27FB"/>
    <w:rsid w:val="009E2A10"/>
    <w:rsid w:val="009E2A3D"/>
    <w:rsid w:val="009E2D25"/>
    <w:rsid w:val="009E3D39"/>
    <w:rsid w:val="009E42DF"/>
    <w:rsid w:val="009E459A"/>
    <w:rsid w:val="009E4654"/>
    <w:rsid w:val="009E46A9"/>
    <w:rsid w:val="009E4942"/>
    <w:rsid w:val="009E4E0C"/>
    <w:rsid w:val="009E5018"/>
    <w:rsid w:val="009E51F6"/>
    <w:rsid w:val="009E5352"/>
    <w:rsid w:val="009E5572"/>
    <w:rsid w:val="009E5896"/>
    <w:rsid w:val="009E598F"/>
    <w:rsid w:val="009E5B4A"/>
    <w:rsid w:val="009E5E7F"/>
    <w:rsid w:val="009E5F9C"/>
    <w:rsid w:val="009E6099"/>
    <w:rsid w:val="009E60AA"/>
    <w:rsid w:val="009E6345"/>
    <w:rsid w:val="009E6727"/>
    <w:rsid w:val="009E6949"/>
    <w:rsid w:val="009E6B18"/>
    <w:rsid w:val="009E6C43"/>
    <w:rsid w:val="009E6D81"/>
    <w:rsid w:val="009E7343"/>
    <w:rsid w:val="009E758E"/>
    <w:rsid w:val="009E7B10"/>
    <w:rsid w:val="009E7CB1"/>
    <w:rsid w:val="009F0367"/>
    <w:rsid w:val="009F0583"/>
    <w:rsid w:val="009F0A1A"/>
    <w:rsid w:val="009F0CFB"/>
    <w:rsid w:val="009F0DE9"/>
    <w:rsid w:val="009F113A"/>
    <w:rsid w:val="009F17DF"/>
    <w:rsid w:val="009F1865"/>
    <w:rsid w:val="009F18DC"/>
    <w:rsid w:val="009F2685"/>
    <w:rsid w:val="009F2B96"/>
    <w:rsid w:val="009F2D5A"/>
    <w:rsid w:val="009F2EF3"/>
    <w:rsid w:val="009F34AF"/>
    <w:rsid w:val="009F3A87"/>
    <w:rsid w:val="009F3D99"/>
    <w:rsid w:val="009F45EA"/>
    <w:rsid w:val="009F4663"/>
    <w:rsid w:val="009F4689"/>
    <w:rsid w:val="009F46BE"/>
    <w:rsid w:val="009F5306"/>
    <w:rsid w:val="009F53E2"/>
    <w:rsid w:val="009F5691"/>
    <w:rsid w:val="009F57EC"/>
    <w:rsid w:val="009F5E35"/>
    <w:rsid w:val="009F67A3"/>
    <w:rsid w:val="009F6CE7"/>
    <w:rsid w:val="009F70CB"/>
    <w:rsid w:val="009F7190"/>
    <w:rsid w:val="009F722B"/>
    <w:rsid w:val="009F7533"/>
    <w:rsid w:val="009F75E4"/>
    <w:rsid w:val="00A0041E"/>
    <w:rsid w:val="00A00B0A"/>
    <w:rsid w:val="00A00DFC"/>
    <w:rsid w:val="00A00E47"/>
    <w:rsid w:val="00A01588"/>
    <w:rsid w:val="00A015E4"/>
    <w:rsid w:val="00A0168F"/>
    <w:rsid w:val="00A01AB7"/>
    <w:rsid w:val="00A02356"/>
    <w:rsid w:val="00A023C8"/>
    <w:rsid w:val="00A027F3"/>
    <w:rsid w:val="00A02A60"/>
    <w:rsid w:val="00A02D78"/>
    <w:rsid w:val="00A03264"/>
    <w:rsid w:val="00A032CB"/>
    <w:rsid w:val="00A0342D"/>
    <w:rsid w:val="00A0364B"/>
    <w:rsid w:val="00A036E1"/>
    <w:rsid w:val="00A03BB7"/>
    <w:rsid w:val="00A03CA2"/>
    <w:rsid w:val="00A03F32"/>
    <w:rsid w:val="00A04118"/>
    <w:rsid w:val="00A04B3A"/>
    <w:rsid w:val="00A04BE0"/>
    <w:rsid w:val="00A05196"/>
    <w:rsid w:val="00A051A4"/>
    <w:rsid w:val="00A05484"/>
    <w:rsid w:val="00A0571B"/>
    <w:rsid w:val="00A058E8"/>
    <w:rsid w:val="00A05E8E"/>
    <w:rsid w:val="00A05F3E"/>
    <w:rsid w:val="00A0614E"/>
    <w:rsid w:val="00A0632B"/>
    <w:rsid w:val="00A0639B"/>
    <w:rsid w:val="00A064DA"/>
    <w:rsid w:val="00A06509"/>
    <w:rsid w:val="00A06646"/>
    <w:rsid w:val="00A067D0"/>
    <w:rsid w:val="00A06A7F"/>
    <w:rsid w:val="00A06CD3"/>
    <w:rsid w:val="00A06CF4"/>
    <w:rsid w:val="00A07126"/>
    <w:rsid w:val="00A07144"/>
    <w:rsid w:val="00A075FC"/>
    <w:rsid w:val="00A07756"/>
    <w:rsid w:val="00A07804"/>
    <w:rsid w:val="00A078A6"/>
    <w:rsid w:val="00A07954"/>
    <w:rsid w:val="00A10245"/>
    <w:rsid w:val="00A103F9"/>
    <w:rsid w:val="00A104D9"/>
    <w:rsid w:val="00A10548"/>
    <w:rsid w:val="00A10611"/>
    <w:rsid w:val="00A10700"/>
    <w:rsid w:val="00A1076E"/>
    <w:rsid w:val="00A108B8"/>
    <w:rsid w:val="00A10D52"/>
    <w:rsid w:val="00A10DB3"/>
    <w:rsid w:val="00A11119"/>
    <w:rsid w:val="00A113D4"/>
    <w:rsid w:val="00A11429"/>
    <w:rsid w:val="00A115EE"/>
    <w:rsid w:val="00A117C7"/>
    <w:rsid w:val="00A11AA7"/>
    <w:rsid w:val="00A120BC"/>
    <w:rsid w:val="00A122AB"/>
    <w:rsid w:val="00A12628"/>
    <w:rsid w:val="00A12B7E"/>
    <w:rsid w:val="00A12DA8"/>
    <w:rsid w:val="00A136B5"/>
    <w:rsid w:val="00A13991"/>
    <w:rsid w:val="00A13AD4"/>
    <w:rsid w:val="00A13BAD"/>
    <w:rsid w:val="00A13CC2"/>
    <w:rsid w:val="00A13F03"/>
    <w:rsid w:val="00A14064"/>
    <w:rsid w:val="00A145EE"/>
    <w:rsid w:val="00A146EA"/>
    <w:rsid w:val="00A14742"/>
    <w:rsid w:val="00A147A3"/>
    <w:rsid w:val="00A14BB7"/>
    <w:rsid w:val="00A15070"/>
    <w:rsid w:val="00A155D5"/>
    <w:rsid w:val="00A15809"/>
    <w:rsid w:val="00A15ABE"/>
    <w:rsid w:val="00A15D51"/>
    <w:rsid w:val="00A15E04"/>
    <w:rsid w:val="00A162DC"/>
    <w:rsid w:val="00A162E0"/>
    <w:rsid w:val="00A1657F"/>
    <w:rsid w:val="00A1671B"/>
    <w:rsid w:val="00A168FE"/>
    <w:rsid w:val="00A16B03"/>
    <w:rsid w:val="00A16C32"/>
    <w:rsid w:val="00A16EB2"/>
    <w:rsid w:val="00A16F26"/>
    <w:rsid w:val="00A1702E"/>
    <w:rsid w:val="00A17297"/>
    <w:rsid w:val="00A17957"/>
    <w:rsid w:val="00A17B2F"/>
    <w:rsid w:val="00A17F5F"/>
    <w:rsid w:val="00A209E1"/>
    <w:rsid w:val="00A20B79"/>
    <w:rsid w:val="00A20C79"/>
    <w:rsid w:val="00A20D22"/>
    <w:rsid w:val="00A211E0"/>
    <w:rsid w:val="00A213FF"/>
    <w:rsid w:val="00A2144B"/>
    <w:rsid w:val="00A2148E"/>
    <w:rsid w:val="00A214EE"/>
    <w:rsid w:val="00A214FA"/>
    <w:rsid w:val="00A216D7"/>
    <w:rsid w:val="00A21A37"/>
    <w:rsid w:val="00A21E56"/>
    <w:rsid w:val="00A22443"/>
    <w:rsid w:val="00A22468"/>
    <w:rsid w:val="00A22A11"/>
    <w:rsid w:val="00A230BB"/>
    <w:rsid w:val="00A236DF"/>
    <w:rsid w:val="00A2374B"/>
    <w:rsid w:val="00A23D4D"/>
    <w:rsid w:val="00A23EA0"/>
    <w:rsid w:val="00A241BC"/>
    <w:rsid w:val="00A249B9"/>
    <w:rsid w:val="00A24E7C"/>
    <w:rsid w:val="00A24F0F"/>
    <w:rsid w:val="00A25082"/>
    <w:rsid w:val="00A2522B"/>
    <w:rsid w:val="00A2556E"/>
    <w:rsid w:val="00A2628E"/>
    <w:rsid w:val="00A26343"/>
    <w:rsid w:val="00A26348"/>
    <w:rsid w:val="00A268AF"/>
    <w:rsid w:val="00A26999"/>
    <w:rsid w:val="00A26B2A"/>
    <w:rsid w:val="00A26B3D"/>
    <w:rsid w:val="00A26C71"/>
    <w:rsid w:val="00A2705B"/>
    <w:rsid w:val="00A27C41"/>
    <w:rsid w:val="00A27E49"/>
    <w:rsid w:val="00A3059D"/>
    <w:rsid w:val="00A3085F"/>
    <w:rsid w:val="00A30900"/>
    <w:rsid w:val="00A30A64"/>
    <w:rsid w:val="00A30DC8"/>
    <w:rsid w:val="00A313D5"/>
    <w:rsid w:val="00A3148E"/>
    <w:rsid w:val="00A319E7"/>
    <w:rsid w:val="00A31B76"/>
    <w:rsid w:val="00A31BB3"/>
    <w:rsid w:val="00A31C6C"/>
    <w:rsid w:val="00A32224"/>
    <w:rsid w:val="00A32475"/>
    <w:rsid w:val="00A32557"/>
    <w:rsid w:val="00A325DC"/>
    <w:rsid w:val="00A32D95"/>
    <w:rsid w:val="00A33348"/>
    <w:rsid w:val="00A3347F"/>
    <w:rsid w:val="00A33505"/>
    <w:rsid w:val="00A335DB"/>
    <w:rsid w:val="00A336AA"/>
    <w:rsid w:val="00A33FC8"/>
    <w:rsid w:val="00A340E8"/>
    <w:rsid w:val="00A3440B"/>
    <w:rsid w:val="00A34647"/>
    <w:rsid w:val="00A3490D"/>
    <w:rsid w:val="00A34AE3"/>
    <w:rsid w:val="00A34D12"/>
    <w:rsid w:val="00A34F1C"/>
    <w:rsid w:val="00A34F61"/>
    <w:rsid w:val="00A34F97"/>
    <w:rsid w:val="00A34FCB"/>
    <w:rsid w:val="00A3535C"/>
    <w:rsid w:val="00A355A5"/>
    <w:rsid w:val="00A35BD4"/>
    <w:rsid w:val="00A35C01"/>
    <w:rsid w:val="00A35C21"/>
    <w:rsid w:val="00A36557"/>
    <w:rsid w:val="00A36803"/>
    <w:rsid w:val="00A36C19"/>
    <w:rsid w:val="00A36E2C"/>
    <w:rsid w:val="00A36ED1"/>
    <w:rsid w:val="00A3744B"/>
    <w:rsid w:val="00A37538"/>
    <w:rsid w:val="00A376F0"/>
    <w:rsid w:val="00A37857"/>
    <w:rsid w:val="00A37AB4"/>
    <w:rsid w:val="00A37CA2"/>
    <w:rsid w:val="00A37F62"/>
    <w:rsid w:val="00A4041B"/>
    <w:rsid w:val="00A405EE"/>
    <w:rsid w:val="00A40D3D"/>
    <w:rsid w:val="00A40DAA"/>
    <w:rsid w:val="00A4107D"/>
    <w:rsid w:val="00A4127A"/>
    <w:rsid w:val="00A412FB"/>
    <w:rsid w:val="00A41868"/>
    <w:rsid w:val="00A41A28"/>
    <w:rsid w:val="00A41F29"/>
    <w:rsid w:val="00A42054"/>
    <w:rsid w:val="00A4261E"/>
    <w:rsid w:val="00A429E6"/>
    <w:rsid w:val="00A42B1C"/>
    <w:rsid w:val="00A4311B"/>
    <w:rsid w:val="00A4371C"/>
    <w:rsid w:val="00A43919"/>
    <w:rsid w:val="00A43D10"/>
    <w:rsid w:val="00A4412B"/>
    <w:rsid w:val="00A444A9"/>
    <w:rsid w:val="00A445DE"/>
    <w:rsid w:val="00A4479F"/>
    <w:rsid w:val="00A44C48"/>
    <w:rsid w:val="00A44DB0"/>
    <w:rsid w:val="00A453EA"/>
    <w:rsid w:val="00A454BC"/>
    <w:rsid w:val="00A45EB2"/>
    <w:rsid w:val="00A462AC"/>
    <w:rsid w:val="00A46599"/>
    <w:rsid w:val="00A465FF"/>
    <w:rsid w:val="00A4678A"/>
    <w:rsid w:val="00A4683C"/>
    <w:rsid w:val="00A47411"/>
    <w:rsid w:val="00A47649"/>
    <w:rsid w:val="00A47BE9"/>
    <w:rsid w:val="00A5012F"/>
    <w:rsid w:val="00A501D0"/>
    <w:rsid w:val="00A50491"/>
    <w:rsid w:val="00A50C2E"/>
    <w:rsid w:val="00A51059"/>
    <w:rsid w:val="00A512C4"/>
    <w:rsid w:val="00A513B7"/>
    <w:rsid w:val="00A51DDB"/>
    <w:rsid w:val="00A52037"/>
    <w:rsid w:val="00A5239B"/>
    <w:rsid w:val="00A52640"/>
    <w:rsid w:val="00A52C30"/>
    <w:rsid w:val="00A52D65"/>
    <w:rsid w:val="00A52DE9"/>
    <w:rsid w:val="00A5325D"/>
    <w:rsid w:val="00A53265"/>
    <w:rsid w:val="00A53317"/>
    <w:rsid w:val="00A53844"/>
    <w:rsid w:val="00A53BC4"/>
    <w:rsid w:val="00A53BFB"/>
    <w:rsid w:val="00A53F5B"/>
    <w:rsid w:val="00A53FF9"/>
    <w:rsid w:val="00A54063"/>
    <w:rsid w:val="00A5407E"/>
    <w:rsid w:val="00A54170"/>
    <w:rsid w:val="00A54289"/>
    <w:rsid w:val="00A547F1"/>
    <w:rsid w:val="00A54A53"/>
    <w:rsid w:val="00A54EB2"/>
    <w:rsid w:val="00A54F1D"/>
    <w:rsid w:val="00A55CDA"/>
    <w:rsid w:val="00A55E71"/>
    <w:rsid w:val="00A56063"/>
    <w:rsid w:val="00A5609E"/>
    <w:rsid w:val="00A56440"/>
    <w:rsid w:val="00A568DC"/>
    <w:rsid w:val="00A56B18"/>
    <w:rsid w:val="00A56E86"/>
    <w:rsid w:val="00A57252"/>
    <w:rsid w:val="00A5751F"/>
    <w:rsid w:val="00A57D08"/>
    <w:rsid w:val="00A57E40"/>
    <w:rsid w:val="00A57F91"/>
    <w:rsid w:val="00A607AB"/>
    <w:rsid w:val="00A60BD1"/>
    <w:rsid w:val="00A61269"/>
    <w:rsid w:val="00A61412"/>
    <w:rsid w:val="00A61740"/>
    <w:rsid w:val="00A61774"/>
    <w:rsid w:val="00A61C5F"/>
    <w:rsid w:val="00A61D22"/>
    <w:rsid w:val="00A62456"/>
    <w:rsid w:val="00A62741"/>
    <w:rsid w:val="00A62787"/>
    <w:rsid w:val="00A62FA3"/>
    <w:rsid w:val="00A62FD3"/>
    <w:rsid w:val="00A6346C"/>
    <w:rsid w:val="00A63832"/>
    <w:rsid w:val="00A6397C"/>
    <w:rsid w:val="00A63B56"/>
    <w:rsid w:val="00A63BDC"/>
    <w:rsid w:val="00A641AC"/>
    <w:rsid w:val="00A645E5"/>
    <w:rsid w:val="00A64632"/>
    <w:rsid w:val="00A64AB9"/>
    <w:rsid w:val="00A64B96"/>
    <w:rsid w:val="00A65525"/>
    <w:rsid w:val="00A65598"/>
    <w:rsid w:val="00A6582E"/>
    <w:rsid w:val="00A65938"/>
    <w:rsid w:val="00A65B2B"/>
    <w:rsid w:val="00A65F31"/>
    <w:rsid w:val="00A66009"/>
    <w:rsid w:val="00A661CD"/>
    <w:rsid w:val="00A6622A"/>
    <w:rsid w:val="00A666AF"/>
    <w:rsid w:val="00A67006"/>
    <w:rsid w:val="00A671FF"/>
    <w:rsid w:val="00A67470"/>
    <w:rsid w:val="00A6748C"/>
    <w:rsid w:val="00A70023"/>
    <w:rsid w:val="00A7016F"/>
    <w:rsid w:val="00A70212"/>
    <w:rsid w:val="00A704A9"/>
    <w:rsid w:val="00A70B3C"/>
    <w:rsid w:val="00A70F63"/>
    <w:rsid w:val="00A7123B"/>
    <w:rsid w:val="00A71671"/>
    <w:rsid w:val="00A71828"/>
    <w:rsid w:val="00A71A70"/>
    <w:rsid w:val="00A72083"/>
    <w:rsid w:val="00A725A6"/>
    <w:rsid w:val="00A72919"/>
    <w:rsid w:val="00A72B63"/>
    <w:rsid w:val="00A72F6D"/>
    <w:rsid w:val="00A7365A"/>
    <w:rsid w:val="00A73B52"/>
    <w:rsid w:val="00A73D65"/>
    <w:rsid w:val="00A73F5C"/>
    <w:rsid w:val="00A74051"/>
    <w:rsid w:val="00A740B2"/>
    <w:rsid w:val="00A744D1"/>
    <w:rsid w:val="00A74736"/>
    <w:rsid w:val="00A749F6"/>
    <w:rsid w:val="00A74A12"/>
    <w:rsid w:val="00A74C3E"/>
    <w:rsid w:val="00A74C64"/>
    <w:rsid w:val="00A74C79"/>
    <w:rsid w:val="00A751BC"/>
    <w:rsid w:val="00A754E8"/>
    <w:rsid w:val="00A75511"/>
    <w:rsid w:val="00A758BF"/>
    <w:rsid w:val="00A7591D"/>
    <w:rsid w:val="00A75A6E"/>
    <w:rsid w:val="00A75A97"/>
    <w:rsid w:val="00A75B67"/>
    <w:rsid w:val="00A75C97"/>
    <w:rsid w:val="00A75CB9"/>
    <w:rsid w:val="00A75FC8"/>
    <w:rsid w:val="00A76079"/>
    <w:rsid w:val="00A766F3"/>
    <w:rsid w:val="00A767B7"/>
    <w:rsid w:val="00A76827"/>
    <w:rsid w:val="00A76B93"/>
    <w:rsid w:val="00A76F58"/>
    <w:rsid w:val="00A777EF"/>
    <w:rsid w:val="00A77A48"/>
    <w:rsid w:val="00A77D17"/>
    <w:rsid w:val="00A803CD"/>
    <w:rsid w:val="00A80428"/>
    <w:rsid w:val="00A8096C"/>
    <w:rsid w:val="00A80B25"/>
    <w:rsid w:val="00A80C75"/>
    <w:rsid w:val="00A80D55"/>
    <w:rsid w:val="00A80F24"/>
    <w:rsid w:val="00A80F81"/>
    <w:rsid w:val="00A81244"/>
    <w:rsid w:val="00A81748"/>
    <w:rsid w:val="00A821BD"/>
    <w:rsid w:val="00A827E1"/>
    <w:rsid w:val="00A82B13"/>
    <w:rsid w:val="00A82CB7"/>
    <w:rsid w:val="00A82E92"/>
    <w:rsid w:val="00A82F29"/>
    <w:rsid w:val="00A82FB1"/>
    <w:rsid w:val="00A8367A"/>
    <w:rsid w:val="00A83973"/>
    <w:rsid w:val="00A83A3E"/>
    <w:rsid w:val="00A83A73"/>
    <w:rsid w:val="00A83F60"/>
    <w:rsid w:val="00A84291"/>
    <w:rsid w:val="00A845F3"/>
    <w:rsid w:val="00A84676"/>
    <w:rsid w:val="00A84BFB"/>
    <w:rsid w:val="00A84FBC"/>
    <w:rsid w:val="00A850D1"/>
    <w:rsid w:val="00A8536E"/>
    <w:rsid w:val="00A854EE"/>
    <w:rsid w:val="00A855A2"/>
    <w:rsid w:val="00A856E1"/>
    <w:rsid w:val="00A8580A"/>
    <w:rsid w:val="00A866B1"/>
    <w:rsid w:val="00A866D9"/>
    <w:rsid w:val="00A86728"/>
    <w:rsid w:val="00A86EA7"/>
    <w:rsid w:val="00A86F90"/>
    <w:rsid w:val="00A86FE0"/>
    <w:rsid w:val="00A87080"/>
    <w:rsid w:val="00A870E7"/>
    <w:rsid w:val="00A872BC"/>
    <w:rsid w:val="00A87434"/>
    <w:rsid w:val="00A87B19"/>
    <w:rsid w:val="00A87D37"/>
    <w:rsid w:val="00A88579"/>
    <w:rsid w:val="00A9011E"/>
    <w:rsid w:val="00A901F6"/>
    <w:rsid w:val="00A90770"/>
    <w:rsid w:val="00A90A59"/>
    <w:rsid w:val="00A9102E"/>
    <w:rsid w:val="00A915E8"/>
    <w:rsid w:val="00A91799"/>
    <w:rsid w:val="00A91BB6"/>
    <w:rsid w:val="00A91CC1"/>
    <w:rsid w:val="00A91ED3"/>
    <w:rsid w:val="00A920EE"/>
    <w:rsid w:val="00A92A26"/>
    <w:rsid w:val="00A92A99"/>
    <w:rsid w:val="00A92C4C"/>
    <w:rsid w:val="00A92E45"/>
    <w:rsid w:val="00A92E80"/>
    <w:rsid w:val="00A934F7"/>
    <w:rsid w:val="00A9405B"/>
    <w:rsid w:val="00A94192"/>
    <w:rsid w:val="00A9423E"/>
    <w:rsid w:val="00A944EB"/>
    <w:rsid w:val="00A946C6"/>
    <w:rsid w:val="00A94BCC"/>
    <w:rsid w:val="00A94D73"/>
    <w:rsid w:val="00A94F3A"/>
    <w:rsid w:val="00A9534D"/>
    <w:rsid w:val="00A961C4"/>
    <w:rsid w:val="00A96ABD"/>
    <w:rsid w:val="00A9709E"/>
    <w:rsid w:val="00A97298"/>
    <w:rsid w:val="00A97430"/>
    <w:rsid w:val="00AA0407"/>
    <w:rsid w:val="00AA0593"/>
    <w:rsid w:val="00AA076C"/>
    <w:rsid w:val="00AA09A3"/>
    <w:rsid w:val="00AA0D00"/>
    <w:rsid w:val="00AA0D37"/>
    <w:rsid w:val="00AA12B9"/>
    <w:rsid w:val="00AA180B"/>
    <w:rsid w:val="00AA1E5D"/>
    <w:rsid w:val="00AA1F05"/>
    <w:rsid w:val="00AA20AC"/>
    <w:rsid w:val="00AA2167"/>
    <w:rsid w:val="00AA2435"/>
    <w:rsid w:val="00AA295A"/>
    <w:rsid w:val="00AA2FDA"/>
    <w:rsid w:val="00AA3709"/>
    <w:rsid w:val="00AA4287"/>
    <w:rsid w:val="00AA45A2"/>
    <w:rsid w:val="00AA494A"/>
    <w:rsid w:val="00AA4A50"/>
    <w:rsid w:val="00AA4E0A"/>
    <w:rsid w:val="00AA4E73"/>
    <w:rsid w:val="00AA4F1D"/>
    <w:rsid w:val="00AA5282"/>
    <w:rsid w:val="00AA54A8"/>
    <w:rsid w:val="00AA574D"/>
    <w:rsid w:val="00AA579D"/>
    <w:rsid w:val="00AA57FB"/>
    <w:rsid w:val="00AA58AD"/>
    <w:rsid w:val="00AA5AE0"/>
    <w:rsid w:val="00AA5B1C"/>
    <w:rsid w:val="00AA5DD8"/>
    <w:rsid w:val="00AA6180"/>
    <w:rsid w:val="00AA68BC"/>
    <w:rsid w:val="00AA6CA1"/>
    <w:rsid w:val="00AA6CA6"/>
    <w:rsid w:val="00AA6D63"/>
    <w:rsid w:val="00AA6DF6"/>
    <w:rsid w:val="00AA765A"/>
    <w:rsid w:val="00AA781D"/>
    <w:rsid w:val="00AA784F"/>
    <w:rsid w:val="00AA7CB2"/>
    <w:rsid w:val="00AB08B4"/>
    <w:rsid w:val="00AB0B96"/>
    <w:rsid w:val="00AB0BA2"/>
    <w:rsid w:val="00AB1535"/>
    <w:rsid w:val="00AB1754"/>
    <w:rsid w:val="00AB1839"/>
    <w:rsid w:val="00AB18DF"/>
    <w:rsid w:val="00AB19A4"/>
    <w:rsid w:val="00AB1E66"/>
    <w:rsid w:val="00AB23E2"/>
    <w:rsid w:val="00AB2951"/>
    <w:rsid w:val="00AB2B87"/>
    <w:rsid w:val="00AB2BEF"/>
    <w:rsid w:val="00AB3372"/>
    <w:rsid w:val="00AB3741"/>
    <w:rsid w:val="00AB3C8E"/>
    <w:rsid w:val="00AB4151"/>
    <w:rsid w:val="00AB41D1"/>
    <w:rsid w:val="00AB45A8"/>
    <w:rsid w:val="00AB46F4"/>
    <w:rsid w:val="00AB4B69"/>
    <w:rsid w:val="00AB510B"/>
    <w:rsid w:val="00AB5186"/>
    <w:rsid w:val="00AB5556"/>
    <w:rsid w:val="00AB5F42"/>
    <w:rsid w:val="00AB624F"/>
    <w:rsid w:val="00AB6843"/>
    <w:rsid w:val="00AB6D42"/>
    <w:rsid w:val="00AB70B3"/>
    <w:rsid w:val="00AB7D11"/>
    <w:rsid w:val="00AB7D8E"/>
    <w:rsid w:val="00AC006E"/>
    <w:rsid w:val="00AC0910"/>
    <w:rsid w:val="00AC0B9A"/>
    <w:rsid w:val="00AC0C9B"/>
    <w:rsid w:val="00AC0FEC"/>
    <w:rsid w:val="00AC17AD"/>
    <w:rsid w:val="00AC1884"/>
    <w:rsid w:val="00AC19E2"/>
    <w:rsid w:val="00AC1BA9"/>
    <w:rsid w:val="00AC1C7B"/>
    <w:rsid w:val="00AC1F2B"/>
    <w:rsid w:val="00AC1F60"/>
    <w:rsid w:val="00AC1F72"/>
    <w:rsid w:val="00AC2701"/>
    <w:rsid w:val="00AC28C8"/>
    <w:rsid w:val="00AC2CCD"/>
    <w:rsid w:val="00AC31FB"/>
    <w:rsid w:val="00AC31FD"/>
    <w:rsid w:val="00AC3D0B"/>
    <w:rsid w:val="00AC3FD4"/>
    <w:rsid w:val="00AC4071"/>
    <w:rsid w:val="00AC41FB"/>
    <w:rsid w:val="00AC463E"/>
    <w:rsid w:val="00AC4678"/>
    <w:rsid w:val="00AC47E7"/>
    <w:rsid w:val="00AC49D3"/>
    <w:rsid w:val="00AC4B6C"/>
    <w:rsid w:val="00AC550C"/>
    <w:rsid w:val="00AC5586"/>
    <w:rsid w:val="00AC5C4B"/>
    <w:rsid w:val="00AC5DED"/>
    <w:rsid w:val="00AC63FE"/>
    <w:rsid w:val="00AC680E"/>
    <w:rsid w:val="00AC6889"/>
    <w:rsid w:val="00AC752A"/>
    <w:rsid w:val="00AC75F0"/>
    <w:rsid w:val="00AC7854"/>
    <w:rsid w:val="00AD01BF"/>
    <w:rsid w:val="00AD01D8"/>
    <w:rsid w:val="00AD0B7E"/>
    <w:rsid w:val="00AD0CCD"/>
    <w:rsid w:val="00AD0D2B"/>
    <w:rsid w:val="00AD13EC"/>
    <w:rsid w:val="00AD142C"/>
    <w:rsid w:val="00AD16EE"/>
    <w:rsid w:val="00AD1807"/>
    <w:rsid w:val="00AD1911"/>
    <w:rsid w:val="00AD19C0"/>
    <w:rsid w:val="00AD1C40"/>
    <w:rsid w:val="00AD1CEC"/>
    <w:rsid w:val="00AD2019"/>
    <w:rsid w:val="00AD244B"/>
    <w:rsid w:val="00AD28CA"/>
    <w:rsid w:val="00AD2C3A"/>
    <w:rsid w:val="00AD2FBD"/>
    <w:rsid w:val="00AD329E"/>
    <w:rsid w:val="00AD32C3"/>
    <w:rsid w:val="00AD33F9"/>
    <w:rsid w:val="00AD35FD"/>
    <w:rsid w:val="00AD40B5"/>
    <w:rsid w:val="00AD4313"/>
    <w:rsid w:val="00AD44A9"/>
    <w:rsid w:val="00AD4619"/>
    <w:rsid w:val="00AD465C"/>
    <w:rsid w:val="00AD4DEB"/>
    <w:rsid w:val="00AD4ECC"/>
    <w:rsid w:val="00AD5283"/>
    <w:rsid w:val="00AD5322"/>
    <w:rsid w:val="00AD5886"/>
    <w:rsid w:val="00AD5C99"/>
    <w:rsid w:val="00AD5DF4"/>
    <w:rsid w:val="00AD5E82"/>
    <w:rsid w:val="00AD6483"/>
    <w:rsid w:val="00AD64C0"/>
    <w:rsid w:val="00AD6DD5"/>
    <w:rsid w:val="00AD6F47"/>
    <w:rsid w:val="00AD7587"/>
    <w:rsid w:val="00AD7712"/>
    <w:rsid w:val="00AD78DC"/>
    <w:rsid w:val="00AD79A2"/>
    <w:rsid w:val="00AD7F0D"/>
    <w:rsid w:val="00AE023F"/>
    <w:rsid w:val="00AE025D"/>
    <w:rsid w:val="00AE048C"/>
    <w:rsid w:val="00AE07AD"/>
    <w:rsid w:val="00AE0B2D"/>
    <w:rsid w:val="00AE0EF7"/>
    <w:rsid w:val="00AE0FBA"/>
    <w:rsid w:val="00AE198C"/>
    <w:rsid w:val="00AE1AAD"/>
    <w:rsid w:val="00AE1B73"/>
    <w:rsid w:val="00AE2624"/>
    <w:rsid w:val="00AE26D8"/>
    <w:rsid w:val="00AE27D4"/>
    <w:rsid w:val="00AE2A77"/>
    <w:rsid w:val="00AE3467"/>
    <w:rsid w:val="00AE37EB"/>
    <w:rsid w:val="00AE39D3"/>
    <w:rsid w:val="00AE3A88"/>
    <w:rsid w:val="00AE3CAC"/>
    <w:rsid w:val="00AE3F32"/>
    <w:rsid w:val="00AE42C5"/>
    <w:rsid w:val="00AE4840"/>
    <w:rsid w:val="00AE497A"/>
    <w:rsid w:val="00AE533D"/>
    <w:rsid w:val="00AE534D"/>
    <w:rsid w:val="00AE54ED"/>
    <w:rsid w:val="00AE58F4"/>
    <w:rsid w:val="00AE5E71"/>
    <w:rsid w:val="00AE6744"/>
    <w:rsid w:val="00AE6972"/>
    <w:rsid w:val="00AE6F7C"/>
    <w:rsid w:val="00AE7C48"/>
    <w:rsid w:val="00AE7F15"/>
    <w:rsid w:val="00AF0191"/>
    <w:rsid w:val="00AF02F5"/>
    <w:rsid w:val="00AF059A"/>
    <w:rsid w:val="00AF095E"/>
    <w:rsid w:val="00AF0BCB"/>
    <w:rsid w:val="00AF0BF7"/>
    <w:rsid w:val="00AF0F3D"/>
    <w:rsid w:val="00AF1989"/>
    <w:rsid w:val="00AF19BF"/>
    <w:rsid w:val="00AF1DBE"/>
    <w:rsid w:val="00AF1DD5"/>
    <w:rsid w:val="00AF1E17"/>
    <w:rsid w:val="00AF2569"/>
    <w:rsid w:val="00AF2764"/>
    <w:rsid w:val="00AF2D85"/>
    <w:rsid w:val="00AF2F09"/>
    <w:rsid w:val="00AF360F"/>
    <w:rsid w:val="00AF37B1"/>
    <w:rsid w:val="00AF3869"/>
    <w:rsid w:val="00AF3BD1"/>
    <w:rsid w:val="00AF3D06"/>
    <w:rsid w:val="00AF3F4E"/>
    <w:rsid w:val="00AF430C"/>
    <w:rsid w:val="00AF44ED"/>
    <w:rsid w:val="00AF474B"/>
    <w:rsid w:val="00AF47F3"/>
    <w:rsid w:val="00AF522B"/>
    <w:rsid w:val="00AF5963"/>
    <w:rsid w:val="00AF5B0A"/>
    <w:rsid w:val="00AF603A"/>
    <w:rsid w:val="00AF60F8"/>
    <w:rsid w:val="00AF6204"/>
    <w:rsid w:val="00AF62E3"/>
    <w:rsid w:val="00AF63BF"/>
    <w:rsid w:val="00AF667C"/>
    <w:rsid w:val="00AF67AA"/>
    <w:rsid w:val="00AF6AE4"/>
    <w:rsid w:val="00AF6C1B"/>
    <w:rsid w:val="00AF75FD"/>
    <w:rsid w:val="00AF7CED"/>
    <w:rsid w:val="00AF7E86"/>
    <w:rsid w:val="00B0006B"/>
    <w:rsid w:val="00B0014A"/>
    <w:rsid w:val="00B0015B"/>
    <w:rsid w:val="00B00BB1"/>
    <w:rsid w:val="00B00C65"/>
    <w:rsid w:val="00B00E27"/>
    <w:rsid w:val="00B00FF5"/>
    <w:rsid w:val="00B01656"/>
    <w:rsid w:val="00B01EBC"/>
    <w:rsid w:val="00B02037"/>
    <w:rsid w:val="00B02425"/>
    <w:rsid w:val="00B024AF"/>
    <w:rsid w:val="00B0256E"/>
    <w:rsid w:val="00B02878"/>
    <w:rsid w:val="00B02CF7"/>
    <w:rsid w:val="00B02E6C"/>
    <w:rsid w:val="00B02F7E"/>
    <w:rsid w:val="00B03094"/>
    <w:rsid w:val="00B030A5"/>
    <w:rsid w:val="00B03483"/>
    <w:rsid w:val="00B0375A"/>
    <w:rsid w:val="00B03A0F"/>
    <w:rsid w:val="00B03E45"/>
    <w:rsid w:val="00B04287"/>
    <w:rsid w:val="00B0496D"/>
    <w:rsid w:val="00B04AFA"/>
    <w:rsid w:val="00B04DFB"/>
    <w:rsid w:val="00B04F64"/>
    <w:rsid w:val="00B0516F"/>
    <w:rsid w:val="00B059AC"/>
    <w:rsid w:val="00B05A59"/>
    <w:rsid w:val="00B05B35"/>
    <w:rsid w:val="00B062AF"/>
    <w:rsid w:val="00B06815"/>
    <w:rsid w:val="00B06839"/>
    <w:rsid w:val="00B06963"/>
    <w:rsid w:val="00B06C8A"/>
    <w:rsid w:val="00B07234"/>
    <w:rsid w:val="00B07414"/>
    <w:rsid w:val="00B07575"/>
    <w:rsid w:val="00B07751"/>
    <w:rsid w:val="00B077BC"/>
    <w:rsid w:val="00B07DC2"/>
    <w:rsid w:val="00B100FE"/>
    <w:rsid w:val="00B10575"/>
    <w:rsid w:val="00B105E8"/>
    <w:rsid w:val="00B10A8B"/>
    <w:rsid w:val="00B10B47"/>
    <w:rsid w:val="00B10E5D"/>
    <w:rsid w:val="00B11160"/>
    <w:rsid w:val="00B11381"/>
    <w:rsid w:val="00B113F4"/>
    <w:rsid w:val="00B1145E"/>
    <w:rsid w:val="00B1156A"/>
    <w:rsid w:val="00B116BD"/>
    <w:rsid w:val="00B11ACD"/>
    <w:rsid w:val="00B11FE4"/>
    <w:rsid w:val="00B12041"/>
    <w:rsid w:val="00B121AA"/>
    <w:rsid w:val="00B121FA"/>
    <w:rsid w:val="00B12666"/>
    <w:rsid w:val="00B12B9B"/>
    <w:rsid w:val="00B131F6"/>
    <w:rsid w:val="00B13CD8"/>
    <w:rsid w:val="00B141B3"/>
    <w:rsid w:val="00B142EB"/>
    <w:rsid w:val="00B149D1"/>
    <w:rsid w:val="00B14BCF"/>
    <w:rsid w:val="00B14E54"/>
    <w:rsid w:val="00B15051"/>
    <w:rsid w:val="00B15122"/>
    <w:rsid w:val="00B15613"/>
    <w:rsid w:val="00B15664"/>
    <w:rsid w:val="00B15A59"/>
    <w:rsid w:val="00B16072"/>
    <w:rsid w:val="00B16168"/>
    <w:rsid w:val="00B16430"/>
    <w:rsid w:val="00B16433"/>
    <w:rsid w:val="00B167D1"/>
    <w:rsid w:val="00B16CEE"/>
    <w:rsid w:val="00B16D8B"/>
    <w:rsid w:val="00B16E16"/>
    <w:rsid w:val="00B17496"/>
    <w:rsid w:val="00B17844"/>
    <w:rsid w:val="00B17C33"/>
    <w:rsid w:val="00B17DE7"/>
    <w:rsid w:val="00B17E1E"/>
    <w:rsid w:val="00B209D9"/>
    <w:rsid w:val="00B20C36"/>
    <w:rsid w:val="00B214EC"/>
    <w:rsid w:val="00B216DF"/>
    <w:rsid w:val="00B218D6"/>
    <w:rsid w:val="00B2199B"/>
    <w:rsid w:val="00B21A8E"/>
    <w:rsid w:val="00B21A9E"/>
    <w:rsid w:val="00B21F91"/>
    <w:rsid w:val="00B229C1"/>
    <w:rsid w:val="00B22B35"/>
    <w:rsid w:val="00B22DD4"/>
    <w:rsid w:val="00B22F1A"/>
    <w:rsid w:val="00B23513"/>
    <w:rsid w:val="00B23788"/>
    <w:rsid w:val="00B239EB"/>
    <w:rsid w:val="00B23A75"/>
    <w:rsid w:val="00B242D8"/>
    <w:rsid w:val="00B243A2"/>
    <w:rsid w:val="00B24487"/>
    <w:rsid w:val="00B245A0"/>
    <w:rsid w:val="00B251CB"/>
    <w:rsid w:val="00B25458"/>
    <w:rsid w:val="00B25469"/>
    <w:rsid w:val="00B2565D"/>
    <w:rsid w:val="00B257CA"/>
    <w:rsid w:val="00B26098"/>
    <w:rsid w:val="00B26114"/>
    <w:rsid w:val="00B2619E"/>
    <w:rsid w:val="00B26243"/>
    <w:rsid w:val="00B26390"/>
    <w:rsid w:val="00B26490"/>
    <w:rsid w:val="00B26728"/>
    <w:rsid w:val="00B26DE1"/>
    <w:rsid w:val="00B2786D"/>
    <w:rsid w:val="00B2794E"/>
    <w:rsid w:val="00B27CF8"/>
    <w:rsid w:val="00B302C9"/>
    <w:rsid w:val="00B3051F"/>
    <w:rsid w:val="00B3052B"/>
    <w:rsid w:val="00B307E6"/>
    <w:rsid w:val="00B31165"/>
    <w:rsid w:val="00B31B82"/>
    <w:rsid w:val="00B31D0F"/>
    <w:rsid w:val="00B31D17"/>
    <w:rsid w:val="00B31F94"/>
    <w:rsid w:val="00B31FA2"/>
    <w:rsid w:val="00B3206B"/>
    <w:rsid w:val="00B321CF"/>
    <w:rsid w:val="00B32302"/>
    <w:rsid w:val="00B32A6F"/>
    <w:rsid w:val="00B32A79"/>
    <w:rsid w:val="00B33149"/>
    <w:rsid w:val="00B3330C"/>
    <w:rsid w:val="00B33426"/>
    <w:rsid w:val="00B33804"/>
    <w:rsid w:val="00B33A8C"/>
    <w:rsid w:val="00B33B20"/>
    <w:rsid w:val="00B33D15"/>
    <w:rsid w:val="00B340BF"/>
    <w:rsid w:val="00B34373"/>
    <w:rsid w:val="00B34428"/>
    <w:rsid w:val="00B34436"/>
    <w:rsid w:val="00B344AD"/>
    <w:rsid w:val="00B344C6"/>
    <w:rsid w:val="00B349AC"/>
    <w:rsid w:val="00B3599C"/>
    <w:rsid w:val="00B35A48"/>
    <w:rsid w:val="00B35FDC"/>
    <w:rsid w:val="00B36157"/>
    <w:rsid w:val="00B3618F"/>
    <w:rsid w:val="00B36235"/>
    <w:rsid w:val="00B36270"/>
    <w:rsid w:val="00B36361"/>
    <w:rsid w:val="00B36774"/>
    <w:rsid w:val="00B3684E"/>
    <w:rsid w:val="00B369D5"/>
    <w:rsid w:val="00B372D2"/>
    <w:rsid w:val="00B37398"/>
    <w:rsid w:val="00B37C3C"/>
    <w:rsid w:val="00B37DAA"/>
    <w:rsid w:val="00B37E2C"/>
    <w:rsid w:val="00B37E56"/>
    <w:rsid w:val="00B37E9A"/>
    <w:rsid w:val="00B40B7B"/>
    <w:rsid w:val="00B40BFE"/>
    <w:rsid w:val="00B40E14"/>
    <w:rsid w:val="00B40E49"/>
    <w:rsid w:val="00B41237"/>
    <w:rsid w:val="00B422D4"/>
    <w:rsid w:val="00B42D7B"/>
    <w:rsid w:val="00B430CC"/>
    <w:rsid w:val="00B432CE"/>
    <w:rsid w:val="00B4371E"/>
    <w:rsid w:val="00B43CF1"/>
    <w:rsid w:val="00B44250"/>
    <w:rsid w:val="00B442E5"/>
    <w:rsid w:val="00B446C6"/>
    <w:rsid w:val="00B447A5"/>
    <w:rsid w:val="00B45181"/>
    <w:rsid w:val="00B45510"/>
    <w:rsid w:val="00B4580C"/>
    <w:rsid w:val="00B46228"/>
    <w:rsid w:val="00B46335"/>
    <w:rsid w:val="00B4650C"/>
    <w:rsid w:val="00B46B1A"/>
    <w:rsid w:val="00B46C40"/>
    <w:rsid w:val="00B47451"/>
    <w:rsid w:val="00B475AF"/>
    <w:rsid w:val="00B47767"/>
    <w:rsid w:val="00B479CA"/>
    <w:rsid w:val="00B47BF5"/>
    <w:rsid w:val="00B47C7D"/>
    <w:rsid w:val="00B47DD4"/>
    <w:rsid w:val="00B47EFF"/>
    <w:rsid w:val="00B50049"/>
    <w:rsid w:val="00B50060"/>
    <w:rsid w:val="00B50D53"/>
    <w:rsid w:val="00B50FAC"/>
    <w:rsid w:val="00B51280"/>
    <w:rsid w:val="00B51968"/>
    <w:rsid w:val="00B51E4B"/>
    <w:rsid w:val="00B51E70"/>
    <w:rsid w:val="00B52125"/>
    <w:rsid w:val="00B524AB"/>
    <w:rsid w:val="00B52A0F"/>
    <w:rsid w:val="00B52B5D"/>
    <w:rsid w:val="00B52E87"/>
    <w:rsid w:val="00B532F0"/>
    <w:rsid w:val="00B53440"/>
    <w:rsid w:val="00B536D3"/>
    <w:rsid w:val="00B54305"/>
    <w:rsid w:val="00B54512"/>
    <w:rsid w:val="00B5494C"/>
    <w:rsid w:val="00B54B16"/>
    <w:rsid w:val="00B54BA5"/>
    <w:rsid w:val="00B54BFF"/>
    <w:rsid w:val="00B55064"/>
    <w:rsid w:val="00B550A5"/>
    <w:rsid w:val="00B5539E"/>
    <w:rsid w:val="00B554FD"/>
    <w:rsid w:val="00B555A2"/>
    <w:rsid w:val="00B55F9D"/>
    <w:rsid w:val="00B563DC"/>
    <w:rsid w:val="00B5687C"/>
    <w:rsid w:val="00B57039"/>
    <w:rsid w:val="00B57465"/>
    <w:rsid w:val="00B57B16"/>
    <w:rsid w:val="00B57B3C"/>
    <w:rsid w:val="00B6029B"/>
    <w:rsid w:val="00B602C7"/>
    <w:rsid w:val="00B6089B"/>
    <w:rsid w:val="00B608EC"/>
    <w:rsid w:val="00B60AB6"/>
    <w:rsid w:val="00B60BD3"/>
    <w:rsid w:val="00B60DBB"/>
    <w:rsid w:val="00B60FFD"/>
    <w:rsid w:val="00B610D9"/>
    <w:rsid w:val="00B61114"/>
    <w:rsid w:val="00B61263"/>
    <w:rsid w:val="00B61A6D"/>
    <w:rsid w:val="00B61C01"/>
    <w:rsid w:val="00B626B8"/>
    <w:rsid w:val="00B63A5B"/>
    <w:rsid w:val="00B64001"/>
    <w:rsid w:val="00B643DA"/>
    <w:rsid w:val="00B647A8"/>
    <w:rsid w:val="00B65454"/>
    <w:rsid w:val="00B655B4"/>
    <w:rsid w:val="00B65C2C"/>
    <w:rsid w:val="00B65CDA"/>
    <w:rsid w:val="00B65FF2"/>
    <w:rsid w:val="00B66406"/>
    <w:rsid w:val="00B6650D"/>
    <w:rsid w:val="00B668A5"/>
    <w:rsid w:val="00B66B6F"/>
    <w:rsid w:val="00B674AC"/>
    <w:rsid w:val="00B6758F"/>
    <w:rsid w:val="00B6772C"/>
    <w:rsid w:val="00B679AA"/>
    <w:rsid w:val="00B67A10"/>
    <w:rsid w:val="00B67D7F"/>
    <w:rsid w:val="00B70132"/>
    <w:rsid w:val="00B70427"/>
    <w:rsid w:val="00B7073B"/>
    <w:rsid w:val="00B70EBA"/>
    <w:rsid w:val="00B7103D"/>
    <w:rsid w:val="00B71068"/>
    <w:rsid w:val="00B71125"/>
    <w:rsid w:val="00B713A9"/>
    <w:rsid w:val="00B7143D"/>
    <w:rsid w:val="00B716E6"/>
    <w:rsid w:val="00B71A34"/>
    <w:rsid w:val="00B71A60"/>
    <w:rsid w:val="00B71AD6"/>
    <w:rsid w:val="00B71BE9"/>
    <w:rsid w:val="00B722F9"/>
    <w:rsid w:val="00B72753"/>
    <w:rsid w:val="00B72AF9"/>
    <w:rsid w:val="00B72D1B"/>
    <w:rsid w:val="00B72D1C"/>
    <w:rsid w:val="00B72E95"/>
    <w:rsid w:val="00B732D4"/>
    <w:rsid w:val="00B7339D"/>
    <w:rsid w:val="00B73862"/>
    <w:rsid w:val="00B73C87"/>
    <w:rsid w:val="00B73D31"/>
    <w:rsid w:val="00B73E89"/>
    <w:rsid w:val="00B74C99"/>
    <w:rsid w:val="00B7512C"/>
    <w:rsid w:val="00B754C8"/>
    <w:rsid w:val="00B761C1"/>
    <w:rsid w:val="00B76BEE"/>
    <w:rsid w:val="00B76CF4"/>
    <w:rsid w:val="00B76D65"/>
    <w:rsid w:val="00B76E8F"/>
    <w:rsid w:val="00B77339"/>
    <w:rsid w:val="00B777E1"/>
    <w:rsid w:val="00B77D51"/>
    <w:rsid w:val="00B80206"/>
    <w:rsid w:val="00B80384"/>
    <w:rsid w:val="00B80636"/>
    <w:rsid w:val="00B80D95"/>
    <w:rsid w:val="00B80D96"/>
    <w:rsid w:val="00B80D9E"/>
    <w:rsid w:val="00B80DEC"/>
    <w:rsid w:val="00B8101B"/>
    <w:rsid w:val="00B81072"/>
    <w:rsid w:val="00B81424"/>
    <w:rsid w:val="00B823A7"/>
    <w:rsid w:val="00B8253E"/>
    <w:rsid w:val="00B8271B"/>
    <w:rsid w:val="00B82AC2"/>
    <w:rsid w:val="00B82DB8"/>
    <w:rsid w:val="00B82EC6"/>
    <w:rsid w:val="00B82F32"/>
    <w:rsid w:val="00B83277"/>
    <w:rsid w:val="00B8371D"/>
    <w:rsid w:val="00B83A9C"/>
    <w:rsid w:val="00B83D3F"/>
    <w:rsid w:val="00B83DE0"/>
    <w:rsid w:val="00B840FF"/>
    <w:rsid w:val="00B84A59"/>
    <w:rsid w:val="00B84F01"/>
    <w:rsid w:val="00B85637"/>
    <w:rsid w:val="00B85A4A"/>
    <w:rsid w:val="00B85B9B"/>
    <w:rsid w:val="00B8617A"/>
    <w:rsid w:val="00B8623D"/>
    <w:rsid w:val="00B86445"/>
    <w:rsid w:val="00B86512"/>
    <w:rsid w:val="00B866B7"/>
    <w:rsid w:val="00B86727"/>
    <w:rsid w:val="00B867F4"/>
    <w:rsid w:val="00B86873"/>
    <w:rsid w:val="00B86A58"/>
    <w:rsid w:val="00B86BEC"/>
    <w:rsid w:val="00B87166"/>
    <w:rsid w:val="00B873CC"/>
    <w:rsid w:val="00B873DC"/>
    <w:rsid w:val="00B875B0"/>
    <w:rsid w:val="00B87871"/>
    <w:rsid w:val="00B87973"/>
    <w:rsid w:val="00B879D0"/>
    <w:rsid w:val="00B87E8D"/>
    <w:rsid w:val="00B8CF7E"/>
    <w:rsid w:val="00B900D3"/>
    <w:rsid w:val="00B9022D"/>
    <w:rsid w:val="00B90992"/>
    <w:rsid w:val="00B90A29"/>
    <w:rsid w:val="00B90C4C"/>
    <w:rsid w:val="00B91A18"/>
    <w:rsid w:val="00B91F3F"/>
    <w:rsid w:val="00B91F86"/>
    <w:rsid w:val="00B9228D"/>
    <w:rsid w:val="00B924B6"/>
    <w:rsid w:val="00B92689"/>
    <w:rsid w:val="00B929AF"/>
    <w:rsid w:val="00B92EE4"/>
    <w:rsid w:val="00B93165"/>
    <w:rsid w:val="00B93211"/>
    <w:rsid w:val="00B932DE"/>
    <w:rsid w:val="00B93CA7"/>
    <w:rsid w:val="00B93FC0"/>
    <w:rsid w:val="00B945E2"/>
    <w:rsid w:val="00B946A0"/>
    <w:rsid w:val="00B94DDD"/>
    <w:rsid w:val="00B95703"/>
    <w:rsid w:val="00B9655D"/>
    <w:rsid w:val="00B966BC"/>
    <w:rsid w:val="00B96B2E"/>
    <w:rsid w:val="00B9701C"/>
    <w:rsid w:val="00B9752B"/>
    <w:rsid w:val="00B97930"/>
    <w:rsid w:val="00B97F37"/>
    <w:rsid w:val="00BA01BC"/>
    <w:rsid w:val="00BA0D75"/>
    <w:rsid w:val="00BA0E0F"/>
    <w:rsid w:val="00BA0F24"/>
    <w:rsid w:val="00BA141F"/>
    <w:rsid w:val="00BA172E"/>
    <w:rsid w:val="00BA188B"/>
    <w:rsid w:val="00BA18F0"/>
    <w:rsid w:val="00BA1FC3"/>
    <w:rsid w:val="00BA2088"/>
    <w:rsid w:val="00BA2256"/>
    <w:rsid w:val="00BA2577"/>
    <w:rsid w:val="00BA2813"/>
    <w:rsid w:val="00BA28E3"/>
    <w:rsid w:val="00BA2923"/>
    <w:rsid w:val="00BA297B"/>
    <w:rsid w:val="00BA2A19"/>
    <w:rsid w:val="00BA2DF1"/>
    <w:rsid w:val="00BA2F67"/>
    <w:rsid w:val="00BA32F5"/>
    <w:rsid w:val="00BA3608"/>
    <w:rsid w:val="00BA43E4"/>
    <w:rsid w:val="00BA44CC"/>
    <w:rsid w:val="00BA4A52"/>
    <w:rsid w:val="00BA4AC0"/>
    <w:rsid w:val="00BA50D7"/>
    <w:rsid w:val="00BA5F3E"/>
    <w:rsid w:val="00BA5F43"/>
    <w:rsid w:val="00BA6405"/>
    <w:rsid w:val="00BA6426"/>
    <w:rsid w:val="00BA655D"/>
    <w:rsid w:val="00BA6B24"/>
    <w:rsid w:val="00BA7160"/>
    <w:rsid w:val="00BA72A0"/>
    <w:rsid w:val="00BA7881"/>
    <w:rsid w:val="00BA7EB1"/>
    <w:rsid w:val="00BB0930"/>
    <w:rsid w:val="00BB0A8A"/>
    <w:rsid w:val="00BB0D78"/>
    <w:rsid w:val="00BB0EB0"/>
    <w:rsid w:val="00BB181D"/>
    <w:rsid w:val="00BB1FC4"/>
    <w:rsid w:val="00BB2616"/>
    <w:rsid w:val="00BB2A29"/>
    <w:rsid w:val="00BB3138"/>
    <w:rsid w:val="00BB32C2"/>
    <w:rsid w:val="00BB32EA"/>
    <w:rsid w:val="00BB3365"/>
    <w:rsid w:val="00BB3A33"/>
    <w:rsid w:val="00BB3E31"/>
    <w:rsid w:val="00BB4AF1"/>
    <w:rsid w:val="00BB4C4A"/>
    <w:rsid w:val="00BB4D50"/>
    <w:rsid w:val="00BB4E21"/>
    <w:rsid w:val="00BB52E1"/>
    <w:rsid w:val="00BB5469"/>
    <w:rsid w:val="00BB55CB"/>
    <w:rsid w:val="00BB57EA"/>
    <w:rsid w:val="00BB591D"/>
    <w:rsid w:val="00BB5A65"/>
    <w:rsid w:val="00BB5AF7"/>
    <w:rsid w:val="00BB5ECA"/>
    <w:rsid w:val="00BB5EDE"/>
    <w:rsid w:val="00BB5EF6"/>
    <w:rsid w:val="00BB5F2E"/>
    <w:rsid w:val="00BB610B"/>
    <w:rsid w:val="00BB6162"/>
    <w:rsid w:val="00BB61F4"/>
    <w:rsid w:val="00BB62DB"/>
    <w:rsid w:val="00BB6793"/>
    <w:rsid w:val="00BB6947"/>
    <w:rsid w:val="00BB6B13"/>
    <w:rsid w:val="00BB6DD1"/>
    <w:rsid w:val="00BB7619"/>
    <w:rsid w:val="00BB7C4E"/>
    <w:rsid w:val="00BC0593"/>
    <w:rsid w:val="00BC07F6"/>
    <w:rsid w:val="00BC0902"/>
    <w:rsid w:val="00BC0FAC"/>
    <w:rsid w:val="00BC16E1"/>
    <w:rsid w:val="00BC17DF"/>
    <w:rsid w:val="00BC186E"/>
    <w:rsid w:val="00BC1C58"/>
    <w:rsid w:val="00BC1E79"/>
    <w:rsid w:val="00BC2259"/>
    <w:rsid w:val="00BC27B2"/>
    <w:rsid w:val="00BC2FCB"/>
    <w:rsid w:val="00BC304E"/>
    <w:rsid w:val="00BC35A0"/>
    <w:rsid w:val="00BC35C3"/>
    <w:rsid w:val="00BC364D"/>
    <w:rsid w:val="00BC3657"/>
    <w:rsid w:val="00BC3DBA"/>
    <w:rsid w:val="00BC3E81"/>
    <w:rsid w:val="00BC3E94"/>
    <w:rsid w:val="00BC3FF5"/>
    <w:rsid w:val="00BC4156"/>
    <w:rsid w:val="00BC44E8"/>
    <w:rsid w:val="00BC453B"/>
    <w:rsid w:val="00BC458E"/>
    <w:rsid w:val="00BC4B7E"/>
    <w:rsid w:val="00BC4CDB"/>
    <w:rsid w:val="00BC4E5C"/>
    <w:rsid w:val="00BC5108"/>
    <w:rsid w:val="00BC5218"/>
    <w:rsid w:val="00BC553D"/>
    <w:rsid w:val="00BC58A1"/>
    <w:rsid w:val="00BC58D9"/>
    <w:rsid w:val="00BC5A06"/>
    <w:rsid w:val="00BC5B09"/>
    <w:rsid w:val="00BC5C13"/>
    <w:rsid w:val="00BC5C48"/>
    <w:rsid w:val="00BC6053"/>
    <w:rsid w:val="00BC626D"/>
    <w:rsid w:val="00BC660E"/>
    <w:rsid w:val="00BC6770"/>
    <w:rsid w:val="00BC67E6"/>
    <w:rsid w:val="00BC6D1D"/>
    <w:rsid w:val="00BC79FD"/>
    <w:rsid w:val="00BC7AD3"/>
    <w:rsid w:val="00BC7B9C"/>
    <w:rsid w:val="00BC7CF9"/>
    <w:rsid w:val="00BC7FA0"/>
    <w:rsid w:val="00BD0303"/>
    <w:rsid w:val="00BD040D"/>
    <w:rsid w:val="00BD0919"/>
    <w:rsid w:val="00BD0949"/>
    <w:rsid w:val="00BD0C3A"/>
    <w:rsid w:val="00BD0F5F"/>
    <w:rsid w:val="00BD11ED"/>
    <w:rsid w:val="00BD1ADC"/>
    <w:rsid w:val="00BD1D7B"/>
    <w:rsid w:val="00BD1E6B"/>
    <w:rsid w:val="00BD23C0"/>
    <w:rsid w:val="00BD2A42"/>
    <w:rsid w:val="00BD2BE6"/>
    <w:rsid w:val="00BD304D"/>
    <w:rsid w:val="00BD30F7"/>
    <w:rsid w:val="00BD312A"/>
    <w:rsid w:val="00BD37C8"/>
    <w:rsid w:val="00BD3A47"/>
    <w:rsid w:val="00BD3DCA"/>
    <w:rsid w:val="00BD3FF9"/>
    <w:rsid w:val="00BD4054"/>
    <w:rsid w:val="00BD4271"/>
    <w:rsid w:val="00BD4389"/>
    <w:rsid w:val="00BD4391"/>
    <w:rsid w:val="00BD46F6"/>
    <w:rsid w:val="00BD4B14"/>
    <w:rsid w:val="00BD4C32"/>
    <w:rsid w:val="00BD4D02"/>
    <w:rsid w:val="00BD4D4A"/>
    <w:rsid w:val="00BD4E33"/>
    <w:rsid w:val="00BD4E78"/>
    <w:rsid w:val="00BD514C"/>
    <w:rsid w:val="00BD53F0"/>
    <w:rsid w:val="00BD563B"/>
    <w:rsid w:val="00BD600D"/>
    <w:rsid w:val="00BD6120"/>
    <w:rsid w:val="00BD62E7"/>
    <w:rsid w:val="00BD6460"/>
    <w:rsid w:val="00BD6627"/>
    <w:rsid w:val="00BD67E9"/>
    <w:rsid w:val="00BD7012"/>
    <w:rsid w:val="00BD7109"/>
    <w:rsid w:val="00BD7694"/>
    <w:rsid w:val="00BD7CF1"/>
    <w:rsid w:val="00BD7D3F"/>
    <w:rsid w:val="00BE042A"/>
    <w:rsid w:val="00BE0CED"/>
    <w:rsid w:val="00BE0F58"/>
    <w:rsid w:val="00BE0FF3"/>
    <w:rsid w:val="00BE12F7"/>
    <w:rsid w:val="00BE17EC"/>
    <w:rsid w:val="00BE1F5A"/>
    <w:rsid w:val="00BE208F"/>
    <w:rsid w:val="00BE21CE"/>
    <w:rsid w:val="00BE25B2"/>
    <w:rsid w:val="00BE2E57"/>
    <w:rsid w:val="00BE2EA4"/>
    <w:rsid w:val="00BE332E"/>
    <w:rsid w:val="00BE3433"/>
    <w:rsid w:val="00BE362A"/>
    <w:rsid w:val="00BE3AB3"/>
    <w:rsid w:val="00BE3D4E"/>
    <w:rsid w:val="00BE4AD0"/>
    <w:rsid w:val="00BE4BEE"/>
    <w:rsid w:val="00BE5129"/>
    <w:rsid w:val="00BE538D"/>
    <w:rsid w:val="00BE5813"/>
    <w:rsid w:val="00BE5A61"/>
    <w:rsid w:val="00BE5AD2"/>
    <w:rsid w:val="00BE5E7E"/>
    <w:rsid w:val="00BE5EC1"/>
    <w:rsid w:val="00BE63A2"/>
    <w:rsid w:val="00BE650E"/>
    <w:rsid w:val="00BE6559"/>
    <w:rsid w:val="00BE702D"/>
    <w:rsid w:val="00BE7046"/>
    <w:rsid w:val="00BE72E8"/>
    <w:rsid w:val="00BE73BA"/>
    <w:rsid w:val="00BE764D"/>
    <w:rsid w:val="00BE76F0"/>
    <w:rsid w:val="00BE7FB8"/>
    <w:rsid w:val="00BF0207"/>
    <w:rsid w:val="00BF0414"/>
    <w:rsid w:val="00BF0487"/>
    <w:rsid w:val="00BF0565"/>
    <w:rsid w:val="00BF06EB"/>
    <w:rsid w:val="00BF0B17"/>
    <w:rsid w:val="00BF0BB3"/>
    <w:rsid w:val="00BF117E"/>
    <w:rsid w:val="00BF1520"/>
    <w:rsid w:val="00BF1938"/>
    <w:rsid w:val="00BF1B0C"/>
    <w:rsid w:val="00BF2453"/>
    <w:rsid w:val="00BF292D"/>
    <w:rsid w:val="00BF2ED5"/>
    <w:rsid w:val="00BF3B86"/>
    <w:rsid w:val="00BF3E74"/>
    <w:rsid w:val="00BF409F"/>
    <w:rsid w:val="00BF441D"/>
    <w:rsid w:val="00BF4A2B"/>
    <w:rsid w:val="00BF4E6F"/>
    <w:rsid w:val="00BF4E92"/>
    <w:rsid w:val="00BF4F21"/>
    <w:rsid w:val="00BF52E1"/>
    <w:rsid w:val="00BF5990"/>
    <w:rsid w:val="00BF5AB2"/>
    <w:rsid w:val="00BF5D67"/>
    <w:rsid w:val="00BF5D6C"/>
    <w:rsid w:val="00BF5E3E"/>
    <w:rsid w:val="00BF7140"/>
    <w:rsid w:val="00BF7141"/>
    <w:rsid w:val="00BF7286"/>
    <w:rsid w:val="00BF7940"/>
    <w:rsid w:val="00BF794B"/>
    <w:rsid w:val="00BF7A1D"/>
    <w:rsid w:val="00BF7D49"/>
    <w:rsid w:val="00C003BD"/>
    <w:rsid w:val="00C0083F"/>
    <w:rsid w:val="00C008DC"/>
    <w:rsid w:val="00C009AA"/>
    <w:rsid w:val="00C00E8D"/>
    <w:rsid w:val="00C0103F"/>
    <w:rsid w:val="00C0166F"/>
    <w:rsid w:val="00C01A18"/>
    <w:rsid w:val="00C01C52"/>
    <w:rsid w:val="00C01FD5"/>
    <w:rsid w:val="00C0209D"/>
    <w:rsid w:val="00C024D7"/>
    <w:rsid w:val="00C02966"/>
    <w:rsid w:val="00C02C44"/>
    <w:rsid w:val="00C02FFA"/>
    <w:rsid w:val="00C031B6"/>
    <w:rsid w:val="00C034B5"/>
    <w:rsid w:val="00C0403F"/>
    <w:rsid w:val="00C0425B"/>
    <w:rsid w:val="00C04693"/>
    <w:rsid w:val="00C04BC8"/>
    <w:rsid w:val="00C04CE0"/>
    <w:rsid w:val="00C050C0"/>
    <w:rsid w:val="00C054CB"/>
    <w:rsid w:val="00C0617C"/>
    <w:rsid w:val="00C0637C"/>
    <w:rsid w:val="00C06A99"/>
    <w:rsid w:val="00C0726C"/>
    <w:rsid w:val="00C0743A"/>
    <w:rsid w:val="00C07625"/>
    <w:rsid w:val="00C078E4"/>
    <w:rsid w:val="00C0798D"/>
    <w:rsid w:val="00C07DE9"/>
    <w:rsid w:val="00C07F6D"/>
    <w:rsid w:val="00C1039A"/>
    <w:rsid w:val="00C10EE5"/>
    <w:rsid w:val="00C111F0"/>
    <w:rsid w:val="00C111F4"/>
    <w:rsid w:val="00C113F9"/>
    <w:rsid w:val="00C11434"/>
    <w:rsid w:val="00C117AA"/>
    <w:rsid w:val="00C118DE"/>
    <w:rsid w:val="00C119F6"/>
    <w:rsid w:val="00C11BDB"/>
    <w:rsid w:val="00C120B8"/>
    <w:rsid w:val="00C123E3"/>
    <w:rsid w:val="00C12847"/>
    <w:rsid w:val="00C1291E"/>
    <w:rsid w:val="00C129AD"/>
    <w:rsid w:val="00C12B5D"/>
    <w:rsid w:val="00C134A8"/>
    <w:rsid w:val="00C13B57"/>
    <w:rsid w:val="00C13B82"/>
    <w:rsid w:val="00C13FC1"/>
    <w:rsid w:val="00C141CD"/>
    <w:rsid w:val="00C14218"/>
    <w:rsid w:val="00C14527"/>
    <w:rsid w:val="00C14EDD"/>
    <w:rsid w:val="00C1512E"/>
    <w:rsid w:val="00C15201"/>
    <w:rsid w:val="00C15413"/>
    <w:rsid w:val="00C1559C"/>
    <w:rsid w:val="00C155E3"/>
    <w:rsid w:val="00C159F9"/>
    <w:rsid w:val="00C15C61"/>
    <w:rsid w:val="00C15F7C"/>
    <w:rsid w:val="00C1637F"/>
    <w:rsid w:val="00C1654C"/>
    <w:rsid w:val="00C16648"/>
    <w:rsid w:val="00C16A32"/>
    <w:rsid w:val="00C16BAB"/>
    <w:rsid w:val="00C17026"/>
    <w:rsid w:val="00C1799C"/>
    <w:rsid w:val="00C17B10"/>
    <w:rsid w:val="00C17B27"/>
    <w:rsid w:val="00C17C33"/>
    <w:rsid w:val="00C202F9"/>
    <w:rsid w:val="00C2056E"/>
    <w:rsid w:val="00C205B3"/>
    <w:rsid w:val="00C20A0C"/>
    <w:rsid w:val="00C20DB5"/>
    <w:rsid w:val="00C20E26"/>
    <w:rsid w:val="00C20EA4"/>
    <w:rsid w:val="00C2129A"/>
    <w:rsid w:val="00C215DA"/>
    <w:rsid w:val="00C2167C"/>
    <w:rsid w:val="00C21878"/>
    <w:rsid w:val="00C21AD4"/>
    <w:rsid w:val="00C21B72"/>
    <w:rsid w:val="00C21C67"/>
    <w:rsid w:val="00C22240"/>
    <w:rsid w:val="00C22859"/>
    <w:rsid w:val="00C22904"/>
    <w:rsid w:val="00C22A22"/>
    <w:rsid w:val="00C22E40"/>
    <w:rsid w:val="00C23260"/>
    <w:rsid w:val="00C23264"/>
    <w:rsid w:val="00C23432"/>
    <w:rsid w:val="00C235A1"/>
    <w:rsid w:val="00C23838"/>
    <w:rsid w:val="00C23954"/>
    <w:rsid w:val="00C23C2B"/>
    <w:rsid w:val="00C24457"/>
    <w:rsid w:val="00C245C5"/>
    <w:rsid w:val="00C245C7"/>
    <w:rsid w:val="00C2463E"/>
    <w:rsid w:val="00C2475C"/>
    <w:rsid w:val="00C24C9A"/>
    <w:rsid w:val="00C24F40"/>
    <w:rsid w:val="00C25057"/>
    <w:rsid w:val="00C25A2A"/>
    <w:rsid w:val="00C25BA5"/>
    <w:rsid w:val="00C2622E"/>
    <w:rsid w:val="00C26702"/>
    <w:rsid w:val="00C26B87"/>
    <w:rsid w:val="00C27246"/>
    <w:rsid w:val="00C27881"/>
    <w:rsid w:val="00C27C65"/>
    <w:rsid w:val="00C30309"/>
    <w:rsid w:val="00C3055F"/>
    <w:rsid w:val="00C305B2"/>
    <w:rsid w:val="00C31196"/>
    <w:rsid w:val="00C312E0"/>
    <w:rsid w:val="00C31363"/>
    <w:rsid w:val="00C31437"/>
    <w:rsid w:val="00C3184A"/>
    <w:rsid w:val="00C31A43"/>
    <w:rsid w:val="00C31BA0"/>
    <w:rsid w:val="00C322D8"/>
    <w:rsid w:val="00C32BA8"/>
    <w:rsid w:val="00C33575"/>
    <w:rsid w:val="00C339B7"/>
    <w:rsid w:val="00C34921"/>
    <w:rsid w:val="00C35C83"/>
    <w:rsid w:val="00C35DD6"/>
    <w:rsid w:val="00C35F84"/>
    <w:rsid w:val="00C3608A"/>
    <w:rsid w:val="00C361D6"/>
    <w:rsid w:val="00C36247"/>
    <w:rsid w:val="00C36456"/>
    <w:rsid w:val="00C36938"/>
    <w:rsid w:val="00C36E01"/>
    <w:rsid w:val="00C36FCA"/>
    <w:rsid w:val="00C3716B"/>
    <w:rsid w:val="00C37405"/>
    <w:rsid w:val="00C37418"/>
    <w:rsid w:val="00C37726"/>
    <w:rsid w:val="00C379C4"/>
    <w:rsid w:val="00C401B2"/>
    <w:rsid w:val="00C406A6"/>
    <w:rsid w:val="00C406D2"/>
    <w:rsid w:val="00C40982"/>
    <w:rsid w:val="00C41029"/>
    <w:rsid w:val="00C41562"/>
    <w:rsid w:val="00C41704"/>
    <w:rsid w:val="00C41FCC"/>
    <w:rsid w:val="00C42142"/>
    <w:rsid w:val="00C42660"/>
    <w:rsid w:val="00C4268C"/>
    <w:rsid w:val="00C4275F"/>
    <w:rsid w:val="00C42BD8"/>
    <w:rsid w:val="00C43108"/>
    <w:rsid w:val="00C431EC"/>
    <w:rsid w:val="00C43654"/>
    <w:rsid w:val="00C439A8"/>
    <w:rsid w:val="00C43AA9"/>
    <w:rsid w:val="00C43B21"/>
    <w:rsid w:val="00C44C14"/>
    <w:rsid w:val="00C44E64"/>
    <w:rsid w:val="00C44F3B"/>
    <w:rsid w:val="00C450FE"/>
    <w:rsid w:val="00C45272"/>
    <w:rsid w:val="00C45456"/>
    <w:rsid w:val="00C45849"/>
    <w:rsid w:val="00C45A89"/>
    <w:rsid w:val="00C45BE8"/>
    <w:rsid w:val="00C4646E"/>
    <w:rsid w:val="00C4688F"/>
    <w:rsid w:val="00C46DE0"/>
    <w:rsid w:val="00C47057"/>
    <w:rsid w:val="00C47180"/>
    <w:rsid w:val="00C47415"/>
    <w:rsid w:val="00C476C4"/>
    <w:rsid w:val="00C47BD2"/>
    <w:rsid w:val="00C47C4B"/>
    <w:rsid w:val="00C47E2D"/>
    <w:rsid w:val="00C50364"/>
    <w:rsid w:val="00C508FD"/>
    <w:rsid w:val="00C50CAE"/>
    <w:rsid w:val="00C50E45"/>
    <w:rsid w:val="00C510A7"/>
    <w:rsid w:val="00C51315"/>
    <w:rsid w:val="00C513B2"/>
    <w:rsid w:val="00C515A4"/>
    <w:rsid w:val="00C519A2"/>
    <w:rsid w:val="00C52530"/>
    <w:rsid w:val="00C52E2D"/>
    <w:rsid w:val="00C532D9"/>
    <w:rsid w:val="00C53417"/>
    <w:rsid w:val="00C534D5"/>
    <w:rsid w:val="00C53606"/>
    <w:rsid w:val="00C53744"/>
    <w:rsid w:val="00C53E90"/>
    <w:rsid w:val="00C5411D"/>
    <w:rsid w:val="00C542F3"/>
    <w:rsid w:val="00C5495A"/>
    <w:rsid w:val="00C54BD0"/>
    <w:rsid w:val="00C54D3E"/>
    <w:rsid w:val="00C54D5E"/>
    <w:rsid w:val="00C54FFB"/>
    <w:rsid w:val="00C55141"/>
    <w:rsid w:val="00C5594B"/>
    <w:rsid w:val="00C55A50"/>
    <w:rsid w:val="00C55D82"/>
    <w:rsid w:val="00C55F3D"/>
    <w:rsid w:val="00C56215"/>
    <w:rsid w:val="00C56547"/>
    <w:rsid w:val="00C565B9"/>
    <w:rsid w:val="00C5678D"/>
    <w:rsid w:val="00C56848"/>
    <w:rsid w:val="00C56982"/>
    <w:rsid w:val="00C56BC5"/>
    <w:rsid w:val="00C56F60"/>
    <w:rsid w:val="00C5732F"/>
    <w:rsid w:val="00C573C7"/>
    <w:rsid w:val="00C578B5"/>
    <w:rsid w:val="00C5791B"/>
    <w:rsid w:val="00C60779"/>
    <w:rsid w:val="00C609AB"/>
    <w:rsid w:val="00C60B54"/>
    <w:rsid w:val="00C6120E"/>
    <w:rsid w:val="00C61297"/>
    <w:rsid w:val="00C61363"/>
    <w:rsid w:val="00C615B8"/>
    <w:rsid w:val="00C619EA"/>
    <w:rsid w:val="00C61C50"/>
    <w:rsid w:val="00C61D6A"/>
    <w:rsid w:val="00C61F1B"/>
    <w:rsid w:val="00C61F28"/>
    <w:rsid w:val="00C621FA"/>
    <w:rsid w:val="00C62C44"/>
    <w:rsid w:val="00C62D44"/>
    <w:rsid w:val="00C62E06"/>
    <w:rsid w:val="00C63011"/>
    <w:rsid w:val="00C63069"/>
    <w:rsid w:val="00C632F7"/>
    <w:rsid w:val="00C636F5"/>
    <w:rsid w:val="00C637E5"/>
    <w:rsid w:val="00C63B63"/>
    <w:rsid w:val="00C63B70"/>
    <w:rsid w:val="00C63E30"/>
    <w:rsid w:val="00C642EB"/>
    <w:rsid w:val="00C64446"/>
    <w:rsid w:val="00C64877"/>
    <w:rsid w:val="00C649D5"/>
    <w:rsid w:val="00C64C8D"/>
    <w:rsid w:val="00C64D24"/>
    <w:rsid w:val="00C64DA7"/>
    <w:rsid w:val="00C65D62"/>
    <w:rsid w:val="00C65E96"/>
    <w:rsid w:val="00C65F8C"/>
    <w:rsid w:val="00C66862"/>
    <w:rsid w:val="00C66870"/>
    <w:rsid w:val="00C66DA5"/>
    <w:rsid w:val="00C66E1C"/>
    <w:rsid w:val="00C66FD5"/>
    <w:rsid w:val="00C67170"/>
    <w:rsid w:val="00C67216"/>
    <w:rsid w:val="00C67236"/>
    <w:rsid w:val="00C67610"/>
    <w:rsid w:val="00C6777B"/>
    <w:rsid w:val="00C67FE8"/>
    <w:rsid w:val="00C700F3"/>
    <w:rsid w:val="00C701CE"/>
    <w:rsid w:val="00C701FE"/>
    <w:rsid w:val="00C7027E"/>
    <w:rsid w:val="00C703FB"/>
    <w:rsid w:val="00C7051D"/>
    <w:rsid w:val="00C705BE"/>
    <w:rsid w:val="00C70AF9"/>
    <w:rsid w:val="00C70C54"/>
    <w:rsid w:val="00C70E45"/>
    <w:rsid w:val="00C70E76"/>
    <w:rsid w:val="00C710AB"/>
    <w:rsid w:val="00C71546"/>
    <w:rsid w:val="00C71C65"/>
    <w:rsid w:val="00C71FB2"/>
    <w:rsid w:val="00C72100"/>
    <w:rsid w:val="00C721EA"/>
    <w:rsid w:val="00C722A3"/>
    <w:rsid w:val="00C722C5"/>
    <w:rsid w:val="00C72344"/>
    <w:rsid w:val="00C7276E"/>
    <w:rsid w:val="00C72DAA"/>
    <w:rsid w:val="00C7325D"/>
    <w:rsid w:val="00C735C9"/>
    <w:rsid w:val="00C737EA"/>
    <w:rsid w:val="00C7387E"/>
    <w:rsid w:val="00C738B8"/>
    <w:rsid w:val="00C7398B"/>
    <w:rsid w:val="00C73D20"/>
    <w:rsid w:val="00C75A50"/>
    <w:rsid w:val="00C75FA8"/>
    <w:rsid w:val="00C76860"/>
    <w:rsid w:val="00C76936"/>
    <w:rsid w:val="00C769BF"/>
    <w:rsid w:val="00C76F3D"/>
    <w:rsid w:val="00C76F7A"/>
    <w:rsid w:val="00C77346"/>
    <w:rsid w:val="00C773DA"/>
    <w:rsid w:val="00C7777C"/>
    <w:rsid w:val="00C779DD"/>
    <w:rsid w:val="00C77FC1"/>
    <w:rsid w:val="00C800F5"/>
    <w:rsid w:val="00C80154"/>
    <w:rsid w:val="00C803A6"/>
    <w:rsid w:val="00C8074B"/>
    <w:rsid w:val="00C808C9"/>
    <w:rsid w:val="00C80FE3"/>
    <w:rsid w:val="00C813AD"/>
    <w:rsid w:val="00C815C2"/>
    <w:rsid w:val="00C8194C"/>
    <w:rsid w:val="00C81DA0"/>
    <w:rsid w:val="00C8205E"/>
    <w:rsid w:val="00C8252A"/>
    <w:rsid w:val="00C825E6"/>
    <w:rsid w:val="00C827DA"/>
    <w:rsid w:val="00C82B38"/>
    <w:rsid w:val="00C82C04"/>
    <w:rsid w:val="00C82D29"/>
    <w:rsid w:val="00C82EA0"/>
    <w:rsid w:val="00C831C0"/>
    <w:rsid w:val="00C83236"/>
    <w:rsid w:val="00C8334A"/>
    <w:rsid w:val="00C8352B"/>
    <w:rsid w:val="00C838EB"/>
    <w:rsid w:val="00C8397E"/>
    <w:rsid w:val="00C83AEC"/>
    <w:rsid w:val="00C83D1C"/>
    <w:rsid w:val="00C83D74"/>
    <w:rsid w:val="00C83E31"/>
    <w:rsid w:val="00C83E9C"/>
    <w:rsid w:val="00C846F2"/>
    <w:rsid w:val="00C84CE4"/>
    <w:rsid w:val="00C85005"/>
    <w:rsid w:val="00C85095"/>
    <w:rsid w:val="00C850DB"/>
    <w:rsid w:val="00C858A3"/>
    <w:rsid w:val="00C85D50"/>
    <w:rsid w:val="00C85E30"/>
    <w:rsid w:val="00C862F5"/>
    <w:rsid w:val="00C86389"/>
    <w:rsid w:val="00C86559"/>
    <w:rsid w:val="00C866C5"/>
    <w:rsid w:val="00C8682A"/>
    <w:rsid w:val="00C86902"/>
    <w:rsid w:val="00C86ADA"/>
    <w:rsid w:val="00C87403"/>
    <w:rsid w:val="00C87537"/>
    <w:rsid w:val="00C877C0"/>
    <w:rsid w:val="00C907FC"/>
    <w:rsid w:val="00C90A82"/>
    <w:rsid w:val="00C90C31"/>
    <w:rsid w:val="00C90FEF"/>
    <w:rsid w:val="00C910AF"/>
    <w:rsid w:val="00C91136"/>
    <w:rsid w:val="00C91B26"/>
    <w:rsid w:val="00C924A1"/>
    <w:rsid w:val="00C926DA"/>
    <w:rsid w:val="00C92A9A"/>
    <w:rsid w:val="00C92B4E"/>
    <w:rsid w:val="00C92C17"/>
    <w:rsid w:val="00C92CFE"/>
    <w:rsid w:val="00C9303B"/>
    <w:rsid w:val="00C935B3"/>
    <w:rsid w:val="00C93879"/>
    <w:rsid w:val="00C939B6"/>
    <w:rsid w:val="00C95283"/>
    <w:rsid w:val="00C952AC"/>
    <w:rsid w:val="00C956CC"/>
    <w:rsid w:val="00C95F56"/>
    <w:rsid w:val="00C95F5D"/>
    <w:rsid w:val="00C965E2"/>
    <w:rsid w:val="00C96911"/>
    <w:rsid w:val="00C9698B"/>
    <w:rsid w:val="00C96E12"/>
    <w:rsid w:val="00C97334"/>
    <w:rsid w:val="00C97B81"/>
    <w:rsid w:val="00C97DB7"/>
    <w:rsid w:val="00CA0241"/>
    <w:rsid w:val="00CA04D4"/>
    <w:rsid w:val="00CA05F8"/>
    <w:rsid w:val="00CA087B"/>
    <w:rsid w:val="00CA0A50"/>
    <w:rsid w:val="00CA0A8B"/>
    <w:rsid w:val="00CA126A"/>
    <w:rsid w:val="00CA1C60"/>
    <w:rsid w:val="00CA216D"/>
    <w:rsid w:val="00CA22F6"/>
    <w:rsid w:val="00CA25CB"/>
    <w:rsid w:val="00CA26B3"/>
    <w:rsid w:val="00CA274A"/>
    <w:rsid w:val="00CA27F4"/>
    <w:rsid w:val="00CA2952"/>
    <w:rsid w:val="00CA31EA"/>
    <w:rsid w:val="00CA3216"/>
    <w:rsid w:val="00CA3CAC"/>
    <w:rsid w:val="00CA3CBC"/>
    <w:rsid w:val="00CA3D18"/>
    <w:rsid w:val="00CA3DC3"/>
    <w:rsid w:val="00CA4068"/>
    <w:rsid w:val="00CA42F1"/>
    <w:rsid w:val="00CA44C0"/>
    <w:rsid w:val="00CA4903"/>
    <w:rsid w:val="00CA5088"/>
    <w:rsid w:val="00CA50C5"/>
    <w:rsid w:val="00CA5133"/>
    <w:rsid w:val="00CA57CA"/>
    <w:rsid w:val="00CA58D1"/>
    <w:rsid w:val="00CA62BF"/>
    <w:rsid w:val="00CA63B0"/>
    <w:rsid w:val="00CA6588"/>
    <w:rsid w:val="00CA66F1"/>
    <w:rsid w:val="00CA6843"/>
    <w:rsid w:val="00CA7094"/>
    <w:rsid w:val="00CA73C9"/>
    <w:rsid w:val="00CA760E"/>
    <w:rsid w:val="00CA7AEC"/>
    <w:rsid w:val="00CA7D82"/>
    <w:rsid w:val="00CB04CF"/>
    <w:rsid w:val="00CB04E0"/>
    <w:rsid w:val="00CB056A"/>
    <w:rsid w:val="00CB08A7"/>
    <w:rsid w:val="00CB0B5B"/>
    <w:rsid w:val="00CB0C9F"/>
    <w:rsid w:val="00CB0D7C"/>
    <w:rsid w:val="00CB0E81"/>
    <w:rsid w:val="00CB1856"/>
    <w:rsid w:val="00CB1AF6"/>
    <w:rsid w:val="00CB1D89"/>
    <w:rsid w:val="00CB1F53"/>
    <w:rsid w:val="00CB2054"/>
    <w:rsid w:val="00CB20C0"/>
    <w:rsid w:val="00CB22E1"/>
    <w:rsid w:val="00CB230E"/>
    <w:rsid w:val="00CB2389"/>
    <w:rsid w:val="00CB2AF7"/>
    <w:rsid w:val="00CB2C63"/>
    <w:rsid w:val="00CB2E59"/>
    <w:rsid w:val="00CB2EA1"/>
    <w:rsid w:val="00CB31E8"/>
    <w:rsid w:val="00CB32B2"/>
    <w:rsid w:val="00CB3305"/>
    <w:rsid w:val="00CB3DE2"/>
    <w:rsid w:val="00CB4105"/>
    <w:rsid w:val="00CB43F7"/>
    <w:rsid w:val="00CB48EC"/>
    <w:rsid w:val="00CB4A6E"/>
    <w:rsid w:val="00CB4BBF"/>
    <w:rsid w:val="00CB4DE0"/>
    <w:rsid w:val="00CB56B3"/>
    <w:rsid w:val="00CB5CB9"/>
    <w:rsid w:val="00CB5CC3"/>
    <w:rsid w:val="00CB5D9E"/>
    <w:rsid w:val="00CB5DEC"/>
    <w:rsid w:val="00CB5F8F"/>
    <w:rsid w:val="00CB62AC"/>
    <w:rsid w:val="00CB6750"/>
    <w:rsid w:val="00CB675E"/>
    <w:rsid w:val="00CB6E7B"/>
    <w:rsid w:val="00CB7EA0"/>
    <w:rsid w:val="00CC0454"/>
    <w:rsid w:val="00CC09AE"/>
    <w:rsid w:val="00CC0CD5"/>
    <w:rsid w:val="00CC0D65"/>
    <w:rsid w:val="00CC135A"/>
    <w:rsid w:val="00CC1429"/>
    <w:rsid w:val="00CC1506"/>
    <w:rsid w:val="00CC18A0"/>
    <w:rsid w:val="00CC19AD"/>
    <w:rsid w:val="00CC2196"/>
    <w:rsid w:val="00CC242F"/>
    <w:rsid w:val="00CC2956"/>
    <w:rsid w:val="00CC299F"/>
    <w:rsid w:val="00CC29B3"/>
    <w:rsid w:val="00CC2A4A"/>
    <w:rsid w:val="00CC30CB"/>
    <w:rsid w:val="00CC3451"/>
    <w:rsid w:val="00CC383E"/>
    <w:rsid w:val="00CC3A84"/>
    <w:rsid w:val="00CC3CA4"/>
    <w:rsid w:val="00CC3ED0"/>
    <w:rsid w:val="00CC3FCA"/>
    <w:rsid w:val="00CC3FE6"/>
    <w:rsid w:val="00CC464A"/>
    <w:rsid w:val="00CC4BD8"/>
    <w:rsid w:val="00CC4F2D"/>
    <w:rsid w:val="00CC5132"/>
    <w:rsid w:val="00CC5146"/>
    <w:rsid w:val="00CC5341"/>
    <w:rsid w:val="00CC5731"/>
    <w:rsid w:val="00CC59BC"/>
    <w:rsid w:val="00CC5B08"/>
    <w:rsid w:val="00CC5D75"/>
    <w:rsid w:val="00CC60CA"/>
    <w:rsid w:val="00CC617A"/>
    <w:rsid w:val="00CC61B8"/>
    <w:rsid w:val="00CC62A3"/>
    <w:rsid w:val="00CC6970"/>
    <w:rsid w:val="00CC6CF1"/>
    <w:rsid w:val="00CC6F23"/>
    <w:rsid w:val="00CC707B"/>
    <w:rsid w:val="00CC7278"/>
    <w:rsid w:val="00CC7414"/>
    <w:rsid w:val="00CC744C"/>
    <w:rsid w:val="00CC75A2"/>
    <w:rsid w:val="00CC76D5"/>
    <w:rsid w:val="00CC78B2"/>
    <w:rsid w:val="00CC7983"/>
    <w:rsid w:val="00CC7B55"/>
    <w:rsid w:val="00CC7F01"/>
    <w:rsid w:val="00CD01A6"/>
    <w:rsid w:val="00CD0351"/>
    <w:rsid w:val="00CD0513"/>
    <w:rsid w:val="00CD0555"/>
    <w:rsid w:val="00CD0FE6"/>
    <w:rsid w:val="00CD1002"/>
    <w:rsid w:val="00CD12E6"/>
    <w:rsid w:val="00CD13E6"/>
    <w:rsid w:val="00CD1B9C"/>
    <w:rsid w:val="00CD2FAA"/>
    <w:rsid w:val="00CD3000"/>
    <w:rsid w:val="00CD346C"/>
    <w:rsid w:val="00CD3555"/>
    <w:rsid w:val="00CD3622"/>
    <w:rsid w:val="00CD3E4D"/>
    <w:rsid w:val="00CD424D"/>
    <w:rsid w:val="00CD43A2"/>
    <w:rsid w:val="00CD468E"/>
    <w:rsid w:val="00CD4716"/>
    <w:rsid w:val="00CD48D3"/>
    <w:rsid w:val="00CD54A9"/>
    <w:rsid w:val="00CD5630"/>
    <w:rsid w:val="00CD56DA"/>
    <w:rsid w:val="00CD5B3E"/>
    <w:rsid w:val="00CD5C5C"/>
    <w:rsid w:val="00CD5ECD"/>
    <w:rsid w:val="00CD605F"/>
    <w:rsid w:val="00CD64F8"/>
    <w:rsid w:val="00CD6566"/>
    <w:rsid w:val="00CD685A"/>
    <w:rsid w:val="00CD6C21"/>
    <w:rsid w:val="00CD6DB5"/>
    <w:rsid w:val="00CD7583"/>
    <w:rsid w:val="00CD782B"/>
    <w:rsid w:val="00CE0054"/>
    <w:rsid w:val="00CE008C"/>
    <w:rsid w:val="00CE0AAB"/>
    <w:rsid w:val="00CE0E4B"/>
    <w:rsid w:val="00CE1598"/>
    <w:rsid w:val="00CE196E"/>
    <w:rsid w:val="00CE1BF4"/>
    <w:rsid w:val="00CE1C55"/>
    <w:rsid w:val="00CE217C"/>
    <w:rsid w:val="00CE248B"/>
    <w:rsid w:val="00CE299B"/>
    <w:rsid w:val="00CE2A4E"/>
    <w:rsid w:val="00CE2C34"/>
    <w:rsid w:val="00CE2FCD"/>
    <w:rsid w:val="00CE3017"/>
    <w:rsid w:val="00CE318D"/>
    <w:rsid w:val="00CE32A8"/>
    <w:rsid w:val="00CE35BF"/>
    <w:rsid w:val="00CE37A4"/>
    <w:rsid w:val="00CE37BB"/>
    <w:rsid w:val="00CE41EC"/>
    <w:rsid w:val="00CE44E9"/>
    <w:rsid w:val="00CE4520"/>
    <w:rsid w:val="00CE4FE9"/>
    <w:rsid w:val="00CE5B60"/>
    <w:rsid w:val="00CE5CA3"/>
    <w:rsid w:val="00CE639D"/>
    <w:rsid w:val="00CE66A1"/>
    <w:rsid w:val="00CE694D"/>
    <w:rsid w:val="00CE6AE5"/>
    <w:rsid w:val="00CE6B24"/>
    <w:rsid w:val="00CE6CBF"/>
    <w:rsid w:val="00CE6DA5"/>
    <w:rsid w:val="00CE6DEB"/>
    <w:rsid w:val="00CE6EEF"/>
    <w:rsid w:val="00CE6FD2"/>
    <w:rsid w:val="00CE729F"/>
    <w:rsid w:val="00CE74EF"/>
    <w:rsid w:val="00CE7AA4"/>
    <w:rsid w:val="00CE7C6A"/>
    <w:rsid w:val="00CE7DA9"/>
    <w:rsid w:val="00CF0765"/>
    <w:rsid w:val="00CF092D"/>
    <w:rsid w:val="00CF0E68"/>
    <w:rsid w:val="00CF0F5A"/>
    <w:rsid w:val="00CF0FC8"/>
    <w:rsid w:val="00CF1221"/>
    <w:rsid w:val="00CF12C7"/>
    <w:rsid w:val="00CF1356"/>
    <w:rsid w:val="00CF137B"/>
    <w:rsid w:val="00CF16F5"/>
    <w:rsid w:val="00CF179B"/>
    <w:rsid w:val="00CF18D8"/>
    <w:rsid w:val="00CF22F2"/>
    <w:rsid w:val="00CF2472"/>
    <w:rsid w:val="00CF2E7A"/>
    <w:rsid w:val="00CF2FB3"/>
    <w:rsid w:val="00CF3771"/>
    <w:rsid w:val="00CF3927"/>
    <w:rsid w:val="00CF3E4B"/>
    <w:rsid w:val="00CF4638"/>
    <w:rsid w:val="00CF4DAF"/>
    <w:rsid w:val="00CF570A"/>
    <w:rsid w:val="00CF5AC8"/>
    <w:rsid w:val="00CF5D57"/>
    <w:rsid w:val="00CF5D5C"/>
    <w:rsid w:val="00CF6137"/>
    <w:rsid w:val="00CF617E"/>
    <w:rsid w:val="00CF6313"/>
    <w:rsid w:val="00CF6389"/>
    <w:rsid w:val="00CF63CB"/>
    <w:rsid w:val="00CF6915"/>
    <w:rsid w:val="00CF6F0D"/>
    <w:rsid w:val="00CF7329"/>
    <w:rsid w:val="00CF736A"/>
    <w:rsid w:val="00CF7722"/>
    <w:rsid w:val="00CF787E"/>
    <w:rsid w:val="00CF7A50"/>
    <w:rsid w:val="00D00115"/>
    <w:rsid w:val="00D0028B"/>
    <w:rsid w:val="00D00737"/>
    <w:rsid w:val="00D008C5"/>
    <w:rsid w:val="00D01150"/>
    <w:rsid w:val="00D013B6"/>
    <w:rsid w:val="00D01638"/>
    <w:rsid w:val="00D0189D"/>
    <w:rsid w:val="00D019ED"/>
    <w:rsid w:val="00D01A03"/>
    <w:rsid w:val="00D01ED4"/>
    <w:rsid w:val="00D02129"/>
    <w:rsid w:val="00D02520"/>
    <w:rsid w:val="00D025C2"/>
    <w:rsid w:val="00D02755"/>
    <w:rsid w:val="00D02834"/>
    <w:rsid w:val="00D02839"/>
    <w:rsid w:val="00D028AB"/>
    <w:rsid w:val="00D029EE"/>
    <w:rsid w:val="00D02BC8"/>
    <w:rsid w:val="00D0308A"/>
    <w:rsid w:val="00D0335D"/>
    <w:rsid w:val="00D033B4"/>
    <w:rsid w:val="00D03CC0"/>
    <w:rsid w:val="00D03E96"/>
    <w:rsid w:val="00D03FE1"/>
    <w:rsid w:val="00D04223"/>
    <w:rsid w:val="00D049F8"/>
    <w:rsid w:val="00D04A5F"/>
    <w:rsid w:val="00D04F5B"/>
    <w:rsid w:val="00D05372"/>
    <w:rsid w:val="00D05511"/>
    <w:rsid w:val="00D057FB"/>
    <w:rsid w:val="00D05AC9"/>
    <w:rsid w:val="00D0634D"/>
    <w:rsid w:val="00D06CCF"/>
    <w:rsid w:val="00D06D4B"/>
    <w:rsid w:val="00D06DC2"/>
    <w:rsid w:val="00D06EA0"/>
    <w:rsid w:val="00D076F1"/>
    <w:rsid w:val="00D079EC"/>
    <w:rsid w:val="00D07B9C"/>
    <w:rsid w:val="00D07D6D"/>
    <w:rsid w:val="00D104FC"/>
    <w:rsid w:val="00D10766"/>
    <w:rsid w:val="00D1090E"/>
    <w:rsid w:val="00D10972"/>
    <w:rsid w:val="00D10D86"/>
    <w:rsid w:val="00D11001"/>
    <w:rsid w:val="00D11354"/>
    <w:rsid w:val="00D114E5"/>
    <w:rsid w:val="00D12358"/>
    <w:rsid w:val="00D124DC"/>
    <w:rsid w:val="00D1254B"/>
    <w:rsid w:val="00D12556"/>
    <w:rsid w:val="00D128DF"/>
    <w:rsid w:val="00D12C9F"/>
    <w:rsid w:val="00D13A04"/>
    <w:rsid w:val="00D13AC8"/>
    <w:rsid w:val="00D13B96"/>
    <w:rsid w:val="00D13BA8"/>
    <w:rsid w:val="00D13C6A"/>
    <w:rsid w:val="00D13CDC"/>
    <w:rsid w:val="00D14475"/>
    <w:rsid w:val="00D14CF8"/>
    <w:rsid w:val="00D14DC0"/>
    <w:rsid w:val="00D1510F"/>
    <w:rsid w:val="00D1557F"/>
    <w:rsid w:val="00D15711"/>
    <w:rsid w:val="00D157C6"/>
    <w:rsid w:val="00D15B28"/>
    <w:rsid w:val="00D15FF0"/>
    <w:rsid w:val="00D16674"/>
    <w:rsid w:val="00D166B4"/>
    <w:rsid w:val="00D16E18"/>
    <w:rsid w:val="00D16EE5"/>
    <w:rsid w:val="00D171BC"/>
    <w:rsid w:val="00D173DD"/>
    <w:rsid w:val="00D174DA"/>
    <w:rsid w:val="00D1756C"/>
    <w:rsid w:val="00D1766A"/>
    <w:rsid w:val="00D1773E"/>
    <w:rsid w:val="00D201B7"/>
    <w:rsid w:val="00D20352"/>
    <w:rsid w:val="00D20DCF"/>
    <w:rsid w:val="00D20E2E"/>
    <w:rsid w:val="00D20EBA"/>
    <w:rsid w:val="00D2145E"/>
    <w:rsid w:val="00D2156E"/>
    <w:rsid w:val="00D21981"/>
    <w:rsid w:val="00D21A7D"/>
    <w:rsid w:val="00D21B14"/>
    <w:rsid w:val="00D224E3"/>
    <w:rsid w:val="00D224F7"/>
    <w:rsid w:val="00D229FE"/>
    <w:rsid w:val="00D22D5F"/>
    <w:rsid w:val="00D23243"/>
    <w:rsid w:val="00D2326B"/>
    <w:rsid w:val="00D23866"/>
    <w:rsid w:val="00D23934"/>
    <w:rsid w:val="00D2410F"/>
    <w:rsid w:val="00D24369"/>
    <w:rsid w:val="00D243DC"/>
    <w:rsid w:val="00D25091"/>
    <w:rsid w:val="00D255CB"/>
    <w:rsid w:val="00D256F7"/>
    <w:rsid w:val="00D25DBA"/>
    <w:rsid w:val="00D265B0"/>
    <w:rsid w:val="00D27228"/>
    <w:rsid w:val="00D2730E"/>
    <w:rsid w:val="00D27470"/>
    <w:rsid w:val="00D27877"/>
    <w:rsid w:val="00D27B46"/>
    <w:rsid w:val="00D3057F"/>
    <w:rsid w:val="00D31360"/>
    <w:rsid w:val="00D31476"/>
    <w:rsid w:val="00D317AC"/>
    <w:rsid w:val="00D31873"/>
    <w:rsid w:val="00D318AC"/>
    <w:rsid w:val="00D31FD1"/>
    <w:rsid w:val="00D32103"/>
    <w:rsid w:val="00D32901"/>
    <w:rsid w:val="00D32A86"/>
    <w:rsid w:val="00D32AA5"/>
    <w:rsid w:val="00D32EB7"/>
    <w:rsid w:val="00D32EDE"/>
    <w:rsid w:val="00D33363"/>
    <w:rsid w:val="00D3393D"/>
    <w:rsid w:val="00D33DA9"/>
    <w:rsid w:val="00D346E0"/>
    <w:rsid w:val="00D34AC3"/>
    <w:rsid w:val="00D34EF0"/>
    <w:rsid w:val="00D3516F"/>
    <w:rsid w:val="00D357D8"/>
    <w:rsid w:val="00D35835"/>
    <w:rsid w:val="00D35B10"/>
    <w:rsid w:val="00D35C5B"/>
    <w:rsid w:val="00D361FE"/>
    <w:rsid w:val="00D36602"/>
    <w:rsid w:val="00D36957"/>
    <w:rsid w:val="00D36979"/>
    <w:rsid w:val="00D36B9F"/>
    <w:rsid w:val="00D36DED"/>
    <w:rsid w:val="00D37335"/>
    <w:rsid w:val="00D3742D"/>
    <w:rsid w:val="00D379CF"/>
    <w:rsid w:val="00D379D1"/>
    <w:rsid w:val="00D4073A"/>
    <w:rsid w:val="00D40B85"/>
    <w:rsid w:val="00D40EBA"/>
    <w:rsid w:val="00D41C88"/>
    <w:rsid w:val="00D41D02"/>
    <w:rsid w:val="00D41EF6"/>
    <w:rsid w:val="00D421EB"/>
    <w:rsid w:val="00D428DB"/>
    <w:rsid w:val="00D429C0"/>
    <w:rsid w:val="00D42AFD"/>
    <w:rsid w:val="00D4321D"/>
    <w:rsid w:val="00D43686"/>
    <w:rsid w:val="00D436E2"/>
    <w:rsid w:val="00D43CDF"/>
    <w:rsid w:val="00D44250"/>
    <w:rsid w:val="00D446A8"/>
    <w:rsid w:val="00D44AD3"/>
    <w:rsid w:val="00D44CB8"/>
    <w:rsid w:val="00D44EBD"/>
    <w:rsid w:val="00D452F6"/>
    <w:rsid w:val="00D455D8"/>
    <w:rsid w:val="00D46084"/>
    <w:rsid w:val="00D460A5"/>
    <w:rsid w:val="00D46465"/>
    <w:rsid w:val="00D466B8"/>
    <w:rsid w:val="00D4680D"/>
    <w:rsid w:val="00D46A0E"/>
    <w:rsid w:val="00D46ABD"/>
    <w:rsid w:val="00D46ADF"/>
    <w:rsid w:val="00D470EC"/>
    <w:rsid w:val="00D47260"/>
    <w:rsid w:val="00D4746D"/>
    <w:rsid w:val="00D4783A"/>
    <w:rsid w:val="00D47966"/>
    <w:rsid w:val="00D47E02"/>
    <w:rsid w:val="00D47F86"/>
    <w:rsid w:val="00D50674"/>
    <w:rsid w:val="00D50C76"/>
    <w:rsid w:val="00D50FB2"/>
    <w:rsid w:val="00D51133"/>
    <w:rsid w:val="00D51589"/>
    <w:rsid w:val="00D515A8"/>
    <w:rsid w:val="00D51793"/>
    <w:rsid w:val="00D51C04"/>
    <w:rsid w:val="00D51C29"/>
    <w:rsid w:val="00D51FCB"/>
    <w:rsid w:val="00D521A8"/>
    <w:rsid w:val="00D526E5"/>
    <w:rsid w:val="00D52B2D"/>
    <w:rsid w:val="00D52C99"/>
    <w:rsid w:val="00D5301D"/>
    <w:rsid w:val="00D534DD"/>
    <w:rsid w:val="00D53B1E"/>
    <w:rsid w:val="00D53DAA"/>
    <w:rsid w:val="00D5402C"/>
    <w:rsid w:val="00D5434E"/>
    <w:rsid w:val="00D54C62"/>
    <w:rsid w:val="00D551DF"/>
    <w:rsid w:val="00D55560"/>
    <w:rsid w:val="00D55A12"/>
    <w:rsid w:val="00D55B20"/>
    <w:rsid w:val="00D55F96"/>
    <w:rsid w:val="00D56150"/>
    <w:rsid w:val="00D56173"/>
    <w:rsid w:val="00D56226"/>
    <w:rsid w:val="00D56242"/>
    <w:rsid w:val="00D56705"/>
    <w:rsid w:val="00D56A56"/>
    <w:rsid w:val="00D56CD0"/>
    <w:rsid w:val="00D57122"/>
    <w:rsid w:val="00D5748E"/>
    <w:rsid w:val="00D57D1C"/>
    <w:rsid w:val="00D60234"/>
    <w:rsid w:val="00D604AE"/>
    <w:rsid w:val="00D605A7"/>
    <w:rsid w:val="00D605EB"/>
    <w:rsid w:val="00D6081D"/>
    <w:rsid w:val="00D608BF"/>
    <w:rsid w:val="00D60AE3"/>
    <w:rsid w:val="00D61159"/>
    <w:rsid w:val="00D61535"/>
    <w:rsid w:val="00D616AB"/>
    <w:rsid w:val="00D624A3"/>
    <w:rsid w:val="00D62889"/>
    <w:rsid w:val="00D62FF5"/>
    <w:rsid w:val="00D63B88"/>
    <w:rsid w:val="00D64280"/>
    <w:rsid w:val="00D64773"/>
    <w:rsid w:val="00D64792"/>
    <w:rsid w:val="00D64BCF"/>
    <w:rsid w:val="00D65212"/>
    <w:rsid w:val="00D652DC"/>
    <w:rsid w:val="00D65340"/>
    <w:rsid w:val="00D65436"/>
    <w:rsid w:val="00D6545C"/>
    <w:rsid w:val="00D65980"/>
    <w:rsid w:val="00D659B4"/>
    <w:rsid w:val="00D65E21"/>
    <w:rsid w:val="00D660C5"/>
    <w:rsid w:val="00D6699A"/>
    <w:rsid w:val="00D66BE2"/>
    <w:rsid w:val="00D6710D"/>
    <w:rsid w:val="00D6773E"/>
    <w:rsid w:val="00D7010A"/>
    <w:rsid w:val="00D70816"/>
    <w:rsid w:val="00D70AD1"/>
    <w:rsid w:val="00D71114"/>
    <w:rsid w:val="00D7144C"/>
    <w:rsid w:val="00D71DF4"/>
    <w:rsid w:val="00D72372"/>
    <w:rsid w:val="00D725B3"/>
    <w:rsid w:val="00D72769"/>
    <w:rsid w:val="00D72910"/>
    <w:rsid w:val="00D72C31"/>
    <w:rsid w:val="00D72CFB"/>
    <w:rsid w:val="00D7301E"/>
    <w:rsid w:val="00D7308A"/>
    <w:rsid w:val="00D73112"/>
    <w:rsid w:val="00D734D4"/>
    <w:rsid w:val="00D734D6"/>
    <w:rsid w:val="00D735AB"/>
    <w:rsid w:val="00D7365B"/>
    <w:rsid w:val="00D73C90"/>
    <w:rsid w:val="00D73D07"/>
    <w:rsid w:val="00D73DF3"/>
    <w:rsid w:val="00D73FFA"/>
    <w:rsid w:val="00D740F8"/>
    <w:rsid w:val="00D74611"/>
    <w:rsid w:val="00D746A3"/>
    <w:rsid w:val="00D746C3"/>
    <w:rsid w:val="00D74BDC"/>
    <w:rsid w:val="00D74F07"/>
    <w:rsid w:val="00D75226"/>
    <w:rsid w:val="00D75279"/>
    <w:rsid w:val="00D757DF"/>
    <w:rsid w:val="00D7589E"/>
    <w:rsid w:val="00D75BD8"/>
    <w:rsid w:val="00D75D44"/>
    <w:rsid w:val="00D75F11"/>
    <w:rsid w:val="00D76167"/>
    <w:rsid w:val="00D7635A"/>
    <w:rsid w:val="00D765EE"/>
    <w:rsid w:val="00D76917"/>
    <w:rsid w:val="00D76EC6"/>
    <w:rsid w:val="00D775A7"/>
    <w:rsid w:val="00D775CB"/>
    <w:rsid w:val="00D775D1"/>
    <w:rsid w:val="00D7795A"/>
    <w:rsid w:val="00D779EA"/>
    <w:rsid w:val="00D77B2E"/>
    <w:rsid w:val="00D80175"/>
    <w:rsid w:val="00D80621"/>
    <w:rsid w:val="00D8073E"/>
    <w:rsid w:val="00D80BFC"/>
    <w:rsid w:val="00D80D78"/>
    <w:rsid w:val="00D80E09"/>
    <w:rsid w:val="00D8142E"/>
    <w:rsid w:val="00D815A6"/>
    <w:rsid w:val="00D81CE7"/>
    <w:rsid w:val="00D81FDC"/>
    <w:rsid w:val="00D82101"/>
    <w:rsid w:val="00D82199"/>
    <w:rsid w:val="00D82410"/>
    <w:rsid w:val="00D8273B"/>
    <w:rsid w:val="00D8303B"/>
    <w:rsid w:val="00D83210"/>
    <w:rsid w:val="00D83224"/>
    <w:rsid w:val="00D8394C"/>
    <w:rsid w:val="00D83BEE"/>
    <w:rsid w:val="00D8405F"/>
    <w:rsid w:val="00D84727"/>
    <w:rsid w:val="00D8472C"/>
    <w:rsid w:val="00D84975"/>
    <w:rsid w:val="00D849CE"/>
    <w:rsid w:val="00D863AA"/>
    <w:rsid w:val="00D86692"/>
    <w:rsid w:val="00D86D8A"/>
    <w:rsid w:val="00D87116"/>
    <w:rsid w:val="00D87690"/>
    <w:rsid w:val="00D87881"/>
    <w:rsid w:val="00D87913"/>
    <w:rsid w:val="00D901C3"/>
    <w:rsid w:val="00D90209"/>
    <w:rsid w:val="00D9035B"/>
    <w:rsid w:val="00D9049C"/>
    <w:rsid w:val="00D90DAA"/>
    <w:rsid w:val="00D90E2E"/>
    <w:rsid w:val="00D90F29"/>
    <w:rsid w:val="00D9132E"/>
    <w:rsid w:val="00D9176D"/>
    <w:rsid w:val="00D919FB"/>
    <w:rsid w:val="00D91A45"/>
    <w:rsid w:val="00D91E97"/>
    <w:rsid w:val="00D9239A"/>
    <w:rsid w:val="00D92A58"/>
    <w:rsid w:val="00D92A8C"/>
    <w:rsid w:val="00D92F91"/>
    <w:rsid w:val="00D92F92"/>
    <w:rsid w:val="00D933C0"/>
    <w:rsid w:val="00D93792"/>
    <w:rsid w:val="00D93D07"/>
    <w:rsid w:val="00D93F9F"/>
    <w:rsid w:val="00D94021"/>
    <w:rsid w:val="00D941B7"/>
    <w:rsid w:val="00D94348"/>
    <w:rsid w:val="00D94794"/>
    <w:rsid w:val="00D9503D"/>
    <w:rsid w:val="00D95126"/>
    <w:rsid w:val="00D9520F"/>
    <w:rsid w:val="00D952DF"/>
    <w:rsid w:val="00D95516"/>
    <w:rsid w:val="00D95579"/>
    <w:rsid w:val="00D95844"/>
    <w:rsid w:val="00D95D9F"/>
    <w:rsid w:val="00D964E1"/>
    <w:rsid w:val="00D96822"/>
    <w:rsid w:val="00D968AF"/>
    <w:rsid w:val="00D968EE"/>
    <w:rsid w:val="00D96AAE"/>
    <w:rsid w:val="00D96CB7"/>
    <w:rsid w:val="00D97254"/>
    <w:rsid w:val="00D972D3"/>
    <w:rsid w:val="00D974CF"/>
    <w:rsid w:val="00D97D8A"/>
    <w:rsid w:val="00D97E56"/>
    <w:rsid w:val="00D97E5F"/>
    <w:rsid w:val="00D97EB6"/>
    <w:rsid w:val="00DA0015"/>
    <w:rsid w:val="00DA02DB"/>
    <w:rsid w:val="00DA0FBE"/>
    <w:rsid w:val="00DA12D4"/>
    <w:rsid w:val="00DA1323"/>
    <w:rsid w:val="00DA1556"/>
    <w:rsid w:val="00DA1758"/>
    <w:rsid w:val="00DA20C8"/>
    <w:rsid w:val="00DA21BF"/>
    <w:rsid w:val="00DA28D1"/>
    <w:rsid w:val="00DA2B0A"/>
    <w:rsid w:val="00DA31F9"/>
    <w:rsid w:val="00DA321C"/>
    <w:rsid w:val="00DA32AD"/>
    <w:rsid w:val="00DA3344"/>
    <w:rsid w:val="00DA3574"/>
    <w:rsid w:val="00DA3749"/>
    <w:rsid w:val="00DA379A"/>
    <w:rsid w:val="00DA37DC"/>
    <w:rsid w:val="00DA3A28"/>
    <w:rsid w:val="00DA3A47"/>
    <w:rsid w:val="00DA3C76"/>
    <w:rsid w:val="00DA3E4E"/>
    <w:rsid w:val="00DA3F2C"/>
    <w:rsid w:val="00DA4564"/>
    <w:rsid w:val="00DA4589"/>
    <w:rsid w:val="00DA4623"/>
    <w:rsid w:val="00DA4D04"/>
    <w:rsid w:val="00DA515D"/>
    <w:rsid w:val="00DA520F"/>
    <w:rsid w:val="00DA52AC"/>
    <w:rsid w:val="00DA57AE"/>
    <w:rsid w:val="00DA5BFC"/>
    <w:rsid w:val="00DA5E23"/>
    <w:rsid w:val="00DA6027"/>
    <w:rsid w:val="00DA649A"/>
    <w:rsid w:val="00DA698A"/>
    <w:rsid w:val="00DA6B69"/>
    <w:rsid w:val="00DA7232"/>
    <w:rsid w:val="00DA7831"/>
    <w:rsid w:val="00DA7D48"/>
    <w:rsid w:val="00DB03AA"/>
    <w:rsid w:val="00DB09DB"/>
    <w:rsid w:val="00DB0B0D"/>
    <w:rsid w:val="00DB1195"/>
    <w:rsid w:val="00DB1216"/>
    <w:rsid w:val="00DB1320"/>
    <w:rsid w:val="00DB1356"/>
    <w:rsid w:val="00DB1619"/>
    <w:rsid w:val="00DB18B2"/>
    <w:rsid w:val="00DB1E69"/>
    <w:rsid w:val="00DB1E97"/>
    <w:rsid w:val="00DB21AD"/>
    <w:rsid w:val="00DB21EA"/>
    <w:rsid w:val="00DB2255"/>
    <w:rsid w:val="00DB233C"/>
    <w:rsid w:val="00DB23A9"/>
    <w:rsid w:val="00DB29E1"/>
    <w:rsid w:val="00DB2E89"/>
    <w:rsid w:val="00DB2EF0"/>
    <w:rsid w:val="00DB3BA7"/>
    <w:rsid w:val="00DB3BBC"/>
    <w:rsid w:val="00DB4169"/>
    <w:rsid w:val="00DB4191"/>
    <w:rsid w:val="00DB44F2"/>
    <w:rsid w:val="00DB4BB7"/>
    <w:rsid w:val="00DB4FE0"/>
    <w:rsid w:val="00DB59A3"/>
    <w:rsid w:val="00DB5A35"/>
    <w:rsid w:val="00DB5A67"/>
    <w:rsid w:val="00DB615E"/>
    <w:rsid w:val="00DB6258"/>
    <w:rsid w:val="00DB645F"/>
    <w:rsid w:val="00DB662F"/>
    <w:rsid w:val="00DB67BA"/>
    <w:rsid w:val="00DB6900"/>
    <w:rsid w:val="00DB6B8B"/>
    <w:rsid w:val="00DB6CB0"/>
    <w:rsid w:val="00DB7259"/>
    <w:rsid w:val="00DB78C4"/>
    <w:rsid w:val="00DB7F8D"/>
    <w:rsid w:val="00DC057E"/>
    <w:rsid w:val="00DC0598"/>
    <w:rsid w:val="00DC0880"/>
    <w:rsid w:val="00DC0C12"/>
    <w:rsid w:val="00DC0E87"/>
    <w:rsid w:val="00DC0F3B"/>
    <w:rsid w:val="00DC2039"/>
    <w:rsid w:val="00DC250D"/>
    <w:rsid w:val="00DC3609"/>
    <w:rsid w:val="00DC3843"/>
    <w:rsid w:val="00DC4084"/>
    <w:rsid w:val="00DC4423"/>
    <w:rsid w:val="00DC44D2"/>
    <w:rsid w:val="00DC4740"/>
    <w:rsid w:val="00DC4B4E"/>
    <w:rsid w:val="00DC4C5C"/>
    <w:rsid w:val="00DC4DFE"/>
    <w:rsid w:val="00DC5387"/>
    <w:rsid w:val="00DC5F81"/>
    <w:rsid w:val="00DC5FB7"/>
    <w:rsid w:val="00DC6237"/>
    <w:rsid w:val="00DC6262"/>
    <w:rsid w:val="00DC62B3"/>
    <w:rsid w:val="00DC66BA"/>
    <w:rsid w:val="00DC6E1C"/>
    <w:rsid w:val="00DC7CEF"/>
    <w:rsid w:val="00DD0056"/>
    <w:rsid w:val="00DD0B77"/>
    <w:rsid w:val="00DD0EEB"/>
    <w:rsid w:val="00DD1507"/>
    <w:rsid w:val="00DD1A9F"/>
    <w:rsid w:val="00DD22D2"/>
    <w:rsid w:val="00DD2433"/>
    <w:rsid w:val="00DD27B9"/>
    <w:rsid w:val="00DD289D"/>
    <w:rsid w:val="00DD2A26"/>
    <w:rsid w:val="00DD2CC7"/>
    <w:rsid w:val="00DD2CDD"/>
    <w:rsid w:val="00DD2EA7"/>
    <w:rsid w:val="00DD31E2"/>
    <w:rsid w:val="00DD324E"/>
    <w:rsid w:val="00DD339F"/>
    <w:rsid w:val="00DD33B6"/>
    <w:rsid w:val="00DD3419"/>
    <w:rsid w:val="00DD35B2"/>
    <w:rsid w:val="00DD3ABD"/>
    <w:rsid w:val="00DD3DE5"/>
    <w:rsid w:val="00DD411F"/>
    <w:rsid w:val="00DD430F"/>
    <w:rsid w:val="00DD44BE"/>
    <w:rsid w:val="00DD44D0"/>
    <w:rsid w:val="00DD4983"/>
    <w:rsid w:val="00DD4CBE"/>
    <w:rsid w:val="00DD4E44"/>
    <w:rsid w:val="00DD548F"/>
    <w:rsid w:val="00DD5621"/>
    <w:rsid w:val="00DD56B9"/>
    <w:rsid w:val="00DD5B74"/>
    <w:rsid w:val="00DD5BD7"/>
    <w:rsid w:val="00DD5CBF"/>
    <w:rsid w:val="00DD5D9F"/>
    <w:rsid w:val="00DD6A2B"/>
    <w:rsid w:val="00DD6B81"/>
    <w:rsid w:val="00DD6C2D"/>
    <w:rsid w:val="00DD735D"/>
    <w:rsid w:val="00DE01F3"/>
    <w:rsid w:val="00DE02F8"/>
    <w:rsid w:val="00DE06C0"/>
    <w:rsid w:val="00DE072B"/>
    <w:rsid w:val="00DE0CC3"/>
    <w:rsid w:val="00DE1A56"/>
    <w:rsid w:val="00DE1AEB"/>
    <w:rsid w:val="00DE1D2A"/>
    <w:rsid w:val="00DE1DAE"/>
    <w:rsid w:val="00DE2034"/>
    <w:rsid w:val="00DE2196"/>
    <w:rsid w:val="00DE228D"/>
    <w:rsid w:val="00DE24A0"/>
    <w:rsid w:val="00DE24F2"/>
    <w:rsid w:val="00DE260A"/>
    <w:rsid w:val="00DE2692"/>
    <w:rsid w:val="00DE26CD"/>
    <w:rsid w:val="00DE2754"/>
    <w:rsid w:val="00DE2D46"/>
    <w:rsid w:val="00DE2E61"/>
    <w:rsid w:val="00DE3159"/>
    <w:rsid w:val="00DE32D8"/>
    <w:rsid w:val="00DE3375"/>
    <w:rsid w:val="00DE338C"/>
    <w:rsid w:val="00DE35AB"/>
    <w:rsid w:val="00DE39BE"/>
    <w:rsid w:val="00DE3A24"/>
    <w:rsid w:val="00DE3DE3"/>
    <w:rsid w:val="00DE4233"/>
    <w:rsid w:val="00DE4404"/>
    <w:rsid w:val="00DE458F"/>
    <w:rsid w:val="00DE4EA5"/>
    <w:rsid w:val="00DE506C"/>
    <w:rsid w:val="00DE538B"/>
    <w:rsid w:val="00DE53B1"/>
    <w:rsid w:val="00DE5B5D"/>
    <w:rsid w:val="00DE5C0E"/>
    <w:rsid w:val="00DE5D1D"/>
    <w:rsid w:val="00DE5F0A"/>
    <w:rsid w:val="00DE6474"/>
    <w:rsid w:val="00DE6660"/>
    <w:rsid w:val="00DE66E6"/>
    <w:rsid w:val="00DE6879"/>
    <w:rsid w:val="00DE6900"/>
    <w:rsid w:val="00DE6CD0"/>
    <w:rsid w:val="00DE6E16"/>
    <w:rsid w:val="00DE6F4C"/>
    <w:rsid w:val="00DE712F"/>
    <w:rsid w:val="00DE78F4"/>
    <w:rsid w:val="00DE7B5C"/>
    <w:rsid w:val="00DE7C3A"/>
    <w:rsid w:val="00DF012A"/>
    <w:rsid w:val="00DF0471"/>
    <w:rsid w:val="00DF0878"/>
    <w:rsid w:val="00DF0EF8"/>
    <w:rsid w:val="00DF0F77"/>
    <w:rsid w:val="00DF13D0"/>
    <w:rsid w:val="00DF1938"/>
    <w:rsid w:val="00DF19AF"/>
    <w:rsid w:val="00DF1B03"/>
    <w:rsid w:val="00DF1D21"/>
    <w:rsid w:val="00DF1FBE"/>
    <w:rsid w:val="00DF2153"/>
    <w:rsid w:val="00DF279A"/>
    <w:rsid w:val="00DF2814"/>
    <w:rsid w:val="00DF294C"/>
    <w:rsid w:val="00DF2999"/>
    <w:rsid w:val="00DF2A48"/>
    <w:rsid w:val="00DF2A87"/>
    <w:rsid w:val="00DF2B4A"/>
    <w:rsid w:val="00DF3496"/>
    <w:rsid w:val="00DF38A1"/>
    <w:rsid w:val="00DF3FB7"/>
    <w:rsid w:val="00DF3FE4"/>
    <w:rsid w:val="00DF4266"/>
    <w:rsid w:val="00DF43AA"/>
    <w:rsid w:val="00DF4461"/>
    <w:rsid w:val="00DF483D"/>
    <w:rsid w:val="00DF58A3"/>
    <w:rsid w:val="00DF59F4"/>
    <w:rsid w:val="00DF5A69"/>
    <w:rsid w:val="00DF5E8C"/>
    <w:rsid w:val="00DF5EC7"/>
    <w:rsid w:val="00DF5EF4"/>
    <w:rsid w:val="00DF60E3"/>
    <w:rsid w:val="00DF61CE"/>
    <w:rsid w:val="00DF6759"/>
    <w:rsid w:val="00DF6862"/>
    <w:rsid w:val="00DF6C05"/>
    <w:rsid w:val="00DF6E38"/>
    <w:rsid w:val="00DF758A"/>
    <w:rsid w:val="00DF760A"/>
    <w:rsid w:val="00DF7BB1"/>
    <w:rsid w:val="00DF7CB1"/>
    <w:rsid w:val="00DF7ECC"/>
    <w:rsid w:val="00E003CE"/>
    <w:rsid w:val="00E00B96"/>
    <w:rsid w:val="00E00CBD"/>
    <w:rsid w:val="00E00D1F"/>
    <w:rsid w:val="00E01116"/>
    <w:rsid w:val="00E021D5"/>
    <w:rsid w:val="00E02292"/>
    <w:rsid w:val="00E029D3"/>
    <w:rsid w:val="00E02ED8"/>
    <w:rsid w:val="00E03020"/>
    <w:rsid w:val="00E0315E"/>
    <w:rsid w:val="00E03746"/>
    <w:rsid w:val="00E03DAC"/>
    <w:rsid w:val="00E03F75"/>
    <w:rsid w:val="00E04053"/>
    <w:rsid w:val="00E0422B"/>
    <w:rsid w:val="00E0472A"/>
    <w:rsid w:val="00E04EF7"/>
    <w:rsid w:val="00E05E58"/>
    <w:rsid w:val="00E06065"/>
    <w:rsid w:val="00E066F6"/>
    <w:rsid w:val="00E068B6"/>
    <w:rsid w:val="00E06A8C"/>
    <w:rsid w:val="00E06D4F"/>
    <w:rsid w:val="00E06FB8"/>
    <w:rsid w:val="00E07123"/>
    <w:rsid w:val="00E07294"/>
    <w:rsid w:val="00E078AC"/>
    <w:rsid w:val="00E07BF5"/>
    <w:rsid w:val="00E07E59"/>
    <w:rsid w:val="00E07FA6"/>
    <w:rsid w:val="00E07FD9"/>
    <w:rsid w:val="00E100AA"/>
    <w:rsid w:val="00E106C5"/>
    <w:rsid w:val="00E10DC8"/>
    <w:rsid w:val="00E112E2"/>
    <w:rsid w:val="00E11410"/>
    <w:rsid w:val="00E1145D"/>
    <w:rsid w:val="00E1242B"/>
    <w:rsid w:val="00E126D9"/>
    <w:rsid w:val="00E127D1"/>
    <w:rsid w:val="00E127E3"/>
    <w:rsid w:val="00E12853"/>
    <w:rsid w:val="00E12A03"/>
    <w:rsid w:val="00E12D71"/>
    <w:rsid w:val="00E1335F"/>
    <w:rsid w:val="00E137FD"/>
    <w:rsid w:val="00E1408B"/>
    <w:rsid w:val="00E14379"/>
    <w:rsid w:val="00E147BD"/>
    <w:rsid w:val="00E14AD6"/>
    <w:rsid w:val="00E14C96"/>
    <w:rsid w:val="00E152C6"/>
    <w:rsid w:val="00E15734"/>
    <w:rsid w:val="00E15F38"/>
    <w:rsid w:val="00E16422"/>
    <w:rsid w:val="00E16D29"/>
    <w:rsid w:val="00E17A42"/>
    <w:rsid w:val="00E17ACC"/>
    <w:rsid w:val="00E17DAF"/>
    <w:rsid w:val="00E200CC"/>
    <w:rsid w:val="00E201F0"/>
    <w:rsid w:val="00E201F4"/>
    <w:rsid w:val="00E20645"/>
    <w:rsid w:val="00E20A82"/>
    <w:rsid w:val="00E20CB1"/>
    <w:rsid w:val="00E20E5E"/>
    <w:rsid w:val="00E20FF5"/>
    <w:rsid w:val="00E21089"/>
    <w:rsid w:val="00E210BA"/>
    <w:rsid w:val="00E21366"/>
    <w:rsid w:val="00E21AB9"/>
    <w:rsid w:val="00E21E1A"/>
    <w:rsid w:val="00E2216B"/>
    <w:rsid w:val="00E22262"/>
    <w:rsid w:val="00E2238F"/>
    <w:rsid w:val="00E22A2F"/>
    <w:rsid w:val="00E22B3A"/>
    <w:rsid w:val="00E2328A"/>
    <w:rsid w:val="00E236E4"/>
    <w:rsid w:val="00E23A50"/>
    <w:rsid w:val="00E23BD7"/>
    <w:rsid w:val="00E2407D"/>
    <w:rsid w:val="00E241D7"/>
    <w:rsid w:val="00E2491D"/>
    <w:rsid w:val="00E24F55"/>
    <w:rsid w:val="00E251DF"/>
    <w:rsid w:val="00E252D4"/>
    <w:rsid w:val="00E25650"/>
    <w:rsid w:val="00E25758"/>
    <w:rsid w:val="00E25816"/>
    <w:rsid w:val="00E258A0"/>
    <w:rsid w:val="00E25A76"/>
    <w:rsid w:val="00E25EC8"/>
    <w:rsid w:val="00E2613F"/>
    <w:rsid w:val="00E26566"/>
    <w:rsid w:val="00E26792"/>
    <w:rsid w:val="00E267A7"/>
    <w:rsid w:val="00E267B4"/>
    <w:rsid w:val="00E269B3"/>
    <w:rsid w:val="00E26C70"/>
    <w:rsid w:val="00E26E89"/>
    <w:rsid w:val="00E271A6"/>
    <w:rsid w:val="00E27CEB"/>
    <w:rsid w:val="00E27D7F"/>
    <w:rsid w:val="00E27FF2"/>
    <w:rsid w:val="00E304A4"/>
    <w:rsid w:val="00E3060A"/>
    <w:rsid w:val="00E3078B"/>
    <w:rsid w:val="00E3085D"/>
    <w:rsid w:val="00E30CE7"/>
    <w:rsid w:val="00E311FA"/>
    <w:rsid w:val="00E316C0"/>
    <w:rsid w:val="00E31882"/>
    <w:rsid w:val="00E31BA4"/>
    <w:rsid w:val="00E31CE9"/>
    <w:rsid w:val="00E31CEA"/>
    <w:rsid w:val="00E321C3"/>
    <w:rsid w:val="00E325B3"/>
    <w:rsid w:val="00E32BFB"/>
    <w:rsid w:val="00E32D18"/>
    <w:rsid w:val="00E32D1E"/>
    <w:rsid w:val="00E32FC5"/>
    <w:rsid w:val="00E33028"/>
    <w:rsid w:val="00E33132"/>
    <w:rsid w:val="00E3374A"/>
    <w:rsid w:val="00E33D2B"/>
    <w:rsid w:val="00E350D2"/>
    <w:rsid w:val="00E35223"/>
    <w:rsid w:val="00E35587"/>
    <w:rsid w:val="00E35599"/>
    <w:rsid w:val="00E3590F"/>
    <w:rsid w:val="00E35A2B"/>
    <w:rsid w:val="00E35B3A"/>
    <w:rsid w:val="00E3616B"/>
    <w:rsid w:val="00E37263"/>
    <w:rsid w:val="00E37296"/>
    <w:rsid w:val="00E37634"/>
    <w:rsid w:val="00E37723"/>
    <w:rsid w:val="00E3783F"/>
    <w:rsid w:val="00E378CE"/>
    <w:rsid w:val="00E37AF6"/>
    <w:rsid w:val="00E402FA"/>
    <w:rsid w:val="00E4095D"/>
    <w:rsid w:val="00E409D8"/>
    <w:rsid w:val="00E41019"/>
    <w:rsid w:val="00E413FB"/>
    <w:rsid w:val="00E414DC"/>
    <w:rsid w:val="00E414E7"/>
    <w:rsid w:val="00E41665"/>
    <w:rsid w:val="00E4198B"/>
    <w:rsid w:val="00E41B0E"/>
    <w:rsid w:val="00E421B0"/>
    <w:rsid w:val="00E423A0"/>
    <w:rsid w:val="00E42484"/>
    <w:rsid w:val="00E424C2"/>
    <w:rsid w:val="00E424D7"/>
    <w:rsid w:val="00E427F1"/>
    <w:rsid w:val="00E42866"/>
    <w:rsid w:val="00E42E87"/>
    <w:rsid w:val="00E4318D"/>
    <w:rsid w:val="00E43643"/>
    <w:rsid w:val="00E43726"/>
    <w:rsid w:val="00E43A68"/>
    <w:rsid w:val="00E43A82"/>
    <w:rsid w:val="00E43F4F"/>
    <w:rsid w:val="00E44010"/>
    <w:rsid w:val="00E44287"/>
    <w:rsid w:val="00E44658"/>
    <w:rsid w:val="00E44908"/>
    <w:rsid w:val="00E44974"/>
    <w:rsid w:val="00E44EA1"/>
    <w:rsid w:val="00E45382"/>
    <w:rsid w:val="00E453BC"/>
    <w:rsid w:val="00E4541F"/>
    <w:rsid w:val="00E45560"/>
    <w:rsid w:val="00E45B06"/>
    <w:rsid w:val="00E45CBF"/>
    <w:rsid w:val="00E45EBF"/>
    <w:rsid w:val="00E463C1"/>
    <w:rsid w:val="00E464DA"/>
    <w:rsid w:val="00E46896"/>
    <w:rsid w:val="00E46939"/>
    <w:rsid w:val="00E46B96"/>
    <w:rsid w:val="00E4777B"/>
    <w:rsid w:val="00E47A5B"/>
    <w:rsid w:val="00E47BA9"/>
    <w:rsid w:val="00E47D7B"/>
    <w:rsid w:val="00E502C1"/>
    <w:rsid w:val="00E5034B"/>
    <w:rsid w:val="00E50378"/>
    <w:rsid w:val="00E5058D"/>
    <w:rsid w:val="00E505D0"/>
    <w:rsid w:val="00E5065C"/>
    <w:rsid w:val="00E507FB"/>
    <w:rsid w:val="00E50881"/>
    <w:rsid w:val="00E50AD9"/>
    <w:rsid w:val="00E50DF0"/>
    <w:rsid w:val="00E50EBC"/>
    <w:rsid w:val="00E51048"/>
    <w:rsid w:val="00E51B06"/>
    <w:rsid w:val="00E51BFA"/>
    <w:rsid w:val="00E52215"/>
    <w:rsid w:val="00E5227E"/>
    <w:rsid w:val="00E522A9"/>
    <w:rsid w:val="00E52651"/>
    <w:rsid w:val="00E52760"/>
    <w:rsid w:val="00E52B0D"/>
    <w:rsid w:val="00E52E99"/>
    <w:rsid w:val="00E53349"/>
    <w:rsid w:val="00E534AC"/>
    <w:rsid w:val="00E53684"/>
    <w:rsid w:val="00E53B9D"/>
    <w:rsid w:val="00E53BEF"/>
    <w:rsid w:val="00E53C18"/>
    <w:rsid w:val="00E53CBA"/>
    <w:rsid w:val="00E53ED6"/>
    <w:rsid w:val="00E542F1"/>
    <w:rsid w:val="00E55743"/>
    <w:rsid w:val="00E55928"/>
    <w:rsid w:val="00E55BC5"/>
    <w:rsid w:val="00E5667A"/>
    <w:rsid w:val="00E567FA"/>
    <w:rsid w:val="00E56930"/>
    <w:rsid w:val="00E56ACF"/>
    <w:rsid w:val="00E56C24"/>
    <w:rsid w:val="00E57414"/>
    <w:rsid w:val="00E575EC"/>
    <w:rsid w:val="00E57729"/>
    <w:rsid w:val="00E57F55"/>
    <w:rsid w:val="00E605A4"/>
    <w:rsid w:val="00E60924"/>
    <w:rsid w:val="00E6092B"/>
    <w:rsid w:val="00E60CF5"/>
    <w:rsid w:val="00E61301"/>
    <w:rsid w:val="00E61363"/>
    <w:rsid w:val="00E61CCE"/>
    <w:rsid w:val="00E61EB2"/>
    <w:rsid w:val="00E62355"/>
    <w:rsid w:val="00E62B3F"/>
    <w:rsid w:val="00E6361B"/>
    <w:rsid w:val="00E63CE1"/>
    <w:rsid w:val="00E63E9D"/>
    <w:rsid w:val="00E64126"/>
    <w:rsid w:val="00E645A1"/>
    <w:rsid w:val="00E64722"/>
    <w:rsid w:val="00E64DFE"/>
    <w:rsid w:val="00E64ECB"/>
    <w:rsid w:val="00E64F85"/>
    <w:rsid w:val="00E652A9"/>
    <w:rsid w:val="00E6531D"/>
    <w:rsid w:val="00E654A7"/>
    <w:rsid w:val="00E65817"/>
    <w:rsid w:val="00E6624D"/>
    <w:rsid w:val="00E6675E"/>
    <w:rsid w:val="00E66903"/>
    <w:rsid w:val="00E6737B"/>
    <w:rsid w:val="00E67E00"/>
    <w:rsid w:val="00E67E18"/>
    <w:rsid w:val="00E7015D"/>
    <w:rsid w:val="00E70273"/>
    <w:rsid w:val="00E70340"/>
    <w:rsid w:val="00E70C98"/>
    <w:rsid w:val="00E717E7"/>
    <w:rsid w:val="00E71F19"/>
    <w:rsid w:val="00E72405"/>
    <w:rsid w:val="00E724ED"/>
    <w:rsid w:val="00E7265D"/>
    <w:rsid w:val="00E72F55"/>
    <w:rsid w:val="00E731A3"/>
    <w:rsid w:val="00E736C5"/>
    <w:rsid w:val="00E7391C"/>
    <w:rsid w:val="00E73CC3"/>
    <w:rsid w:val="00E73F29"/>
    <w:rsid w:val="00E73F31"/>
    <w:rsid w:val="00E73F4B"/>
    <w:rsid w:val="00E74407"/>
    <w:rsid w:val="00E7460E"/>
    <w:rsid w:val="00E74BC5"/>
    <w:rsid w:val="00E74C0A"/>
    <w:rsid w:val="00E74EFE"/>
    <w:rsid w:val="00E75161"/>
    <w:rsid w:val="00E75224"/>
    <w:rsid w:val="00E753AB"/>
    <w:rsid w:val="00E75652"/>
    <w:rsid w:val="00E75758"/>
    <w:rsid w:val="00E760D9"/>
    <w:rsid w:val="00E76428"/>
    <w:rsid w:val="00E7681F"/>
    <w:rsid w:val="00E76876"/>
    <w:rsid w:val="00E7695A"/>
    <w:rsid w:val="00E76B9E"/>
    <w:rsid w:val="00E76BE9"/>
    <w:rsid w:val="00E76DD3"/>
    <w:rsid w:val="00E77348"/>
    <w:rsid w:val="00E776D6"/>
    <w:rsid w:val="00E77B56"/>
    <w:rsid w:val="00E77B8C"/>
    <w:rsid w:val="00E802A8"/>
    <w:rsid w:val="00E8038F"/>
    <w:rsid w:val="00E80448"/>
    <w:rsid w:val="00E80533"/>
    <w:rsid w:val="00E80E58"/>
    <w:rsid w:val="00E8128C"/>
    <w:rsid w:val="00E814A3"/>
    <w:rsid w:val="00E81DF3"/>
    <w:rsid w:val="00E81F32"/>
    <w:rsid w:val="00E822B3"/>
    <w:rsid w:val="00E82348"/>
    <w:rsid w:val="00E82729"/>
    <w:rsid w:val="00E82A77"/>
    <w:rsid w:val="00E82D24"/>
    <w:rsid w:val="00E82EE3"/>
    <w:rsid w:val="00E83322"/>
    <w:rsid w:val="00E83AC5"/>
    <w:rsid w:val="00E83C35"/>
    <w:rsid w:val="00E842CD"/>
    <w:rsid w:val="00E84960"/>
    <w:rsid w:val="00E84E11"/>
    <w:rsid w:val="00E8503D"/>
    <w:rsid w:val="00E85430"/>
    <w:rsid w:val="00E856EF"/>
    <w:rsid w:val="00E85829"/>
    <w:rsid w:val="00E865B3"/>
    <w:rsid w:val="00E865C2"/>
    <w:rsid w:val="00E86B6A"/>
    <w:rsid w:val="00E87501"/>
    <w:rsid w:val="00E8788C"/>
    <w:rsid w:val="00E87C8B"/>
    <w:rsid w:val="00E87D80"/>
    <w:rsid w:val="00E87D99"/>
    <w:rsid w:val="00E87E30"/>
    <w:rsid w:val="00E87EED"/>
    <w:rsid w:val="00E87F12"/>
    <w:rsid w:val="00E904D8"/>
    <w:rsid w:val="00E9076A"/>
    <w:rsid w:val="00E90A1B"/>
    <w:rsid w:val="00E90FEB"/>
    <w:rsid w:val="00E91159"/>
    <w:rsid w:val="00E91572"/>
    <w:rsid w:val="00E91709"/>
    <w:rsid w:val="00E919C6"/>
    <w:rsid w:val="00E91A2D"/>
    <w:rsid w:val="00E92FA5"/>
    <w:rsid w:val="00E93046"/>
    <w:rsid w:val="00E93499"/>
    <w:rsid w:val="00E934A1"/>
    <w:rsid w:val="00E935FA"/>
    <w:rsid w:val="00E938A3"/>
    <w:rsid w:val="00E9398F"/>
    <w:rsid w:val="00E93C83"/>
    <w:rsid w:val="00E93DCA"/>
    <w:rsid w:val="00E93DD6"/>
    <w:rsid w:val="00E93FEE"/>
    <w:rsid w:val="00E940A3"/>
    <w:rsid w:val="00E945A1"/>
    <w:rsid w:val="00E94BC7"/>
    <w:rsid w:val="00E94C7D"/>
    <w:rsid w:val="00E94E55"/>
    <w:rsid w:val="00E94FA6"/>
    <w:rsid w:val="00E95324"/>
    <w:rsid w:val="00E955FB"/>
    <w:rsid w:val="00E95FAF"/>
    <w:rsid w:val="00E96419"/>
    <w:rsid w:val="00E966C2"/>
    <w:rsid w:val="00E96872"/>
    <w:rsid w:val="00E968FA"/>
    <w:rsid w:val="00E96EFA"/>
    <w:rsid w:val="00E97068"/>
    <w:rsid w:val="00E9789E"/>
    <w:rsid w:val="00E9799B"/>
    <w:rsid w:val="00E97A4A"/>
    <w:rsid w:val="00E97AD7"/>
    <w:rsid w:val="00E97BF3"/>
    <w:rsid w:val="00EA0249"/>
    <w:rsid w:val="00EA0A0A"/>
    <w:rsid w:val="00EA0ED7"/>
    <w:rsid w:val="00EA119F"/>
    <w:rsid w:val="00EA13C9"/>
    <w:rsid w:val="00EA1508"/>
    <w:rsid w:val="00EA1C96"/>
    <w:rsid w:val="00EA1E2D"/>
    <w:rsid w:val="00EA1F67"/>
    <w:rsid w:val="00EA22AD"/>
    <w:rsid w:val="00EA238A"/>
    <w:rsid w:val="00EA26E4"/>
    <w:rsid w:val="00EA26EC"/>
    <w:rsid w:val="00EA2EB1"/>
    <w:rsid w:val="00EA3139"/>
    <w:rsid w:val="00EA3176"/>
    <w:rsid w:val="00EA321C"/>
    <w:rsid w:val="00EA34B2"/>
    <w:rsid w:val="00EA367A"/>
    <w:rsid w:val="00EA374D"/>
    <w:rsid w:val="00EA3EE3"/>
    <w:rsid w:val="00EA40DB"/>
    <w:rsid w:val="00EA4106"/>
    <w:rsid w:val="00EA4618"/>
    <w:rsid w:val="00EA48C0"/>
    <w:rsid w:val="00EA4CB4"/>
    <w:rsid w:val="00EA4CC6"/>
    <w:rsid w:val="00EA5866"/>
    <w:rsid w:val="00EA5C13"/>
    <w:rsid w:val="00EA5D84"/>
    <w:rsid w:val="00EA5ED2"/>
    <w:rsid w:val="00EA6247"/>
    <w:rsid w:val="00EA64DB"/>
    <w:rsid w:val="00EA662A"/>
    <w:rsid w:val="00EA6655"/>
    <w:rsid w:val="00EA67DC"/>
    <w:rsid w:val="00EA6AD6"/>
    <w:rsid w:val="00EA7056"/>
    <w:rsid w:val="00EA756C"/>
    <w:rsid w:val="00EA7A00"/>
    <w:rsid w:val="00EA7CC5"/>
    <w:rsid w:val="00EA7CEA"/>
    <w:rsid w:val="00EA7F00"/>
    <w:rsid w:val="00EB04B9"/>
    <w:rsid w:val="00EB0664"/>
    <w:rsid w:val="00EB0802"/>
    <w:rsid w:val="00EB08B1"/>
    <w:rsid w:val="00EB0F9B"/>
    <w:rsid w:val="00EB11D0"/>
    <w:rsid w:val="00EB13A9"/>
    <w:rsid w:val="00EB1506"/>
    <w:rsid w:val="00EB18E0"/>
    <w:rsid w:val="00EB192A"/>
    <w:rsid w:val="00EB19AE"/>
    <w:rsid w:val="00EB1B2A"/>
    <w:rsid w:val="00EB1E64"/>
    <w:rsid w:val="00EB2764"/>
    <w:rsid w:val="00EB2799"/>
    <w:rsid w:val="00EB27E9"/>
    <w:rsid w:val="00EB2ABA"/>
    <w:rsid w:val="00EB2BE5"/>
    <w:rsid w:val="00EB3027"/>
    <w:rsid w:val="00EB33B3"/>
    <w:rsid w:val="00EB340C"/>
    <w:rsid w:val="00EB362C"/>
    <w:rsid w:val="00EB4299"/>
    <w:rsid w:val="00EB4351"/>
    <w:rsid w:val="00EB52E8"/>
    <w:rsid w:val="00EB5408"/>
    <w:rsid w:val="00EB567A"/>
    <w:rsid w:val="00EB59A4"/>
    <w:rsid w:val="00EB5F8F"/>
    <w:rsid w:val="00EB6973"/>
    <w:rsid w:val="00EB6ADB"/>
    <w:rsid w:val="00EB71FB"/>
    <w:rsid w:val="00EB7203"/>
    <w:rsid w:val="00EB7812"/>
    <w:rsid w:val="00EB79F8"/>
    <w:rsid w:val="00EB7C69"/>
    <w:rsid w:val="00EC0029"/>
    <w:rsid w:val="00EC0588"/>
    <w:rsid w:val="00EC059B"/>
    <w:rsid w:val="00EC0A60"/>
    <w:rsid w:val="00EC0D4F"/>
    <w:rsid w:val="00EC1037"/>
    <w:rsid w:val="00EC16E3"/>
    <w:rsid w:val="00EC1B02"/>
    <w:rsid w:val="00EC1D2D"/>
    <w:rsid w:val="00EC2B62"/>
    <w:rsid w:val="00EC2C4A"/>
    <w:rsid w:val="00EC2FA4"/>
    <w:rsid w:val="00EC3AA4"/>
    <w:rsid w:val="00EC3F81"/>
    <w:rsid w:val="00EC4250"/>
    <w:rsid w:val="00EC4661"/>
    <w:rsid w:val="00EC46FD"/>
    <w:rsid w:val="00EC4815"/>
    <w:rsid w:val="00EC4ECD"/>
    <w:rsid w:val="00EC4EEE"/>
    <w:rsid w:val="00EC520F"/>
    <w:rsid w:val="00EC53F8"/>
    <w:rsid w:val="00EC54FF"/>
    <w:rsid w:val="00EC56E2"/>
    <w:rsid w:val="00EC56EA"/>
    <w:rsid w:val="00EC59B0"/>
    <w:rsid w:val="00EC62AD"/>
    <w:rsid w:val="00EC62DA"/>
    <w:rsid w:val="00EC65D5"/>
    <w:rsid w:val="00EC664E"/>
    <w:rsid w:val="00EC6C7E"/>
    <w:rsid w:val="00EC6DD9"/>
    <w:rsid w:val="00EC7164"/>
    <w:rsid w:val="00EC7400"/>
    <w:rsid w:val="00EC74A2"/>
    <w:rsid w:val="00EC7665"/>
    <w:rsid w:val="00EC76B1"/>
    <w:rsid w:val="00EC7835"/>
    <w:rsid w:val="00EC7E95"/>
    <w:rsid w:val="00ED0160"/>
    <w:rsid w:val="00ED0463"/>
    <w:rsid w:val="00ED0B15"/>
    <w:rsid w:val="00ED0B5B"/>
    <w:rsid w:val="00ED1467"/>
    <w:rsid w:val="00ED1493"/>
    <w:rsid w:val="00ED175C"/>
    <w:rsid w:val="00ED17DF"/>
    <w:rsid w:val="00ED1948"/>
    <w:rsid w:val="00ED1B2C"/>
    <w:rsid w:val="00ED22FA"/>
    <w:rsid w:val="00ED24DD"/>
    <w:rsid w:val="00ED2658"/>
    <w:rsid w:val="00ED28BB"/>
    <w:rsid w:val="00ED290B"/>
    <w:rsid w:val="00ED2C69"/>
    <w:rsid w:val="00ED2EDC"/>
    <w:rsid w:val="00ED2FC4"/>
    <w:rsid w:val="00ED30D0"/>
    <w:rsid w:val="00ED30DB"/>
    <w:rsid w:val="00ED322B"/>
    <w:rsid w:val="00ED327E"/>
    <w:rsid w:val="00ED3473"/>
    <w:rsid w:val="00ED349E"/>
    <w:rsid w:val="00ED3944"/>
    <w:rsid w:val="00ED39FC"/>
    <w:rsid w:val="00ED3EB2"/>
    <w:rsid w:val="00ED3FC9"/>
    <w:rsid w:val="00ED40DD"/>
    <w:rsid w:val="00ED4589"/>
    <w:rsid w:val="00ED4933"/>
    <w:rsid w:val="00ED4F3A"/>
    <w:rsid w:val="00ED50EF"/>
    <w:rsid w:val="00ED5FF6"/>
    <w:rsid w:val="00ED6166"/>
    <w:rsid w:val="00ED61E9"/>
    <w:rsid w:val="00ED627F"/>
    <w:rsid w:val="00ED6E48"/>
    <w:rsid w:val="00ED7071"/>
    <w:rsid w:val="00ED70D5"/>
    <w:rsid w:val="00ED7225"/>
    <w:rsid w:val="00ED7A90"/>
    <w:rsid w:val="00ED7DBA"/>
    <w:rsid w:val="00ED7F67"/>
    <w:rsid w:val="00EE00AB"/>
    <w:rsid w:val="00EE031C"/>
    <w:rsid w:val="00EE0522"/>
    <w:rsid w:val="00EE0B6B"/>
    <w:rsid w:val="00EE17D7"/>
    <w:rsid w:val="00EE1AD2"/>
    <w:rsid w:val="00EE1B30"/>
    <w:rsid w:val="00EE1EBE"/>
    <w:rsid w:val="00EE1F07"/>
    <w:rsid w:val="00EE2039"/>
    <w:rsid w:val="00EE21F4"/>
    <w:rsid w:val="00EE24EC"/>
    <w:rsid w:val="00EE2501"/>
    <w:rsid w:val="00EE25CF"/>
    <w:rsid w:val="00EE2D88"/>
    <w:rsid w:val="00EE30A3"/>
    <w:rsid w:val="00EE38AD"/>
    <w:rsid w:val="00EE39B2"/>
    <w:rsid w:val="00EE40D7"/>
    <w:rsid w:val="00EE457C"/>
    <w:rsid w:val="00EE46CD"/>
    <w:rsid w:val="00EE4997"/>
    <w:rsid w:val="00EE4F1C"/>
    <w:rsid w:val="00EE53CA"/>
    <w:rsid w:val="00EE5A71"/>
    <w:rsid w:val="00EE5C4F"/>
    <w:rsid w:val="00EE5D5D"/>
    <w:rsid w:val="00EE5EDD"/>
    <w:rsid w:val="00EE617D"/>
    <w:rsid w:val="00EE637B"/>
    <w:rsid w:val="00EE68B6"/>
    <w:rsid w:val="00EE6954"/>
    <w:rsid w:val="00EE6A14"/>
    <w:rsid w:val="00EE6BDE"/>
    <w:rsid w:val="00EE6EF1"/>
    <w:rsid w:val="00EE73A3"/>
    <w:rsid w:val="00EE7A37"/>
    <w:rsid w:val="00EE7AF2"/>
    <w:rsid w:val="00EE7BA8"/>
    <w:rsid w:val="00EE7C60"/>
    <w:rsid w:val="00EF00E6"/>
    <w:rsid w:val="00EF0115"/>
    <w:rsid w:val="00EF01CA"/>
    <w:rsid w:val="00EF0FF7"/>
    <w:rsid w:val="00EF11D0"/>
    <w:rsid w:val="00EF12C6"/>
    <w:rsid w:val="00EF15E2"/>
    <w:rsid w:val="00EF1DA7"/>
    <w:rsid w:val="00EF2176"/>
    <w:rsid w:val="00EF23F5"/>
    <w:rsid w:val="00EF27D7"/>
    <w:rsid w:val="00EF2976"/>
    <w:rsid w:val="00EF2EF6"/>
    <w:rsid w:val="00EF2F3B"/>
    <w:rsid w:val="00EF36DC"/>
    <w:rsid w:val="00EF3D9B"/>
    <w:rsid w:val="00EF3DDB"/>
    <w:rsid w:val="00EF3EBA"/>
    <w:rsid w:val="00EF3FBC"/>
    <w:rsid w:val="00EF40D1"/>
    <w:rsid w:val="00EF437F"/>
    <w:rsid w:val="00EF448B"/>
    <w:rsid w:val="00EF46ED"/>
    <w:rsid w:val="00EF4CC7"/>
    <w:rsid w:val="00EF4D1E"/>
    <w:rsid w:val="00EF4E6C"/>
    <w:rsid w:val="00EF580A"/>
    <w:rsid w:val="00EF5B6C"/>
    <w:rsid w:val="00EF5FAB"/>
    <w:rsid w:val="00EF600A"/>
    <w:rsid w:val="00EF62F0"/>
    <w:rsid w:val="00EF6630"/>
    <w:rsid w:val="00EF66C0"/>
    <w:rsid w:val="00EF6780"/>
    <w:rsid w:val="00EF6D89"/>
    <w:rsid w:val="00EF6E65"/>
    <w:rsid w:val="00EF6E84"/>
    <w:rsid w:val="00EF71AA"/>
    <w:rsid w:val="00EF7355"/>
    <w:rsid w:val="00EF7EE7"/>
    <w:rsid w:val="00F0006B"/>
    <w:rsid w:val="00F007FF"/>
    <w:rsid w:val="00F00ABB"/>
    <w:rsid w:val="00F00E4F"/>
    <w:rsid w:val="00F010B2"/>
    <w:rsid w:val="00F01217"/>
    <w:rsid w:val="00F013B6"/>
    <w:rsid w:val="00F01467"/>
    <w:rsid w:val="00F01777"/>
    <w:rsid w:val="00F01872"/>
    <w:rsid w:val="00F018A8"/>
    <w:rsid w:val="00F01D23"/>
    <w:rsid w:val="00F02046"/>
    <w:rsid w:val="00F02307"/>
    <w:rsid w:val="00F02820"/>
    <w:rsid w:val="00F02B96"/>
    <w:rsid w:val="00F02C17"/>
    <w:rsid w:val="00F02CB5"/>
    <w:rsid w:val="00F02D3A"/>
    <w:rsid w:val="00F03098"/>
    <w:rsid w:val="00F0320B"/>
    <w:rsid w:val="00F0364C"/>
    <w:rsid w:val="00F036D3"/>
    <w:rsid w:val="00F03815"/>
    <w:rsid w:val="00F0393B"/>
    <w:rsid w:val="00F0424B"/>
    <w:rsid w:val="00F047B8"/>
    <w:rsid w:val="00F047E9"/>
    <w:rsid w:val="00F04BBA"/>
    <w:rsid w:val="00F04BFB"/>
    <w:rsid w:val="00F04E51"/>
    <w:rsid w:val="00F051FA"/>
    <w:rsid w:val="00F05560"/>
    <w:rsid w:val="00F056A7"/>
    <w:rsid w:val="00F05854"/>
    <w:rsid w:val="00F05CC6"/>
    <w:rsid w:val="00F05E9D"/>
    <w:rsid w:val="00F0622B"/>
    <w:rsid w:val="00F06785"/>
    <w:rsid w:val="00F06826"/>
    <w:rsid w:val="00F06893"/>
    <w:rsid w:val="00F069F6"/>
    <w:rsid w:val="00F06B12"/>
    <w:rsid w:val="00F076DE"/>
    <w:rsid w:val="00F07D17"/>
    <w:rsid w:val="00F07E4C"/>
    <w:rsid w:val="00F104DB"/>
    <w:rsid w:val="00F10802"/>
    <w:rsid w:val="00F10B04"/>
    <w:rsid w:val="00F10EBD"/>
    <w:rsid w:val="00F1175D"/>
    <w:rsid w:val="00F11AEC"/>
    <w:rsid w:val="00F11C4D"/>
    <w:rsid w:val="00F11F44"/>
    <w:rsid w:val="00F11FBA"/>
    <w:rsid w:val="00F11FF4"/>
    <w:rsid w:val="00F12579"/>
    <w:rsid w:val="00F12F3B"/>
    <w:rsid w:val="00F12F4A"/>
    <w:rsid w:val="00F131D1"/>
    <w:rsid w:val="00F133FF"/>
    <w:rsid w:val="00F13705"/>
    <w:rsid w:val="00F138D6"/>
    <w:rsid w:val="00F13ACC"/>
    <w:rsid w:val="00F14094"/>
    <w:rsid w:val="00F141D1"/>
    <w:rsid w:val="00F14394"/>
    <w:rsid w:val="00F14455"/>
    <w:rsid w:val="00F1446F"/>
    <w:rsid w:val="00F144A0"/>
    <w:rsid w:val="00F145F2"/>
    <w:rsid w:val="00F14A1D"/>
    <w:rsid w:val="00F14A9D"/>
    <w:rsid w:val="00F14BDF"/>
    <w:rsid w:val="00F15553"/>
    <w:rsid w:val="00F160EB"/>
    <w:rsid w:val="00F162BF"/>
    <w:rsid w:val="00F1648B"/>
    <w:rsid w:val="00F164F4"/>
    <w:rsid w:val="00F1677A"/>
    <w:rsid w:val="00F1689A"/>
    <w:rsid w:val="00F168ED"/>
    <w:rsid w:val="00F16924"/>
    <w:rsid w:val="00F16978"/>
    <w:rsid w:val="00F16BF6"/>
    <w:rsid w:val="00F171D6"/>
    <w:rsid w:val="00F17260"/>
    <w:rsid w:val="00F175D5"/>
    <w:rsid w:val="00F1DC87"/>
    <w:rsid w:val="00F20118"/>
    <w:rsid w:val="00F201AC"/>
    <w:rsid w:val="00F203E9"/>
    <w:rsid w:val="00F204A6"/>
    <w:rsid w:val="00F207E5"/>
    <w:rsid w:val="00F208C4"/>
    <w:rsid w:val="00F20CBE"/>
    <w:rsid w:val="00F2105A"/>
    <w:rsid w:val="00F212BC"/>
    <w:rsid w:val="00F21CAA"/>
    <w:rsid w:val="00F21EFD"/>
    <w:rsid w:val="00F22024"/>
    <w:rsid w:val="00F228A7"/>
    <w:rsid w:val="00F22951"/>
    <w:rsid w:val="00F22A37"/>
    <w:rsid w:val="00F22BB4"/>
    <w:rsid w:val="00F2353B"/>
    <w:rsid w:val="00F237EA"/>
    <w:rsid w:val="00F2399B"/>
    <w:rsid w:val="00F23BB8"/>
    <w:rsid w:val="00F23F93"/>
    <w:rsid w:val="00F24138"/>
    <w:rsid w:val="00F241FB"/>
    <w:rsid w:val="00F2424F"/>
    <w:rsid w:val="00F24A60"/>
    <w:rsid w:val="00F24AD6"/>
    <w:rsid w:val="00F25177"/>
    <w:rsid w:val="00F253B2"/>
    <w:rsid w:val="00F25664"/>
    <w:rsid w:val="00F256E8"/>
    <w:rsid w:val="00F258FC"/>
    <w:rsid w:val="00F25C70"/>
    <w:rsid w:val="00F2639B"/>
    <w:rsid w:val="00F26584"/>
    <w:rsid w:val="00F267AC"/>
    <w:rsid w:val="00F26F3C"/>
    <w:rsid w:val="00F26F46"/>
    <w:rsid w:val="00F26FF5"/>
    <w:rsid w:val="00F27541"/>
    <w:rsid w:val="00F276E8"/>
    <w:rsid w:val="00F279BC"/>
    <w:rsid w:val="00F27B88"/>
    <w:rsid w:val="00F27C54"/>
    <w:rsid w:val="00F27C8A"/>
    <w:rsid w:val="00F27E77"/>
    <w:rsid w:val="00F30084"/>
    <w:rsid w:val="00F304D5"/>
    <w:rsid w:val="00F305B6"/>
    <w:rsid w:val="00F306C6"/>
    <w:rsid w:val="00F30898"/>
    <w:rsid w:val="00F30DC7"/>
    <w:rsid w:val="00F30F48"/>
    <w:rsid w:val="00F311F6"/>
    <w:rsid w:val="00F3130F"/>
    <w:rsid w:val="00F31A9C"/>
    <w:rsid w:val="00F31AAB"/>
    <w:rsid w:val="00F32405"/>
    <w:rsid w:val="00F326BF"/>
    <w:rsid w:val="00F3299B"/>
    <w:rsid w:val="00F32B17"/>
    <w:rsid w:val="00F32D5D"/>
    <w:rsid w:val="00F33200"/>
    <w:rsid w:val="00F33247"/>
    <w:rsid w:val="00F3340F"/>
    <w:rsid w:val="00F33452"/>
    <w:rsid w:val="00F3363A"/>
    <w:rsid w:val="00F33723"/>
    <w:rsid w:val="00F33788"/>
    <w:rsid w:val="00F339D7"/>
    <w:rsid w:val="00F33E7D"/>
    <w:rsid w:val="00F34456"/>
    <w:rsid w:val="00F34464"/>
    <w:rsid w:val="00F3495B"/>
    <w:rsid w:val="00F3499D"/>
    <w:rsid w:val="00F349BD"/>
    <w:rsid w:val="00F34EF2"/>
    <w:rsid w:val="00F35221"/>
    <w:rsid w:val="00F353A4"/>
    <w:rsid w:val="00F35E38"/>
    <w:rsid w:val="00F36154"/>
    <w:rsid w:val="00F36491"/>
    <w:rsid w:val="00F364C7"/>
    <w:rsid w:val="00F365CD"/>
    <w:rsid w:val="00F365E1"/>
    <w:rsid w:val="00F3692F"/>
    <w:rsid w:val="00F372EB"/>
    <w:rsid w:val="00F375D9"/>
    <w:rsid w:val="00F37BB9"/>
    <w:rsid w:val="00F37FC5"/>
    <w:rsid w:val="00F37FDD"/>
    <w:rsid w:val="00F402D1"/>
    <w:rsid w:val="00F40365"/>
    <w:rsid w:val="00F40733"/>
    <w:rsid w:val="00F40918"/>
    <w:rsid w:val="00F40BF5"/>
    <w:rsid w:val="00F40F9A"/>
    <w:rsid w:val="00F410C8"/>
    <w:rsid w:val="00F411E9"/>
    <w:rsid w:val="00F4130D"/>
    <w:rsid w:val="00F41404"/>
    <w:rsid w:val="00F4186C"/>
    <w:rsid w:val="00F41D83"/>
    <w:rsid w:val="00F426F0"/>
    <w:rsid w:val="00F42C9E"/>
    <w:rsid w:val="00F43814"/>
    <w:rsid w:val="00F43D53"/>
    <w:rsid w:val="00F43EF2"/>
    <w:rsid w:val="00F44064"/>
    <w:rsid w:val="00F4408C"/>
    <w:rsid w:val="00F444EE"/>
    <w:rsid w:val="00F44830"/>
    <w:rsid w:val="00F4484E"/>
    <w:rsid w:val="00F449F0"/>
    <w:rsid w:val="00F44AAF"/>
    <w:rsid w:val="00F4511B"/>
    <w:rsid w:val="00F45218"/>
    <w:rsid w:val="00F45409"/>
    <w:rsid w:val="00F4574C"/>
    <w:rsid w:val="00F45A05"/>
    <w:rsid w:val="00F45E96"/>
    <w:rsid w:val="00F4604D"/>
    <w:rsid w:val="00F46B7C"/>
    <w:rsid w:val="00F470F2"/>
    <w:rsid w:val="00F4727C"/>
    <w:rsid w:val="00F47737"/>
    <w:rsid w:val="00F4799B"/>
    <w:rsid w:val="00F47BDB"/>
    <w:rsid w:val="00F47E19"/>
    <w:rsid w:val="00F47F15"/>
    <w:rsid w:val="00F50517"/>
    <w:rsid w:val="00F50839"/>
    <w:rsid w:val="00F50943"/>
    <w:rsid w:val="00F50A26"/>
    <w:rsid w:val="00F50AA0"/>
    <w:rsid w:val="00F50B15"/>
    <w:rsid w:val="00F50E2B"/>
    <w:rsid w:val="00F5110B"/>
    <w:rsid w:val="00F513EE"/>
    <w:rsid w:val="00F51688"/>
    <w:rsid w:val="00F51E61"/>
    <w:rsid w:val="00F51E74"/>
    <w:rsid w:val="00F520AB"/>
    <w:rsid w:val="00F520BB"/>
    <w:rsid w:val="00F5238F"/>
    <w:rsid w:val="00F52DF4"/>
    <w:rsid w:val="00F53141"/>
    <w:rsid w:val="00F5316A"/>
    <w:rsid w:val="00F533B0"/>
    <w:rsid w:val="00F5347E"/>
    <w:rsid w:val="00F536E3"/>
    <w:rsid w:val="00F5377E"/>
    <w:rsid w:val="00F539DB"/>
    <w:rsid w:val="00F53FF9"/>
    <w:rsid w:val="00F545FC"/>
    <w:rsid w:val="00F54988"/>
    <w:rsid w:val="00F54D67"/>
    <w:rsid w:val="00F55433"/>
    <w:rsid w:val="00F55782"/>
    <w:rsid w:val="00F559FB"/>
    <w:rsid w:val="00F5600D"/>
    <w:rsid w:val="00F5685F"/>
    <w:rsid w:val="00F56AE9"/>
    <w:rsid w:val="00F56B92"/>
    <w:rsid w:val="00F56DB7"/>
    <w:rsid w:val="00F56E4B"/>
    <w:rsid w:val="00F5745A"/>
    <w:rsid w:val="00F57675"/>
    <w:rsid w:val="00F60378"/>
    <w:rsid w:val="00F608E7"/>
    <w:rsid w:val="00F60C0D"/>
    <w:rsid w:val="00F60E6A"/>
    <w:rsid w:val="00F61574"/>
    <w:rsid w:val="00F61747"/>
    <w:rsid w:val="00F61910"/>
    <w:rsid w:val="00F61FE5"/>
    <w:rsid w:val="00F62535"/>
    <w:rsid w:val="00F6260C"/>
    <w:rsid w:val="00F62BC9"/>
    <w:rsid w:val="00F62F84"/>
    <w:rsid w:val="00F62FE5"/>
    <w:rsid w:val="00F63CFC"/>
    <w:rsid w:val="00F64064"/>
    <w:rsid w:val="00F6422E"/>
    <w:rsid w:val="00F6439B"/>
    <w:rsid w:val="00F6449E"/>
    <w:rsid w:val="00F6475E"/>
    <w:rsid w:val="00F64855"/>
    <w:rsid w:val="00F64BDB"/>
    <w:rsid w:val="00F64FDF"/>
    <w:rsid w:val="00F651B0"/>
    <w:rsid w:val="00F65298"/>
    <w:rsid w:val="00F652E2"/>
    <w:rsid w:val="00F65344"/>
    <w:rsid w:val="00F6535E"/>
    <w:rsid w:val="00F6543F"/>
    <w:rsid w:val="00F65692"/>
    <w:rsid w:val="00F65841"/>
    <w:rsid w:val="00F659CB"/>
    <w:rsid w:val="00F65B89"/>
    <w:rsid w:val="00F65F41"/>
    <w:rsid w:val="00F6622C"/>
    <w:rsid w:val="00F662B5"/>
    <w:rsid w:val="00F66677"/>
    <w:rsid w:val="00F66734"/>
    <w:rsid w:val="00F66A2E"/>
    <w:rsid w:val="00F66A69"/>
    <w:rsid w:val="00F676E6"/>
    <w:rsid w:val="00F70423"/>
    <w:rsid w:val="00F70602"/>
    <w:rsid w:val="00F7065D"/>
    <w:rsid w:val="00F70C07"/>
    <w:rsid w:val="00F70C63"/>
    <w:rsid w:val="00F70E3B"/>
    <w:rsid w:val="00F71335"/>
    <w:rsid w:val="00F7156A"/>
    <w:rsid w:val="00F7184A"/>
    <w:rsid w:val="00F71904"/>
    <w:rsid w:val="00F719C1"/>
    <w:rsid w:val="00F71C54"/>
    <w:rsid w:val="00F71EE1"/>
    <w:rsid w:val="00F720C9"/>
    <w:rsid w:val="00F720E2"/>
    <w:rsid w:val="00F721CB"/>
    <w:rsid w:val="00F723C0"/>
    <w:rsid w:val="00F728AC"/>
    <w:rsid w:val="00F72AA9"/>
    <w:rsid w:val="00F72F18"/>
    <w:rsid w:val="00F7347F"/>
    <w:rsid w:val="00F73514"/>
    <w:rsid w:val="00F73554"/>
    <w:rsid w:val="00F73816"/>
    <w:rsid w:val="00F7388E"/>
    <w:rsid w:val="00F74A33"/>
    <w:rsid w:val="00F74CE3"/>
    <w:rsid w:val="00F74F66"/>
    <w:rsid w:val="00F75003"/>
    <w:rsid w:val="00F751BE"/>
    <w:rsid w:val="00F751EE"/>
    <w:rsid w:val="00F75641"/>
    <w:rsid w:val="00F756C8"/>
    <w:rsid w:val="00F7595E"/>
    <w:rsid w:val="00F75BEC"/>
    <w:rsid w:val="00F7635B"/>
    <w:rsid w:val="00F76452"/>
    <w:rsid w:val="00F7645A"/>
    <w:rsid w:val="00F76619"/>
    <w:rsid w:val="00F76989"/>
    <w:rsid w:val="00F76ADF"/>
    <w:rsid w:val="00F76BF9"/>
    <w:rsid w:val="00F76E94"/>
    <w:rsid w:val="00F77303"/>
    <w:rsid w:val="00F776C9"/>
    <w:rsid w:val="00F77916"/>
    <w:rsid w:val="00F77A00"/>
    <w:rsid w:val="00F77CF8"/>
    <w:rsid w:val="00F77F2A"/>
    <w:rsid w:val="00F80A6E"/>
    <w:rsid w:val="00F80B12"/>
    <w:rsid w:val="00F8107D"/>
    <w:rsid w:val="00F810EF"/>
    <w:rsid w:val="00F815C4"/>
    <w:rsid w:val="00F817F3"/>
    <w:rsid w:val="00F819BB"/>
    <w:rsid w:val="00F81A75"/>
    <w:rsid w:val="00F81F21"/>
    <w:rsid w:val="00F82B9C"/>
    <w:rsid w:val="00F82D3F"/>
    <w:rsid w:val="00F82FC9"/>
    <w:rsid w:val="00F8323B"/>
    <w:rsid w:val="00F83576"/>
    <w:rsid w:val="00F83F1A"/>
    <w:rsid w:val="00F83FF7"/>
    <w:rsid w:val="00F840A1"/>
    <w:rsid w:val="00F8416D"/>
    <w:rsid w:val="00F846A5"/>
    <w:rsid w:val="00F84740"/>
    <w:rsid w:val="00F848C5"/>
    <w:rsid w:val="00F84A63"/>
    <w:rsid w:val="00F84A78"/>
    <w:rsid w:val="00F85149"/>
    <w:rsid w:val="00F852C1"/>
    <w:rsid w:val="00F8570A"/>
    <w:rsid w:val="00F859F1"/>
    <w:rsid w:val="00F85E96"/>
    <w:rsid w:val="00F86253"/>
    <w:rsid w:val="00F872FC"/>
    <w:rsid w:val="00F87403"/>
    <w:rsid w:val="00F87772"/>
    <w:rsid w:val="00F877AF"/>
    <w:rsid w:val="00F87BB2"/>
    <w:rsid w:val="00F87F28"/>
    <w:rsid w:val="00F90840"/>
    <w:rsid w:val="00F90EC1"/>
    <w:rsid w:val="00F90F84"/>
    <w:rsid w:val="00F91748"/>
    <w:rsid w:val="00F91A10"/>
    <w:rsid w:val="00F91D70"/>
    <w:rsid w:val="00F91E9B"/>
    <w:rsid w:val="00F92297"/>
    <w:rsid w:val="00F92588"/>
    <w:rsid w:val="00F9291D"/>
    <w:rsid w:val="00F92E9E"/>
    <w:rsid w:val="00F930CB"/>
    <w:rsid w:val="00F93561"/>
    <w:rsid w:val="00F9381C"/>
    <w:rsid w:val="00F93899"/>
    <w:rsid w:val="00F94375"/>
    <w:rsid w:val="00F947BE"/>
    <w:rsid w:val="00F95075"/>
    <w:rsid w:val="00F9651C"/>
    <w:rsid w:val="00F96629"/>
    <w:rsid w:val="00F9670E"/>
    <w:rsid w:val="00F96808"/>
    <w:rsid w:val="00F972AD"/>
    <w:rsid w:val="00F972B7"/>
    <w:rsid w:val="00F974B7"/>
    <w:rsid w:val="00F97555"/>
    <w:rsid w:val="00F97587"/>
    <w:rsid w:val="00F97974"/>
    <w:rsid w:val="00F97A4B"/>
    <w:rsid w:val="00F97B63"/>
    <w:rsid w:val="00F97E01"/>
    <w:rsid w:val="00F97E4F"/>
    <w:rsid w:val="00F97FA0"/>
    <w:rsid w:val="00FA03EB"/>
    <w:rsid w:val="00FA0421"/>
    <w:rsid w:val="00FA05E7"/>
    <w:rsid w:val="00FA0E3C"/>
    <w:rsid w:val="00FA1663"/>
    <w:rsid w:val="00FA17C6"/>
    <w:rsid w:val="00FA1C37"/>
    <w:rsid w:val="00FA2177"/>
    <w:rsid w:val="00FA23BB"/>
    <w:rsid w:val="00FA2649"/>
    <w:rsid w:val="00FA267B"/>
    <w:rsid w:val="00FA26F5"/>
    <w:rsid w:val="00FA27F0"/>
    <w:rsid w:val="00FA283E"/>
    <w:rsid w:val="00FA29C3"/>
    <w:rsid w:val="00FA29C8"/>
    <w:rsid w:val="00FA2E3A"/>
    <w:rsid w:val="00FA2FC6"/>
    <w:rsid w:val="00FA36D0"/>
    <w:rsid w:val="00FA3A09"/>
    <w:rsid w:val="00FA3BDE"/>
    <w:rsid w:val="00FA3BE1"/>
    <w:rsid w:val="00FA3C84"/>
    <w:rsid w:val="00FA3CBD"/>
    <w:rsid w:val="00FA43F5"/>
    <w:rsid w:val="00FA47DB"/>
    <w:rsid w:val="00FA4D4B"/>
    <w:rsid w:val="00FA4F5A"/>
    <w:rsid w:val="00FA5067"/>
    <w:rsid w:val="00FA5181"/>
    <w:rsid w:val="00FA5197"/>
    <w:rsid w:val="00FA521E"/>
    <w:rsid w:val="00FA5356"/>
    <w:rsid w:val="00FA5B54"/>
    <w:rsid w:val="00FA5F50"/>
    <w:rsid w:val="00FA6327"/>
    <w:rsid w:val="00FA648A"/>
    <w:rsid w:val="00FA64C2"/>
    <w:rsid w:val="00FA6514"/>
    <w:rsid w:val="00FA678C"/>
    <w:rsid w:val="00FA69DC"/>
    <w:rsid w:val="00FA6BDB"/>
    <w:rsid w:val="00FA7237"/>
    <w:rsid w:val="00FA7360"/>
    <w:rsid w:val="00FA799D"/>
    <w:rsid w:val="00FA7A87"/>
    <w:rsid w:val="00FA7F64"/>
    <w:rsid w:val="00FB025C"/>
    <w:rsid w:val="00FB06D4"/>
    <w:rsid w:val="00FB0731"/>
    <w:rsid w:val="00FB0AD3"/>
    <w:rsid w:val="00FB0BA4"/>
    <w:rsid w:val="00FB0DE5"/>
    <w:rsid w:val="00FB1079"/>
    <w:rsid w:val="00FB126B"/>
    <w:rsid w:val="00FB1612"/>
    <w:rsid w:val="00FB1758"/>
    <w:rsid w:val="00FB19C7"/>
    <w:rsid w:val="00FB1B6A"/>
    <w:rsid w:val="00FB21BD"/>
    <w:rsid w:val="00FB236B"/>
    <w:rsid w:val="00FB2BF4"/>
    <w:rsid w:val="00FB2D24"/>
    <w:rsid w:val="00FB2DD2"/>
    <w:rsid w:val="00FB3297"/>
    <w:rsid w:val="00FB3B10"/>
    <w:rsid w:val="00FB3BFD"/>
    <w:rsid w:val="00FB4381"/>
    <w:rsid w:val="00FB4494"/>
    <w:rsid w:val="00FB44E1"/>
    <w:rsid w:val="00FB454C"/>
    <w:rsid w:val="00FB4A0A"/>
    <w:rsid w:val="00FB4B0A"/>
    <w:rsid w:val="00FB4B3C"/>
    <w:rsid w:val="00FB4DF7"/>
    <w:rsid w:val="00FB586B"/>
    <w:rsid w:val="00FB5DD4"/>
    <w:rsid w:val="00FB5F8A"/>
    <w:rsid w:val="00FB6988"/>
    <w:rsid w:val="00FB7106"/>
    <w:rsid w:val="00FB7292"/>
    <w:rsid w:val="00FB7B10"/>
    <w:rsid w:val="00FB7E71"/>
    <w:rsid w:val="00FC0238"/>
    <w:rsid w:val="00FC07E1"/>
    <w:rsid w:val="00FC07F3"/>
    <w:rsid w:val="00FC08EC"/>
    <w:rsid w:val="00FC0A73"/>
    <w:rsid w:val="00FC0B54"/>
    <w:rsid w:val="00FC0CF8"/>
    <w:rsid w:val="00FC12CB"/>
    <w:rsid w:val="00FC18BC"/>
    <w:rsid w:val="00FC19B0"/>
    <w:rsid w:val="00FC1E61"/>
    <w:rsid w:val="00FC219C"/>
    <w:rsid w:val="00FC225B"/>
    <w:rsid w:val="00FC2697"/>
    <w:rsid w:val="00FC2A1F"/>
    <w:rsid w:val="00FC2A24"/>
    <w:rsid w:val="00FC2F74"/>
    <w:rsid w:val="00FC306C"/>
    <w:rsid w:val="00FC3162"/>
    <w:rsid w:val="00FC3584"/>
    <w:rsid w:val="00FC39D5"/>
    <w:rsid w:val="00FC41B2"/>
    <w:rsid w:val="00FC4668"/>
    <w:rsid w:val="00FC4683"/>
    <w:rsid w:val="00FC4728"/>
    <w:rsid w:val="00FC4C77"/>
    <w:rsid w:val="00FC4C7C"/>
    <w:rsid w:val="00FC50EC"/>
    <w:rsid w:val="00FC52C0"/>
    <w:rsid w:val="00FC57A5"/>
    <w:rsid w:val="00FC5958"/>
    <w:rsid w:val="00FC5A53"/>
    <w:rsid w:val="00FC5B12"/>
    <w:rsid w:val="00FC5B1C"/>
    <w:rsid w:val="00FC5E8B"/>
    <w:rsid w:val="00FC665F"/>
    <w:rsid w:val="00FC68A8"/>
    <w:rsid w:val="00FC69AE"/>
    <w:rsid w:val="00FC72F0"/>
    <w:rsid w:val="00FC757F"/>
    <w:rsid w:val="00FC7A7F"/>
    <w:rsid w:val="00FC7E4A"/>
    <w:rsid w:val="00FD0118"/>
    <w:rsid w:val="00FD028E"/>
    <w:rsid w:val="00FD0816"/>
    <w:rsid w:val="00FD0984"/>
    <w:rsid w:val="00FD0A98"/>
    <w:rsid w:val="00FD0D5B"/>
    <w:rsid w:val="00FD0F10"/>
    <w:rsid w:val="00FD19B4"/>
    <w:rsid w:val="00FD1C48"/>
    <w:rsid w:val="00FD1E39"/>
    <w:rsid w:val="00FD1E81"/>
    <w:rsid w:val="00FD2325"/>
    <w:rsid w:val="00FD2577"/>
    <w:rsid w:val="00FD279C"/>
    <w:rsid w:val="00FD2807"/>
    <w:rsid w:val="00FD288F"/>
    <w:rsid w:val="00FD2A6D"/>
    <w:rsid w:val="00FD31E0"/>
    <w:rsid w:val="00FD3210"/>
    <w:rsid w:val="00FD333B"/>
    <w:rsid w:val="00FD362F"/>
    <w:rsid w:val="00FD3BD2"/>
    <w:rsid w:val="00FD3D44"/>
    <w:rsid w:val="00FD44BF"/>
    <w:rsid w:val="00FD4FFF"/>
    <w:rsid w:val="00FD5184"/>
    <w:rsid w:val="00FD551F"/>
    <w:rsid w:val="00FD5E26"/>
    <w:rsid w:val="00FD5E4F"/>
    <w:rsid w:val="00FD6363"/>
    <w:rsid w:val="00FD6662"/>
    <w:rsid w:val="00FD6AE7"/>
    <w:rsid w:val="00FD6B30"/>
    <w:rsid w:val="00FD6E9D"/>
    <w:rsid w:val="00FD75BF"/>
    <w:rsid w:val="00FD77F5"/>
    <w:rsid w:val="00FD780D"/>
    <w:rsid w:val="00FD790D"/>
    <w:rsid w:val="00FE080B"/>
    <w:rsid w:val="00FE0B25"/>
    <w:rsid w:val="00FE0C2F"/>
    <w:rsid w:val="00FE0D19"/>
    <w:rsid w:val="00FE13B4"/>
    <w:rsid w:val="00FE18DA"/>
    <w:rsid w:val="00FE18FD"/>
    <w:rsid w:val="00FE19C7"/>
    <w:rsid w:val="00FE1B2D"/>
    <w:rsid w:val="00FE1CBC"/>
    <w:rsid w:val="00FE21AF"/>
    <w:rsid w:val="00FE21E0"/>
    <w:rsid w:val="00FE22E6"/>
    <w:rsid w:val="00FE2651"/>
    <w:rsid w:val="00FE298D"/>
    <w:rsid w:val="00FE309C"/>
    <w:rsid w:val="00FE3118"/>
    <w:rsid w:val="00FE33EA"/>
    <w:rsid w:val="00FE372D"/>
    <w:rsid w:val="00FE3E36"/>
    <w:rsid w:val="00FE4066"/>
    <w:rsid w:val="00FE4181"/>
    <w:rsid w:val="00FE4A51"/>
    <w:rsid w:val="00FE4CCF"/>
    <w:rsid w:val="00FE502A"/>
    <w:rsid w:val="00FE5589"/>
    <w:rsid w:val="00FE581A"/>
    <w:rsid w:val="00FE5841"/>
    <w:rsid w:val="00FE5A40"/>
    <w:rsid w:val="00FE5F3C"/>
    <w:rsid w:val="00FE6263"/>
    <w:rsid w:val="00FE6995"/>
    <w:rsid w:val="00FE6DBC"/>
    <w:rsid w:val="00FE703A"/>
    <w:rsid w:val="00FE73C3"/>
    <w:rsid w:val="00FE77CA"/>
    <w:rsid w:val="00FE795F"/>
    <w:rsid w:val="00FE7AD0"/>
    <w:rsid w:val="00FE7B19"/>
    <w:rsid w:val="00FE7BFA"/>
    <w:rsid w:val="00FF0032"/>
    <w:rsid w:val="00FF016E"/>
    <w:rsid w:val="00FF0221"/>
    <w:rsid w:val="00FF06F1"/>
    <w:rsid w:val="00FF0BF9"/>
    <w:rsid w:val="00FF100D"/>
    <w:rsid w:val="00FF103F"/>
    <w:rsid w:val="00FF1F67"/>
    <w:rsid w:val="00FF2644"/>
    <w:rsid w:val="00FF29D8"/>
    <w:rsid w:val="00FF2AE3"/>
    <w:rsid w:val="00FF2C02"/>
    <w:rsid w:val="00FF2C11"/>
    <w:rsid w:val="00FF3616"/>
    <w:rsid w:val="00FF377F"/>
    <w:rsid w:val="00FF3CB8"/>
    <w:rsid w:val="00FF3D7A"/>
    <w:rsid w:val="00FF3DB0"/>
    <w:rsid w:val="00FF4429"/>
    <w:rsid w:val="00FF484E"/>
    <w:rsid w:val="00FF48B9"/>
    <w:rsid w:val="00FF4B8C"/>
    <w:rsid w:val="00FF4C70"/>
    <w:rsid w:val="00FF4D75"/>
    <w:rsid w:val="00FF56A9"/>
    <w:rsid w:val="00FF5A8E"/>
    <w:rsid w:val="00FF5EE9"/>
    <w:rsid w:val="00FF6822"/>
    <w:rsid w:val="00FF761A"/>
    <w:rsid w:val="00FF79CA"/>
    <w:rsid w:val="00FF7BE5"/>
    <w:rsid w:val="010A8C3E"/>
    <w:rsid w:val="010E921D"/>
    <w:rsid w:val="010EBF07"/>
    <w:rsid w:val="013663F9"/>
    <w:rsid w:val="014EB5A8"/>
    <w:rsid w:val="0161613E"/>
    <w:rsid w:val="01643B41"/>
    <w:rsid w:val="01662081"/>
    <w:rsid w:val="01670D00"/>
    <w:rsid w:val="016ABB81"/>
    <w:rsid w:val="0175ABF5"/>
    <w:rsid w:val="017D29B9"/>
    <w:rsid w:val="01A0EADB"/>
    <w:rsid w:val="01A42105"/>
    <w:rsid w:val="01AFF98A"/>
    <w:rsid w:val="01B5DFF0"/>
    <w:rsid w:val="01C109C7"/>
    <w:rsid w:val="01D82D64"/>
    <w:rsid w:val="01DB7AD1"/>
    <w:rsid w:val="01DEE4BE"/>
    <w:rsid w:val="01E1F8B2"/>
    <w:rsid w:val="0204ECA0"/>
    <w:rsid w:val="023352C9"/>
    <w:rsid w:val="0236C5DE"/>
    <w:rsid w:val="02439229"/>
    <w:rsid w:val="02492DA0"/>
    <w:rsid w:val="0251B408"/>
    <w:rsid w:val="0294AB47"/>
    <w:rsid w:val="02B97027"/>
    <w:rsid w:val="02CB7AF6"/>
    <w:rsid w:val="02E83CA3"/>
    <w:rsid w:val="0337910E"/>
    <w:rsid w:val="03548330"/>
    <w:rsid w:val="03680C7A"/>
    <w:rsid w:val="038B843F"/>
    <w:rsid w:val="03E2930A"/>
    <w:rsid w:val="0401D4A6"/>
    <w:rsid w:val="040A384E"/>
    <w:rsid w:val="040AEE24"/>
    <w:rsid w:val="042E05F3"/>
    <w:rsid w:val="04333764"/>
    <w:rsid w:val="0435AE5D"/>
    <w:rsid w:val="044068AA"/>
    <w:rsid w:val="04428CD4"/>
    <w:rsid w:val="04520C04"/>
    <w:rsid w:val="046A54FA"/>
    <w:rsid w:val="047DFADC"/>
    <w:rsid w:val="049171F8"/>
    <w:rsid w:val="0493E18C"/>
    <w:rsid w:val="04AC2ED8"/>
    <w:rsid w:val="04C492D8"/>
    <w:rsid w:val="04C78B06"/>
    <w:rsid w:val="04D12496"/>
    <w:rsid w:val="04F9BFEA"/>
    <w:rsid w:val="0501580D"/>
    <w:rsid w:val="053AE1E6"/>
    <w:rsid w:val="057257EB"/>
    <w:rsid w:val="059B922B"/>
    <w:rsid w:val="05BBF3D2"/>
    <w:rsid w:val="060B791E"/>
    <w:rsid w:val="0622E4DF"/>
    <w:rsid w:val="063A58FB"/>
    <w:rsid w:val="064E1223"/>
    <w:rsid w:val="06571577"/>
    <w:rsid w:val="065EA68A"/>
    <w:rsid w:val="0686C37D"/>
    <w:rsid w:val="0689E94D"/>
    <w:rsid w:val="06D60314"/>
    <w:rsid w:val="06F13F42"/>
    <w:rsid w:val="06F7EC78"/>
    <w:rsid w:val="07470D4B"/>
    <w:rsid w:val="0750A28C"/>
    <w:rsid w:val="0761B657"/>
    <w:rsid w:val="07664FA3"/>
    <w:rsid w:val="078F0A63"/>
    <w:rsid w:val="07C67903"/>
    <w:rsid w:val="07CB4E00"/>
    <w:rsid w:val="07D33D33"/>
    <w:rsid w:val="07D35D24"/>
    <w:rsid w:val="07DDC709"/>
    <w:rsid w:val="07E4AF3D"/>
    <w:rsid w:val="07F36911"/>
    <w:rsid w:val="07F37945"/>
    <w:rsid w:val="07F511D0"/>
    <w:rsid w:val="08049944"/>
    <w:rsid w:val="080A137C"/>
    <w:rsid w:val="080DA4EC"/>
    <w:rsid w:val="0810E2A9"/>
    <w:rsid w:val="0816F6D4"/>
    <w:rsid w:val="084392A5"/>
    <w:rsid w:val="084CCBB0"/>
    <w:rsid w:val="08648D33"/>
    <w:rsid w:val="086A1888"/>
    <w:rsid w:val="086EB67E"/>
    <w:rsid w:val="0893EAD3"/>
    <w:rsid w:val="08AAD324"/>
    <w:rsid w:val="08AFAC5C"/>
    <w:rsid w:val="08CCE18D"/>
    <w:rsid w:val="08EA62C9"/>
    <w:rsid w:val="08EF6857"/>
    <w:rsid w:val="08F12E7A"/>
    <w:rsid w:val="08F62178"/>
    <w:rsid w:val="09024A4B"/>
    <w:rsid w:val="09077E76"/>
    <w:rsid w:val="09089CD5"/>
    <w:rsid w:val="0914CC92"/>
    <w:rsid w:val="091C07A1"/>
    <w:rsid w:val="09247ED7"/>
    <w:rsid w:val="09385F84"/>
    <w:rsid w:val="094B6C0F"/>
    <w:rsid w:val="096F38A4"/>
    <w:rsid w:val="097787EC"/>
    <w:rsid w:val="0978540E"/>
    <w:rsid w:val="098A630B"/>
    <w:rsid w:val="09B81530"/>
    <w:rsid w:val="09DE843C"/>
    <w:rsid w:val="09E7BA07"/>
    <w:rsid w:val="09EE017E"/>
    <w:rsid w:val="09FE37AD"/>
    <w:rsid w:val="0A0C8A20"/>
    <w:rsid w:val="0A178318"/>
    <w:rsid w:val="0A1BC30E"/>
    <w:rsid w:val="0A1F339F"/>
    <w:rsid w:val="0A5A85FC"/>
    <w:rsid w:val="0A5E5E91"/>
    <w:rsid w:val="0A6B1F94"/>
    <w:rsid w:val="0A797976"/>
    <w:rsid w:val="0AD4AE17"/>
    <w:rsid w:val="0ADFDED8"/>
    <w:rsid w:val="0B083E28"/>
    <w:rsid w:val="0B0CA1BE"/>
    <w:rsid w:val="0B25E14C"/>
    <w:rsid w:val="0B28EEDD"/>
    <w:rsid w:val="0B47CEF2"/>
    <w:rsid w:val="0BA89CC9"/>
    <w:rsid w:val="0BB50C1F"/>
    <w:rsid w:val="0BCF12E1"/>
    <w:rsid w:val="0C089FAC"/>
    <w:rsid w:val="0C3BCC26"/>
    <w:rsid w:val="0C3DC33F"/>
    <w:rsid w:val="0C516FC7"/>
    <w:rsid w:val="0C5580FB"/>
    <w:rsid w:val="0C663910"/>
    <w:rsid w:val="0C9370AB"/>
    <w:rsid w:val="0C9B5CB3"/>
    <w:rsid w:val="0CABB559"/>
    <w:rsid w:val="0CBBAC1A"/>
    <w:rsid w:val="0CD13C0A"/>
    <w:rsid w:val="0CEE02CF"/>
    <w:rsid w:val="0CF9DAE1"/>
    <w:rsid w:val="0CFF79DB"/>
    <w:rsid w:val="0D06E54A"/>
    <w:rsid w:val="0D131167"/>
    <w:rsid w:val="0DA15B56"/>
    <w:rsid w:val="0DB955E6"/>
    <w:rsid w:val="0DD85F03"/>
    <w:rsid w:val="0DE322C8"/>
    <w:rsid w:val="0DE74808"/>
    <w:rsid w:val="0E28C3CC"/>
    <w:rsid w:val="0E4A0876"/>
    <w:rsid w:val="0E527D17"/>
    <w:rsid w:val="0E5C44F4"/>
    <w:rsid w:val="0E6CAA31"/>
    <w:rsid w:val="0E77DA87"/>
    <w:rsid w:val="0E8023BF"/>
    <w:rsid w:val="0EA1F045"/>
    <w:rsid w:val="0EBA3E9E"/>
    <w:rsid w:val="0EC4410B"/>
    <w:rsid w:val="0EDAEE11"/>
    <w:rsid w:val="0EE392AA"/>
    <w:rsid w:val="0EF89D3A"/>
    <w:rsid w:val="0F15BC3D"/>
    <w:rsid w:val="0F23C0D3"/>
    <w:rsid w:val="0F24E1B7"/>
    <w:rsid w:val="0F4304C4"/>
    <w:rsid w:val="0F4AA41E"/>
    <w:rsid w:val="0F6097A7"/>
    <w:rsid w:val="0F6BF172"/>
    <w:rsid w:val="0F756B1F"/>
    <w:rsid w:val="0FAA1B76"/>
    <w:rsid w:val="0FEA2C5C"/>
    <w:rsid w:val="0FF72C48"/>
    <w:rsid w:val="101B1779"/>
    <w:rsid w:val="10339FF2"/>
    <w:rsid w:val="105B0B6D"/>
    <w:rsid w:val="10948F69"/>
    <w:rsid w:val="109E39D5"/>
    <w:rsid w:val="10C0EEAD"/>
    <w:rsid w:val="10E67558"/>
    <w:rsid w:val="10E8DC91"/>
    <w:rsid w:val="10EAD9D3"/>
    <w:rsid w:val="11059B2B"/>
    <w:rsid w:val="11125F53"/>
    <w:rsid w:val="11224D7A"/>
    <w:rsid w:val="11263F53"/>
    <w:rsid w:val="1130015B"/>
    <w:rsid w:val="1142E91C"/>
    <w:rsid w:val="1180AD29"/>
    <w:rsid w:val="119339F9"/>
    <w:rsid w:val="11983707"/>
    <w:rsid w:val="119A7F38"/>
    <w:rsid w:val="11EA6E3B"/>
    <w:rsid w:val="12060364"/>
    <w:rsid w:val="122EFD47"/>
    <w:rsid w:val="12430993"/>
    <w:rsid w:val="125482F8"/>
    <w:rsid w:val="12553E88"/>
    <w:rsid w:val="1255EEFE"/>
    <w:rsid w:val="125D0763"/>
    <w:rsid w:val="125FAFC5"/>
    <w:rsid w:val="126244D2"/>
    <w:rsid w:val="1272E47F"/>
    <w:rsid w:val="1288C67A"/>
    <w:rsid w:val="1292FD24"/>
    <w:rsid w:val="12A5F18C"/>
    <w:rsid w:val="12A7578F"/>
    <w:rsid w:val="12BAA07D"/>
    <w:rsid w:val="12BB5324"/>
    <w:rsid w:val="12D17FA5"/>
    <w:rsid w:val="12D58BD6"/>
    <w:rsid w:val="130DF840"/>
    <w:rsid w:val="130EF61E"/>
    <w:rsid w:val="1317A846"/>
    <w:rsid w:val="131A5BA2"/>
    <w:rsid w:val="133470A2"/>
    <w:rsid w:val="13546BD9"/>
    <w:rsid w:val="13571D61"/>
    <w:rsid w:val="135B852A"/>
    <w:rsid w:val="136084E3"/>
    <w:rsid w:val="136E2296"/>
    <w:rsid w:val="13798DA2"/>
    <w:rsid w:val="138D1EB9"/>
    <w:rsid w:val="138D3F1D"/>
    <w:rsid w:val="13B72BD6"/>
    <w:rsid w:val="13C65589"/>
    <w:rsid w:val="13DCE1A0"/>
    <w:rsid w:val="13F65432"/>
    <w:rsid w:val="141EE44F"/>
    <w:rsid w:val="1425E02C"/>
    <w:rsid w:val="14365E43"/>
    <w:rsid w:val="144DF2C8"/>
    <w:rsid w:val="1460116E"/>
    <w:rsid w:val="14689C20"/>
    <w:rsid w:val="149A1E67"/>
    <w:rsid w:val="149C3D1E"/>
    <w:rsid w:val="14C15297"/>
    <w:rsid w:val="14EDDC08"/>
    <w:rsid w:val="14EE8EA9"/>
    <w:rsid w:val="150EED8E"/>
    <w:rsid w:val="154E0F1F"/>
    <w:rsid w:val="154E9CA3"/>
    <w:rsid w:val="1558E7A8"/>
    <w:rsid w:val="15704EB2"/>
    <w:rsid w:val="15768DE1"/>
    <w:rsid w:val="157D3A54"/>
    <w:rsid w:val="1584FA95"/>
    <w:rsid w:val="15860BE0"/>
    <w:rsid w:val="15A0B536"/>
    <w:rsid w:val="15A52AA1"/>
    <w:rsid w:val="15D3DC9B"/>
    <w:rsid w:val="15DA129C"/>
    <w:rsid w:val="15DEA9F9"/>
    <w:rsid w:val="15E0BEAB"/>
    <w:rsid w:val="15FB538A"/>
    <w:rsid w:val="15FCA2E0"/>
    <w:rsid w:val="16360DB5"/>
    <w:rsid w:val="1661280F"/>
    <w:rsid w:val="167C5DF7"/>
    <w:rsid w:val="168DF99C"/>
    <w:rsid w:val="1694F7E3"/>
    <w:rsid w:val="1697D7B3"/>
    <w:rsid w:val="16A39CBD"/>
    <w:rsid w:val="16C440FB"/>
    <w:rsid w:val="16CC3A48"/>
    <w:rsid w:val="16F04E47"/>
    <w:rsid w:val="170433FE"/>
    <w:rsid w:val="17133CF2"/>
    <w:rsid w:val="17261044"/>
    <w:rsid w:val="17382840"/>
    <w:rsid w:val="173C191E"/>
    <w:rsid w:val="17456CE3"/>
    <w:rsid w:val="175D9078"/>
    <w:rsid w:val="17701552"/>
    <w:rsid w:val="17AF05FD"/>
    <w:rsid w:val="17B033E6"/>
    <w:rsid w:val="1807946A"/>
    <w:rsid w:val="18127ACE"/>
    <w:rsid w:val="1813AF7F"/>
    <w:rsid w:val="188053F8"/>
    <w:rsid w:val="188A7478"/>
    <w:rsid w:val="189040D2"/>
    <w:rsid w:val="18A48D86"/>
    <w:rsid w:val="18BFA3B7"/>
    <w:rsid w:val="18E0228B"/>
    <w:rsid w:val="18F22C6C"/>
    <w:rsid w:val="191B79E0"/>
    <w:rsid w:val="1930674B"/>
    <w:rsid w:val="193D1931"/>
    <w:rsid w:val="194040F1"/>
    <w:rsid w:val="1944FF12"/>
    <w:rsid w:val="195B9D28"/>
    <w:rsid w:val="197DDDE3"/>
    <w:rsid w:val="1983EFB9"/>
    <w:rsid w:val="1998AA49"/>
    <w:rsid w:val="199B9A41"/>
    <w:rsid w:val="199E4221"/>
    <w:rsid w:val="19D096A8"/>
    <w:rsid w:val="19DB3C09"/>
    <w:rsid w:val="19DFA2FA"/>
    <w:rsid w:val="19F9705C"/>
    <w:rsid w:val="19FDE290"/>
    <w:rsid w:val="1A113089"/>
    <w:rsid w:val="1A1C01D7"/>
    <w:rsid w:val="1A7FD469"/>
    <w:rsid w:val="1A92D2FB"/>
    <w:rsid w:val="1A9316CD"/>
    <w:rsid w:val="1A99A044"/>
    <w:rsid w:val="1A9CEB21"/>
    <w:rsid w:val="1AA42FAF"/>
    <w:rsid w:val="1AABF3D7"/>
    <w:rsid w:val="1AADB8A5"/>
    <w:rsid w:val="1ADB8353"/>
    <w:rsid w:val="1B28C187"/>
    <w:rsid w:val="1B41B7A2"/>
    <w:rsid w:val="1B64ED47"/>
    <w:rsid w:val="1B6A76AA"/>
    <w:rsid w:val="1B710BD0"/>
    <w:rsid w:val="1B81D9E6"/>
    <w:rsid w:val="1BC21B23"/>
    <w:rsid w:val="1BC27DC1"/>
    <w:rsid w:val="1BC942F0"/>
    <w:rsid w:val="1BD936FD"/>
    <w:rsid w:val="1BE56598"/>
    <w:rsid w:val="1C0298DF"/>
    <w:rsid w:val="1C0DEE89"/>
    <w:rsid w:val="1C179665"/>
    <w:rsid w:val="1C1B4CC9"/>
    <w:rsid w:val="1C204297"/>
    <w:rsid w:val="1C398C8D"/>
    <w:rsid w:val="1C469FE7"/>
    <w:rsid w:val="1C53A187"/>
    <w:rsid w:val="1C6FA9D4"/>
    <w:rsid w:val="1CB8F244"/>
    <w:rsid w:val="1CB911B6"/>
    <w:rsid w:val="1CC08D35"/>
    <w:rsid w:val="1CCAE488"/>
    <w:rsid w:val="1CE1A08F"/>
    <w:rsid w:val="1CFD68C4"/>
    <w:rsid w:val="1D10EA10"/>
    <w:rsid w:val="1D146D06"/>
    <w:rsid w:val="1D2BFD8C"/>
    <w:rsid w:val="1D322D1B"/>
    <w:rsid w:val="1D342DEF"/>
    <w:rsid w:val="1D39AC53"/>
    <w:rsid w:val="1D46ADC1"/>
    <w:rsid w:val="1D478908"/>
    <w:rsid w:val="1D556CD8"/>
    <w:rsid w:val="1D787A65"/>
    <w:rsid w:val="1D9D85D7"/>
    <w:rsid w:val="1DAAA970"/>
    <w:rsid w:val="1DCD6DE2"/>
    <w:rsid w:val="1DD1A8F0"/>
    <w:rsid w:val="1DDDF40F"/>
    <w:rsid w:val="1DED8C37"/>
    <w:rsid w:val="1DF22C42"/>
    <w:rsid w:val="1DFA4F77"/>
    <w:rsid w:val="1E20BC4A"/>
    <w:rsid w:val="1E2DBF43"/>
    <w:rsid w:val="1E37FA1C"/>
    <w:rsid w:val="1E86DA18"/>
    <w:rsid w:val="1EDD63BF"/>
    <w:rsid w:val="1EEF0595"/>
    <w:rsid w:val="1EF0D82B"/>
    <w:rsid w:val="1EF21BA5"/>
    <w:rsid w:val="1F010410"/>
    <w:rsid w:val="1F061275"/>
    <w:rsid w:val="1F188E83"/>
    <w:rsid w:val="1F1B690E"/>
    <w:rsid w:val="1F1D7ABD"/>
    <w:rsid w:val="1F2C5526"/>
    <w:rsid w:val="1F37C4A5"/>
    <w:rsid w:val="1F3BB18F"/>
    <w:rsid w:val="1F3C1A44"/>
    <w:rsid w:val="1F5D1151"/>
    <w:rsid w:val="1F89592D"/>
    <w:rsid w:val="1FC2254C"/>
    <w:rsid w:val="2004037D"/>
    <w:rsid w:val="200DD6FE"/>
    <w:rsid w:val="200EE0DA"/>
    <w:rsid w:val="2017554B"/>
    <w:rsid w:val="201CB795"/>
    <w:rsid w:val="201D7342"/>
    <w:rsid w:val="2020945C"/>
    <w:rsid w:val="20286830"/>
    <w:rsid w:val="202A891E"/>
    <w:rsid w:val="207B40C8"/>
    <w:rsid w:val="20A72381"/>
    <w:rsid w:val="20D8C5AF"/>
    <w:rsid w:val="20DFAFBA"/>
    <w:rsid w:val="20E32081"/>
    <w:rsid w:val="210742CE"/>
    <w:rsid w:val="210E56CC"/>
    <w:rsid w:val="2122C016"/>
    <w:rsid w:val="213B1D4F"/>
    <w:rsid w:val="2145CE76"/>
    <w:rsid w:val="215F69F2"/>
    <w:rsid w:val="2175AE78"/>
    <w:rsid w:val="2183FC80"/>
    <w:rsid w:val="21ACA49F"/>
    <w:rsid w:val="21C499B5"/>
    <w:rsid w:val="21D26583"/>
    <w:rsid w:val="21D2BB39"/>
    <w:rsid w:val="21D2CB88"/>
    <w:rsid w:val="21EA2BEC"/>
    <w:rsid w:val="21EE4ED1"/>
    <w:rsid w:val="2244E2C7"/>
    <w:rsid w:val="225D4AEB"/>
    <w:rsid w:val="22C1B479"/>
    <w:rsid w:val="22FB5D05"/>
    <w:rsid w:val="22FD81DB"/>
    <w:rsid w:val="23085D13"/>
    <w:rsid w:val="2319BE07"/>
    <w:rsid w:val="234C2196"/>
    <w:rsid w:val="23531468"/>
    <w:rsid w:val="23756D19"/>
    <w:rsid w:val="237A9F49"/>
    <w:rsid w:val="237DEB9C"/>
    <w:rsid w:val="238A640B"/>
    <w:rsid w:val="23AC5499"/>
    <w:rsid w:val="23BDC650"/>
    <w:rsid w:val="23E03085"/>
    <w:rsid w:val="23FE2DD4"/>
    <w:rsid w:val="24028765"/>
    <w:rsid w:val="2405FE78"/>
    <w:rsid w:val="241BF790"/>
    <w:rsid w:val="244368B0"/>
    <w:rsid w:val="24446F6E"/>
    <w:rsid w:val="2459D166"/>
    <w:rsid w:val="2466B762"/>
    <w:rsid w:val="24949B77"/>
    <w:rsid w:val="2499CE36"/>
    <w:rsid w:val="249A0D00"/>
    <w:rsid w:val="24C8E78E"/>
    <w:rsid w:val="24F4A0A6"/>
    <w:rsid w:val="250161D6"/>
    <w:rsid w:val="25141D0E"/>
    <w:rsid w:val="2529F4A2"/>
    <w:rsid w:val="253439CD"/>
    <w:rsid w:val="253AE888"/>
    <w:rsid w:val="253C80C9"/>
    <w:rsid w:val="254CB4CA"/>
    <w:rsid w:val="255943AF"/>
    <w:rsid w:val="255D1150"/>
    <w:rsid w:val="2567C2F7"/>
    <w:rsid w:val="2572E9F0"/>
    <w:rsid w:val="25842737"/>
    <w:rsid w:val="25873C06"/>
    <w:rsid w:val="258CCA86"/>
    <w:rsid w:val="258F61D2"/>
    <w:rsid w:val="25A58F42"/>
    <w:rsid w:val="25AC2374"/>
    <w:rsid w:val="25C938A5"/>
    <w:rsid w:val="25E0A797"/>
    <w:rsid w:val="25F0FEAF"/>
    <w:rsid w:val="260184E7"/>
    <w:rsid w:val="262DA5A1"/>
    <w:rsid w:val="2640AB3E"/>
    <w:rsid w:val="2684E3E0"/>
    <w:rsid w:val="268D3C7E"/>
    <w:rsid w:val="269BFA45"/>
    <w:rsid w:val="26EB9A92"/>
    <w:rsid w:val="26F16509"/>
    <w:rsid w:val="26F215CE"/>
    <w:rsid w:val="2709C4BF"/>
    <w:rsid w:val="27123727"/>
    <w:rsid w:val="272F4CF5"/>
    <w:rsid w:val="273302A3"/>
    <w:rsid w:val="2753B214"/>
    <w:rsid w:val="275ADB01"/>
    <w:rsid w:val="275E902D"/>
    <w:rsid w:val="27AA47F3"/>
    <w:rsid w:val="27B87581"/>
    <w:rsid w:val="27C1C6BC"/>
    <w:rsid w:val="27D53FB2"/>
    <w:rsid w:val="27E0310B"/>
    <w:rsid w:val="27E721E7"/>
    <w:rsid w:val="27EBE335"/>
    <w:rsid w:val="28370A26"/>
    <w:rsid w:val="284133ED"/>
    <w:rsid w:val="2846A076"/>
    <w:rsid w:val="2848A296"/>
    <w:rsid w:val="284C1418"/>
    <w:rsid w:val="284E2198"/>
    <w:rsid w:val="285ABEA8"/>
    <w:rsid w:val="28950B3F"/>
    <w:rsid w:val="28964FA5"/>
    <w:rsid w:val="28ECDB8F"/>
    <w:rsid w:val="292D1DD5"/>
    <w:rsid w:val="2965676D"/>
    <w:rsid w:val="29673227"/>
    <w:rsid w:val="2974BAAE"/>
    <w:rsid w:val="2980F8B0"/>
    <w:rsid w:val="29A714F3"/>
    <w:rsid w:val="29B36188"/>
    <w:rsid w:val="29B96926"/>
    <w:rsid w:val="29BFBEF2"/>
    <w:rsid w:val="29E7191F"/>
    <w:rsid w:val="29E77216"/>
    <w:rsid w:val="29EB20B0"/>
    <w:rsid w:val="29F7D0DF"/>
    <w:rsid w:val="2A24FAD3"/>
    <w:rsid w:val="2A3741AC"/>
    <w:rsid w:val="2A445A26"/>
    <w:rsid w:val="2A5CD696"/>
    <w:rsid w:val="2A6AABDB"/>
    <w:rsid w:val="2A6E2F92"/>
    <w:rsid w:val="2A815D87"/>
    <w:rsid w:val="2AB7A7EF"/>
    <w:rsid w:val="2AB99752"/>
    <w:rsid w:val="2ADF75DF"/>
    <w:rsid w:val="2AF4DD45"/>
    <w:rsid w:val="2AFCCA0F"/>
    <w:rsid w:val="2B001267"/>
    <w:rsid w:val="2B08D74F"/>
    <w:rsid w:val="2B1010A0"/>
    <w:rsid w:val="2B1B9842"/>
    <w:rsid w:val="2B3795A4"/>
    <w:rsid w:val="2B4279ED"/>
    <w:rsid w:val="2B489EF1"/>
    <w:rsid w:val="2B575C7B"/>
    <w:rsid w:val="2B5B3F54"/>
    <w:rsid w:val="2B5EE0D0"/>
    <w:rsid w:val="2B60C803"/>
    <w:rsid w:val="2B64B640"/>
    <w:rsid w:val="2B6AAE05"/>
    <w:rsid w:val="2B71B56D"/>
    <w:rsid w:val="2BAA545F"/>
    <w:rsid w:val="2BBEB859"/>
    <w:rsid w:val="2BCC3EE9"/>
    <w:rsid w:val="2C19165D"/>
    <w:rsid w:val="2C2C7309"/>
    <w:rsid w:val="2C30DE3D"/>
    <w:rsid w:val="2C337ECF"/>
    <w:rsid w:val="2C684F49"/>
    <w:rsid w:val="2C75D08C"/>
    <w:rsid w:val="2C82DE2E"/>
    <w:rsid w:val="2C95D552"/>
    <w:rsid w:val="2CB4DC2B"/>
    <w:rsid w:val="2CBFFAD6"/>
    <w:rsid w:val="2CF0157D"/>
    <w:rsid w:val="2CFAB10A"/>
    <w:rsid w:val="2D17C85F"/>
    <w:rsid w:val="2D1A7BE0"/>
    <w:rsid w:val="2D5DCEEB"/>
    <w:rsid w:val="2D6819D0"/>
    <w:rsid w:val="2D707A2D"/>
    <w:rsid w:val="2D720154"/>
    <w:rsid w:val="2D90BE9E"/>
    <w:rsid w:val="2D97ED5D"/>
    <w:rsid w:val="2D9BA0EA"/>
    <w:rsid w:val="2DD1EAC2"/>
    <w:rsid w:val="2DD9635B"/>
    <w:rsid w:val="2DDE3ECD"/>
    <w:rsid w:val="2DE75995"/>
    <w:rsid w:val="2DEC02AE"/>
    <w:rsid w:val="2DEC951A"/>
    <w:rsid w:val="2E0078A4"/>
    <w:rsid w:val="2E1558CE"/>
    <w:rsid w:val="2E2369C5"/>
    <w:rsid w:val="2E288D05"/>
    <w:rsid w:val="2E49AE46"/>
    <w:rsid w:val="2E50E2C3"/>
    <w:rsid w:val="2E56BDAD"/>
    <w:rsid w:val="2E597054"/>
    <w:rsid w:val="2E6E49E2"/>
    <w:rsid w:val="2E7D054D"/>
    <w:rsid w:val="2E880604"/>
    <w:rsid w:val="2EB97D33"/>
    <w:rsid w:val="2EBC04B4"/>
    <w:rsid w:val="2EE5F912"/>
    <w:rsid w:val="2EEACFB6"/>
    <w:rsid w:val="2EFB876A"/>
    <w:rsid w:val="2F058996"/>
    <w:rsid w:val="2F28CF76"/>
    <w:rsid w:val="2F3308E6"/>
    <w:rsid w:val="2F334370"/>
    <w:rsid w:val="2F600A2A"/>
    <w:rsid w:val="2F6A3991"/>
    <w:rsid w:val="2F6E1D14"/>
    <w:rsid w:val="2F825178"/>
    <w:rsid w:val="2F8E3934"/>
    <w:rsid w:val="2FA9BB68"/>
    <w:rsid w:val="2FC77BC2"/>
    <w:rsid w:val="2FC816D6"/>
    <w:rsid w:val="2FCDB86E"/>
    <w:rsid w:val="2FF4074F"/>
    <w:rsid w:val="301E3A77"/>
    <w:rsid w:val="30577795"/>
    <w:rsid w:val="305D40D4"/>
    <w:rsid w:val="305FD0CC"/>
    <w:rsid w:val="306BACCC"/>
    <w:rsid w:val="308D8205"/>
    <w:rsid w:val="3090CF78"/>
    <w:rsid w:val="30918CF7"/>
    <w:rsid w:val="309B2BE9"/>
    <w:rsid w:val="30A08A9A"/>
    <w:rsid w:val="30AC95BD"/>
    <w:rsid w:val="30B3CC3F"/>
    <w:rsid w:val="311996E3"/>
    <w:rsid w:val="3119ECEF"/>
    <w:rsid w:val="311B7967"/>
    <w:rsid w:val="3121089D"/>
    <w:rsid w:val="31231075"/>
    <w:rsid w:val="312F2619"/>
    <w:rsid w:val="31392441"/>
    <w:rsid w:val="314116DD"/>
    <w:rsid w:val="3149C0D5"/>
    <w:rsid w:val="3197BC66"/>
    <w:rsid w:val="31BCBD27"/>
    <w:rsid w:val="31C9D917"/>
    <w:rsid w:val="31D075F8"/>
    <w:rsid w:val="31DCFAC2"/>
    <w:rsid w:val="31EF183D"/>
    <w:rsid w:val="32107C20"/>
    <w:rsid w:val="32187C01"/>
    <w:rsid w:val="3220A200"/>
    <w:rsid w:val="32239C74"/>
    <w:rsid w:val="3232C61A"/>
    <w:rsid w:val="3233F679"/>
    <w:rsid w:val="324748E2"/>
    <w:rsid w:val="325F2B2B"/>
    <w:rsid w:val="3263D5BA"/>
    <w:rsid w:val="32BBAFB5"/>
    <w:rsid w:val="32D0C70F"/>
    <w:rsid w:val="32D7F22F"/>
    <w:rsid w:val="32DB8AF3"/>
    <w:rsid w:val="32F44C9F"/>
    <w:rsid w:val="330AE138"/>
    <w:rsid w:val="331B8EE8"/>
    <w:rsid w:val="331BF525"/>
    <w:rsid w:val="333ACA04"/>
    <w:rsid w:val="336F8FE3"/>
    <w:rsid w:val="33874268"/>
    <w:rsid w:val="338C3957"/>
    <w:rsid w:val="3391BD32"/>
    <w:rsid w:val="3396B7D4"/>
    <w:rsid w:val="33A5E096"/>
    <w:rsid w:val="33ADAA9A"/>
    <w:rsid w:val="33ADD6AB"/>
    <w:rsid w:val="33B27623"/>
    <w:rsid w:val="33B5C2A5"/>
    <w:rsid w:val="33D03436"/>
    <w:rsid w:val="33D31E2E"/>
    <w:rsid w:val="33E5D492"/>
    <w:rsid w:val="33EAC1FD"/>
    <w:rsid w:val="340F33EF"/>
    <w:rsid w:val="3410436C"/>
    <w:rsid w:val="3412FAC3"/>
    <w:rsid w:val="34192B3B"/>
    <w:rsid w:val="3427099F"/>
    <w:rsid w:val="34333703"/>
    <w:rsid w:val="34387FBA"/>
    <w:rsid w:val="344D19EE"/>
    <w:rsid w:val="344F2787"/>
    <w:rsid w:val="345325E5"/>
    <w:rsid w:val="34567823"/>
    <w:rsid w:val="3477C926"/>
    <w:rsid w:val="3483A7A8"/>
    <w:rsid w:val="349036EE"/>
    <w:rsid w:val="34A39F87"/>
    <w:rsid w:val="34C38849"/>
    <w:rsid w:val="34C4D163"/>
    <w:rsid w:val="34CF650D"/>
    <w:rsid w:val="34E4FFB8"/>
    <w:rsid w:val="35006563"/>
    <w:rsid w:val="351554A5"/>
    <w:rsid w:val="351C1697"/>
    <w:rsid w:val="351C7F9F"/>
    <w:rsid w:val="351CC74A"/>
    <w:rsid w:val="3521150A"/>
    <w:rsid w:val="35305705"/>
    <w:rsid w:val="357EBD56"/>
    <w:rsid w:val="35ACB94D"/>
    <w:rsid w:val="35F057EB"/>
    <w:rsid w:val="35FE7B66"/>
    <w:rsid w:val="3603DF97"/>
    <w:rsid w:val="360C3AFD"/>
    <w:rsid w:val="3614FB5E"/>
    <w:rsid w:val="3658A86A"/>
    <w:rsid w:val="365A1850"/>
    <w:rsid w:val="365BFFAC"/>
    <w:rsid w:val="365FBC72"/>
    <w:rsid w:val="3665F270"/>
    <w:rsid w:val="366919A1"/>
    <w:rsid w:val="3683AE81"/>
    <w:rsid w:val="3698EE6C"/>
    <w:rsid w:val="36AF983F"/>
    <w:rsid w:val="36FE5A6A"/>
    <w:rsid w:val="37018C0C"/>
    <w:rsid w:val="379D31A3"/>
    <w:rsid w:val="37BB3162"/>
    <w:rsid w:val="37ED17C1"/>
    <w:rsid w:val="380C6FE5"/>
    <w:rsid w:val="38248237"/>
    <w:rsid w:val="383E4166"/>
    <w:rsid w:val="38540DAF"/>
    <w:rsid w:val="3862C47B"/>
    <w:rsid w:val="38769789"/>
    <w:rsid w:val="3880C2AD"/>
    <w:rsid w:val="38852508"/>
    <w:rsid w:val="38B91DDE"/>
    <w:rsid w:val="38C6C5E9"/>
    <w:rsid w:val="38C74ACB"/>
    <w:rsid w:val="391A5BB6"/>
    <w:rsid w:val="394C803F"/>
    <w:rsid w:val="3950A23E"/>
    <w:rsid w:val="3959127D"/>
    <w:rsid w:val="395E2E65"/>
    <w:rsid w:val="396228BF"/>
    <w:rsid w:val="3971703C"/>
    <w:rsid w:val="3978E043"/>
    <w:rsid w:val="398B8290"/>
    <w:rsid w:val="399371C1"/>
    <w:rsid w:val="39D6B4F0"/>
    <w:rsid w:val="39E2C2DA"/>
    <w:rsid w:val="3A1B4B8F"/>
    <w:rsid w:val="3A4031B1"/>
    <w:rsid w:val="3A447D65"/>
    <w:rsid w:val="3A49C1B7"/>
    <w:rsid w:val="3A6A8E42"/>
    <w:rsid w:val="3AAC5723"/>
    <w:rsid w:val="3AB830D9"/>
    <w:rsid w:val="3AC7AD89"/>
    <w:rsid w:val="3AE35583"/>
    <w:rsid w:val="3B153A93"/>
    <w:rsid w:val="3B1EEA36"/>
    <w:rsid w:val="3B2CE2A0"/>
    <w:rsid w:val="3B50D150"/>
    <w:rsid w:val="3B6D7D21"/>
    <w:rsid w:val="3B8805E9"/>
    <w:rsid w:val="3B8C9369"/>
    <w:rsid w:val="3BAC8D15"/>
    <w:rsid w:val="3BDA06E7"/>
    <w:rsid w:val="3BDC171E"/>
    <w:rsid w:val="3BF1404F"/>
    <w:rsid w:val="3C01344E"/>
    <w:rsid w:val="3C1BE078"/>
    <w:rsid w:val="3C252387"/>
    <w:rsid w:val="3C2880AD"/>
    <w:rsid w:val="3C322C64"/>
    <w:rsid w:val="3C4353EA"/>
    <w:rsid w:val="3C50AFFD"/>
    <w:rsid w:val="3C65544A"/>
    <w:rsid w:val="3CAB5E90"/>
    <w:rsid w:val="3D07977B"/>
    <w:rsid w:val="3D185C81"/>
    <w:rsid w:val="3D26E841"/>
    <w:rsid w:val="3D2920D8"/>
    <w:rsid w:val="3D4714DA"/>
    <w:rsid w:val="3D526164"/>
    <w:rsid w:val="3D531736"/>
    <w:rsid w:val="3D6BBBA6"/>
    <w:rsid w:val="3D7B9100"/>
    <w:rsid w:val="3D7BF391"/>
    <w:rsid w:val="3D98F589"/>
    <w:rsid w:val="3DB71971"/>
    <w:rsid w:val="3DE16093"/>
    <w:rsid w:val="3DEAD8BE"/>
    <w:rsid w:val="3E0DFB39"/>
    <w:rsid w:val="3E36473F"/>
    <w:rsid w:val="3E3B63EA"/>
    <w:rsid w:val="3E4944C7"/>
    <w:rsid w:val="3E496280"/>
    <w:rsid w:val="3E8A4D84"/>
    <w:rsid w:val="3E95BF31"/>
    <w:rsid w:val="3E9E1EB1"/>
    <w:rsid w:val="3EC60173"/>
    <w:rsid w:val="3EC793FB"/>
    <w:rsid w:val="3ED6FCE5"/>
    <w:rsid w:val="3EE29515"/>
    <w:rsid w:val="3EF8DF5F"/>
    <w:rsid w:val="3F0D13C9"/>
    <w:rsid w:val="3F28D2EE"/>
    <w:rsid w:val="3F4669FE"/>
    <w:rsid w:val="3F49AC59"/>
    <w:rsid w:val="3F50A9A4"/>
    <w:rsid w:val="3F53BEAA"/>
    <w:rsid w:val="3F95DAD4"/>
    <w:rsid w:val="3F978FEE"/>
    <w:rsid w:val="3F989B00"/>
    <w:rsid w:val="3FB8642B"/>
    <w:rsid w:val="3FE1F746"/>
    <w:rsid w:val="3FF1214B"/>
    <w:rsid w:val="4028FBB5"/>
    <w:rsid w:val="402912A1"/>
    <w:rsid w:val="403C8B8A"/>
    <w:rsid w:val="406040B5"/>
    <w:rsid w:val="407786E5"/>
    <w:rsid w:val="407C585E"/>
    <w:rsid w:val="407C946A"/>
    <w:rsid w:val="408F1ED1"/>
    <w:rsid w:val="40B29323"/>
    <w:rsid w:val="40C1A064"/>
    <w:rsid w:val="40CF78A6"/>
    <w:rsid w:val="40ECA48B"/>
    <w:rsid w:val="40F2C84C"/>
    <w:rsid w:val="4112C7CE"/>
    <w:rsid w:val="411D51B4"/>
    <w:rsid w:val="411E3B48"/>
    <w:rsid w:val="412F8751"/>
    <w:rsid w:val="41384641"/>
    <w:rsid w:val="4168656C"/>
    <w:rsid w:val="4180DC10"/>
    <w:rsid w:val="4198BA34"/>
    <w:rsid w:val="41B9719E"/>
    <w:rsid w:val="41EA4A03"/>
    <w:rsid w:val="41FD3C56"/>
    <w:rsid w:val="41FD7965"/>
    <w:rsid w:val="42114364"/>
    <w:rsid w:val="4215D3AF"/>
    <w:rsid w:val="4220D5FB"/>
    <w:rsid w:val="422E0D19"/>
    <w:rsid w:val="42327663"/>
    <w:rsid w:val="425827BB"/>
    <w:rsid w:val="42686304"/>
    <w:rsid w:val="429A47FE"/>
    <w:rsid w:val="429CF130"/>
    <w:rsid w:val="42A4019D"/>
    <w:rsid w:val="42A589A6"/>
    <w:rsid w:val="42B3B0A7"/>
    <w:rsid w:val="42BD54CC"/>
    <w:rsid w:val="42C90368"/>
    <w:rsid w:val="42CF8F3B"/>
    <w:rsid w:val="43059659"/>
    <w:rsid w:val="4319B2FB"/>
    <w:rsid w:val="431CA861"/>
    <w:rsid w:val="432152C0"/>
    <w:rsid w:val="43504ED6"/>
    <w:rsid w:val="438055DE"/>
    <w:rsid w:val="4381753F"/>
    <w:rsid w:val="438F54FE"/>
    <w:rsid w:val="439BCBF5"/>
    <w:rsid w:val="43B4C9F6"/>
    <w:rsid w:val="43BDA422"/>
    <w:rsid w:val="43C3DBF6"/>
    <w:rsid w:val="43D87EC0"/>
    <w:rsid w:val="43E68994"/>
    <w:rsid w:val="43EF2EF9"/>
    <w:rsid w:val="43F9E9D0"/>
    <w:rsid w:val="4413D9C1"/>
    <w:rsid w:val="44307EAF"/>
    <w:rsid w:val="445395B8"/>
    <w:rsid w:val="445AB5E5"/>
    <w:rsid w:val="445DF3EC"/>
    <w:rsid w:val="4465859B"/>
    <w:rsid w:val="446633D5"/>
    <w:rsid w:val="449764EA"/>
    <w:rsid w:val="44DC251F"/>
    <w:rsid w:val="44DE3591"/>
    <w:rsid w:val="44E5652D"/>
    <w:rsid w:val="44E6CD9A"/>
    <w:rsid w:val="44E7FBED"/>
    <w:rsid w:val="44E943E2"/>
    <w:rsid w:val="44F26DA4"/>
    <w:rsid w:val="45215EC0"/>
    <w:rsid w:val="4536D61C"/>
    <w:rsid w:val="45420E3E"/>
    <w:rsid w:val="455E31C5"/>
    <w:rsid w:val="4562A801"/>
    <w:rsid w:val="457007AD"/>
    <w:rsid w:val="458BBE47"/>
    <w:rsid w:val="458CE16F"/>
    <w:rsid w:val="459AE6BC"/>
    <w:rsid w:val="45B38A8E"/>
    <w:rsid w:val="45B82FC9"/>
    <w:rsid w:val="45C16D41"/>
    <w:rsid w:val="45D2AABA"/>
    <w:rsid w:val="45D881A8"/>
    <w:rsid w:val="45FE4AAF"/>
    <w:rsid w:val="460A4187"/>
    <w:rsid w:val="46248AEC"/>
    <w:rsid w:val="4624D8EF"/>
    <w:rsid w:val="462F854D"/>
    <w:rsid w:val="4644E8BD"/>
    <w:rsid w:val="46869371"/>
    <w:rsid w:val="469BB1FC"/>
    <w:rsid w:val="469F2096"/>
    <w:rsid w:val="46B1267F"/>
    <w:rsid w:val="46C7B8F2"/>
    <w:rsid w:val="46C90B86"/>
    <w:rsid w:val="46D13DD4"/>
    <w:rsid w:val="4707F91B"/>
    <w:rsid w:val="47186F05"/>
    <w:rsid w:val="471A2054"/>
    <w:rsid w:val="472191E1"/>
    <w:rsid w:val="472AEF90"/>
    <w:rsid w:val="4736233A"/>
    <w:rsid w:val="474943CD"/>
    <w:rsid w:val="474C76DE"/>
    <w:rsid w:val="475E1A9B"/>
    <w:rsid w:val="475FF6F2"/>
    <w:rsid w:val="4762AEF2"/>
    <w:rsid w:val="47683F9B"/>
    <w:rsid w:val="478A49E7"/>
    <w:rsid w:val="47AD131F"/>
    <w:rsid w:val="47BAEFC1"/>
    <w:rsid w:val="47DE1877"/>
    <w:rsid w:val="47DFC33E"/>
    <w:rsid w:val="47E2FCA2"/>
    <w:rsid w:val="47F8C4CC"/>
    <w:rsid w:val="4838A690"/>
    <w:rsid w:val="4838F416"/>
    <w:rsid w:val="4849218D"/>
    <w:rsid w:val="4880312E"/>
    <w:rsid w:val="48936BA5"/>
    <w:rsid w:val="4894DCC5"/>
    <w:rsid w:val="48AEF8AE"/>
    <w:rsid w:val="48CB0F6B"/>
    <w:rsid w:val="48CF7969"/>
    <w:rsid w:val="48DFFE8D"/>
    <w:rsid w:val="48E38AF0"/>
    <w:rsid w:val="48F614F8"/>
    <w:rsid w:val="4933B4C9"/>
    <w:rsid w:val="494014D0"/>
    <w:rsid w:val="49641C5E"/>
    <w:rsid w:val="4975EC17"/>
    <w:rsid w:val="4984683F"/>
    <w:rsid w:val="4984AC29"/>
    <w:rsid w:val="498A4583"/>
    <w:rsid w:val="49A298E2"/>
    <w:rsid w:val="49A72338"/>
    <w:rsid w:val="49B1DB0F"/>
    <w:rsid w:val="49CFC4F4"/>
    <w:rsid w:val="49D6C664"/>
    <w:rsid w:val="49E64B72"/>
    <w:rsid w:val="49ECB59F"/>
    <w:rsid w:val="49F09D2E"/>
    <w:rsid w:val="4A0620A2"/>
    <w:rsid w:val="4A24B606"/>
    <w:rsid w:val="4A4DD1DD"/>
    <w:rsid w:val="4A527ADF"/>
    <w:rsid w:val="4A58DF15"/>
    <w:rsid w:val="4A6EDF84"/>
    <w:rsid w:val="4A6F3B65"/>
    <w:rsid w:val="4A990BF7"/>
    <w:rsid w:val="4AA0182F"/>
    <w:rsid w:val="4AB1E87B"/>
    <w:rsid w:val="4ACE1851"/>
    <w:rsid w:val="4AD0A7D0"/>
    <w:rsid w:val="4AF2557D"/>
    <w:rsid w:val="4AF92F7B"/>
    <w:rsid w:val="4B1353A9"/>
    <w:rsid w:val="4B1BDFBB"/>
    <w:rsid w:val="4BB306A9"/>
    <w:rsid w:val="4BBE3BD1"/>
    <w:rsid w:val="4BDA2B9D"/>
    <w:rsid w:val="4BDCB2F9"/>
    <w:rsid w:val="4BDECE62"/>
    <w:rsid w:val="4BE64D93"/>
    <w:rsid w:val="4BF111D0"/>
    <w:rsid w:val="4C025C76"/>
    <w:rsid w:val="4C06B527"/>
    <w:rsid w:val="4C349B1C"/>
    <w:rsid w:val="4C4500A1"/>
    <w:rsid w:val="4C4EF3C9"/>
    <w:rsid w:val="4C51CEC1"/>
    <w:rsid w:val="4C62326C"/>
    <w:rsid w:val="4C62DCF6"/>
    <w:rsid w:val="4C71334D"/>
    <w:rsid w:val="4C884ADA"/>
    <w:rsid w:val="4C89F9E0"/>
    <w:rsid w:val="4C96611F"/>
    <w:rsid w:val="4CAB3061"/>
    <w:rsid w:val="4CB2314F"/>
    <w:rsid w:val="4CBCD408"/>
    <w:rsid w:val="4CC6EC48"/>
    <w:rsid w:val="4CC842D4"/>
    <w:rsid w:val="4CD84B07"/>
    <w:rsid w:val="4CE3B57C"/>
    <w:rsid w:val="4CEB4179"/>
    <w:rsid w:val="4CFEEF13"/>
    <w:rsid w:val="4CFFD3B8"/>
    <w:rsid w:val="4D319C0C"/>
    <w:rsid w:val="4D374195"/>
    <w:rsid w:val="4D3784BB"/>
    <w:rsid w:val="4D43B034"/>
    <w:rsid w:val="4D57E8A1"/>
    <w:rsid w:val="4D945698"/>
    <w:rsid w:val="4D957F1B"/>
    <w:rsid w:val="4DAF3CB5"/>
    <w:rsid w:val="4DB33E47"/>
    <w:rsid w:val="4DC4BA2A"/>
    <w:rsid w:val="4DD34E14"/>
    <w:rsid w:val="4DE6A3FF"/>
    <w:rsid w:val="4E07CC34"/>
    <w:rsid w:val="4E19BF4B"/>
    <w:rsid w:val="4E44D458"/>
    <w:rsid w:val="4E59B658"/>
    <w:rsid w:val="4EA0D814"/>
    <w:rsid w:val="4EAFF489"/>
    <w:rsid w:val="4F0E3862"/>
    <w:rsid w:val="4F1B28A2"/>
    <w:rsid w:val="4F1E792B"/>
    <w:rsid w:val="4F2442E4"/>
    <w:rsid w:val="4F28E8DA"/>
    <w:rsid w:val="4F29C196"/>
    <w:rsid w:val="4F41CEB0"/>
    <w:rsid w:val="4F647A40"/>
    <w:rsid w:val="4F691514"/>
    <w:rsid w:val="4F72E5D9"/>
    <w:rsid w:val="4F9C5A03"/>
    <w:rsid w:val="4FA6474E"/>
    <w:rsid w:val="4FB586D3"/>
    <w:rsid w:val="4FD9ECA8"/>
    <w:rsid w:val="4FDCB433"/>
    <w:rsid w:val="4FE86B5B"/>
    <w:rsid w:val="4FECA7A7"/>
    <w:rsid w:val="4FFE3E68"/>
    <w:rsid w:val="50025165"/>
    <w:rsid w:val="500905B7"/>
    <w:rsid w:val="500B98DA"/>
    <w:rsid w:val="5023B429"/>
    <w:rsid w:val="5024CC50"/>
    <w:rsid w:val="502B6C6C"/>
    <w:rsid w:val="50482B53"/>
    <w:rsid w:val="507A7AB0"/>
    <w:rsid w:val="509BFDD9"/>
    <w:rsid w:val="509CF0B1"/>
    <w:rsid w:val="50AFA172"/>
    <w:rsid w:val="50C49CDC"/>
    <w:rsid w:val="50E48103"/>
    <w:rsid w:val="50F7FFEB"/>
    <w:rsid w:val="5105D2FF"/>
    <w:rsid w:val="5106BC7B"/>
    <w:rsid w:val="512A264C"/>
    <w:rsid w:val="514694B9"/>
    <w:rsid w:val="514C6E35"/>
    <w:rsid w:val="514F8FEC"/>
    <w:rsid w:val="51539F01"/>
    <w:rsid w:val="516F18F0"/>
    <w:rsid w:val="518C65C1"/>
    <w:rsid w:val="51A129F4"/>
    <w:rsid w:val="51ACCDFF"/>
    <w:rsid w:val="51B8AE53"/>
    <w:rsid w:val="51D0854C"/>
    <w:rsid w:val="51F2256B"/>
    <w:rsid w:val="5210E20A"/>
    <w:rsid w:val="52643DCD"/>
    <w:rsid w:val="52724BE0"/>
    <w:rsid w:val="527F8F21"/>
    <w:rsid w:val="528DCE65"/>
    <w:rsid w:val="529CA748"/>
    <w:rsid w:val="52A1496F"/>
    <w:rsid w:val="52A96A6E"/>
    <w:rsid w:val="52CF7178"/>
    <w:rsid w:val="52D35E91"/>
    <w:rsid w:val="52E38EA0"/>
    <w:rsid w:val="5326F269"/>
    <w:rsid w:val="532E04E5"/>
    <w:rsid w:val="532F0F15"/>
    <w:rsid w:val="53325EF1"/>
    <w:rsid w:val="53378CBD"/>
    <w:rsid w:val="53609D3E"/>
    <w:rsid w:val="53847806"/>
    <w:rsid w:val="538F8092"/>
    <w:rsid w:val="5395B9C8"/>
    <w:rsid w:val="53A67033"/>
    <w:rsid w:val="53CD4001"/>
    <w:rsid w:val="54430565"/>
    <w:rsid w:val="54A4C227"/>
    <w:rsid w:val="54AB2CA6"/>
    <w:rsid w:val="54F5A759"/>
    <w:rsid w:val="54F5F57D"/>
    <w:rsid w:val="54F67633"/>
    <w:rsid w:val="54F84D23"/>
    <w:rsid w:val="5511F9CC"/>
    <w:rsid w:val="5527ACBD"/>
    <w:rsid w:val="554B78A3"/>
    <w:rsid w:val="55664C24"/>
    <w:rsid w:val="556C94FD"/>
    <w:rsid w:val="55AB6710"/>
    <w:rsid w:val="55E3B600"/>
    <w:rsid w:val="5608BEF4"/>
    <w:rsid w:val="5620D006"/>
    <w:rsid w:val="56623315"/>
    <w:rsid w:val="567D9D7A"/>
    <w:rsid w:val="569335BA"/>
    <w:rsid w:val="56CEFA0F"/>
    <w:rsid w:val="56D20512"/>
    <w:rsid w:val="56D5DEC2"/>
    <w:rsid w:val="57025967"/>
    <w:rsid w:val="57146340"/>
    <w:rsid w:val="5715208E"/>
    <w:rsid w:val="573CC087"/>
    <w:rsid w:val="574790B8"/>
    <w:rsid w:val="577A75EF"/>
    <w:rsid w:val="578B8A85"/>
    <w:rsid w:val="57E1AE7E"/>
    <w:rsid w:val="57EB8492"/>
    <w:rsid w:val="5808A0B6"/>
    <w:rsid w:val="581AE55E"/>
    <w:rsid w:val="58281F9E"/>
    <w:rsid w:val="5836051F"/>
    <w:rsid w:val="5836BD80"/>
    <w:rsid w:val="5842706C"/>
    <w:rsid w:val="58491E89"/>
    <w:rsid w:val="58910770"/>
    <w:rsid w:val="58AD809F"/>
    <w:rsid w:val="58BC7284"/>
    <w:rsid w:val="58E9CEE1"/>
    <w:rsid w:val="58F127E0"/>
    <w:rsid w:val="5909AD18"/>
    <w:rsid w:val="5919ECAE"/>
    <w:rsid w:val="59224C71"/>
    <w:rsid w:val="5923CEFD"/>
    <w:rsid w:val="592810FE"/>
    <w:rsid w:val="595AE5D0"/>
    <w:rsid w:val="596AF49A"/>
    <w:rsid w:val="596EE45B"/>
    <w:rsid w:val="599037E8"/>
    <w:rsid w:val="599ABF32"/>
    <w:rsid w:val="59B93374"/>
    <w:rsid w:val="59BB16E2"/>
    <w:rsid w:val="59BD7287"/>
    <w:rsid w:val="59C9D39B"/>
    <w:rsid w:val="5A07E9A4"/>
    <w:rsid w:val="5A0C9D55"/>
    <w:rsid w:val="5A2A41A5"/>
    <w:rsid w:val="5A2F5C27"/>
    <w:rsid w:val="5A3A8257"/>
    <w:rsid w:val="5A4775BB"/>
    <w:rsid w:val="5A50B258"/>
    <w:rsid w:val="5A5231EF"/>
    <w:rsid w:val="5A5B3B2B"/>
    <w:rsid w:val="5A5EEA42"/>
    <w:rsid w:val="5A66E7AA"/>
    <w:rsid w:val="5A85D22E"/>
    <w:rsid w:val="5AA293B9"/>
    <w:rsid w:val="5AD9D3BA"/>
    <w:rsid w:val="5AE80C02"/>
    <w:rsid w:val="5B00071F"/>
    <w:rsid w:val="5B078802"/>
    <w:rsid w:val="5B472F19"/>
    <w:rsid w:val="5B7F2C4D"/>
    <w:rsid w:val="5B91F224"/>
    <w:rsid w:val="5B98A450"/>
    <w:rsid w:val="5B9E5D1D"/>
    <w:rsid w:val="5BAA2B1D"/>
    <w:rsid w:val="5BBAEA95"/>
    <w:rsid w:val="5BC5EC1B"/>
    <w:rsid w:val="5BC78441"/>
    <w:rsid w:val="5BCCF828"/>
    <w:rsid w:val="5BD9EAC4"/>
    <w:rsid w:val="5BF638C4"/>
    <w:rsid w:val="5C13D00A"/>
    <w:rsid w:val="5C1D12A2"/>
    <w:rsid w:val="5C5D14D5"/>
    <w:rsid w:val="5C67AD11"/>
    <w:rsid w:val="5C7AD45F"/>
    <w:rsid w:val="5C878200"/>
    <w:rsid w:val="5C8A1D69"/>
    <w:rsid w:val="5C8B4C13"/>
    <w:rsid w:val="5CA76FAF"/>
    <w:rsid w:val="5CB3F7DC"/>
    <w:rsid w:val="5CC14F22"/>
    <w:rsid w:val="5CE50DA7"/>
    <w:rsid w:val="5CEF684B"/>
    <w:rsid w:val="5D0E14B0"/>
    <w:rsid w:val="5D1B9A88"/>
    <w:rsid w:val="5D1F1AA2"/>
    <w:rsid w:val="5D244325"/>
    <w:rsid w:val="5D293440"/>
    <w:rsid w:val="5D3A1EF2"/>
    <w:rsid w:val="5D4F1670"/>
    <w:rsid w:val="5D7EED38"/>
    <w:rsid w:val="5DA0C070"/>
    <w:rsid w:val="5DE391D4"/>
    <w:rsid w:val="5DFB9C41"/>
    <w:rsid w:val="5E2A78A7"/>
    <w:rsid w:val="5E2E1DBD"/>
    <w:rsid w:val="5E3AF8E0"/>
    <w:rsid w:val="5E590578"/>
    <w:rsid w:val="5E66C036"/>
    <w:rsid w:val="5E8EB2AA"/>
    <w:rsid w:val="5E8F3692"/>
    <w:rsid w:val="5E940678"/>
    <w:rsid w:val="5EACC133"/>
    <w:rsid w:val="5EBC1C95"/>
    <w:rsid w:val="5EC6565C"/>
    <w:rsid w:val="5EC88FFF"/>
    <w:rsid w:val="5ED2676E"/>
    <w:rsid w:val="5ED585BE"/>
    <w:rsid w:val="5EE8964E"/>
    <w:rsid w:val="5EF2D136"/>
    <w:rsid w:val="5EFA11BD"/>
    <w:rsid w:val="5F09411A"/>
    <w:rsid w:val="5F231CA7"/>
    <w:rsid w:val="5F24BCEC"/>
    <w:rsid w:val="5F2957F5"/>
    <w:rsid w:val="5F47591B"/>
    <w:rsid w:val="5F62980A"/>
    <w:rsid w:val="5F94AF5B"/>
    <w:rsid w:val="5F994D3A"/>
    <w:rsid w:val="5FCE899A"/>
    <w:rsid w:val="5FD41535"/>
    <w:rsid w:val="5FE68B78"/>
    <w:rsid w:val="5FEC3FFB"/>
    <w:rsid w:val="6000D5CB"/>
    <w:rsid w:val="6006A584"/>
    <w:rsid w:val="6006B62A"/>
    <w:rsid w:val="602AF4DF"/>
    <w:rsid w:val="604F3B5E"/>
    <w:rsid w:val="605A2832"/>
    <w:rsid w:val="606D865D"/>
    <w:rsid w:val="607A2C8F"/>
    <w:rsid w:val="60989DB5"/>
    <w:rsid w:val="6099F467"/>
    <w:rsid w:val="609C6785"/>
    <w:rsid w:val="60A5427D"/>
    <w:rsid w:val="60C346D4"/>
    <w:rsid w:val="60CD17B2"/>
    <w:rsid w:val="60D2DE4A"/>
    <w:rsid w:val="60F9F942"/>
    <w:rsid w:val="610383E9"/>
    <w:rsid w:val="6130A840"/>
    <w:rsid w:val="61363AEF"/>
    <w:rsid w:val="61484BCD"/>
    <w:rsid w:val="61506AD7"/>
    <w:rsid w:val="6157A234"/>
    <w:rsid w:val="6163F96A"/>
    <w:rsid w:val="61650F5D"/>
    <w:rsid w:val="61718F64"/>
    <w:rsid w:val="617DFCDE"/>
    <w:rsid w:val="619AEA81"/>
    <w:rsid w:val="61DFB400"/>
    <w:rsid w:val="61F5F924"/>
    <w:rsid w:val="620476AF"/>
    <w:rsid w:val="620BBDE1"/>
    <w:rsid w:val="620F6650"/>
    <w:rsid w:val="623589B7"/>
    <w:rsid w:val="62BBB488"/>
    <w:rsid w:val="62C3207A"/>
    <w:rsid w:val="62C5CA6C"/>
    <w:rsid w:val="6304A3CF"/>
    <w:rsid w:val="6326F1A3"/>
    <w:rsid w:val="632CB8F6"/>
    <w:rsid w:val="633C7BC6"/>
    <w:rsid w:val="633F3091"/>
    <w:rsid w:val="635485A0"/>
    <w:rsid w:val="63550769"/>
    <w:rsid w:val="63573DC8"/>
    <w:rsid w:val="6362E1C2"/>
    <w:rsid w:val="637398EF"/>
    <w:rsid w:val="637DEC23"/>
    <w:rsid w:val="6381C779"/>
    <w:rsid w:val="63967065"/>
    <w:rsid w:val="63A50BC7"/>
    <w:rsid w:val="63A60B13"/>
    <w:rsid w:val="63AF2402"/>
    <w:rsid w:val="63AF9B4A"/>
    <w:rsid w:val="63B5A0A8"/>
    <w:rsid w:val="63C5F76F"/>
    <w:rsid w:val="64088A9F"/>
    <w:rsid w:val="6425747C"/>
    <w:rsid w:val="642C6E13"/>
    <w:rsid w:val="6438B4F0"/>
    <w:rsid w:val="643C1F2F"/>
    <w:rsid w:val="64575242"/>
    <w:rsid w:val="6457982E"/>
    <w:rsid w:val="64595166"/>
    <w:rsid w:val="648A2BC4"/>
    <w:rsid w:val="64AA69A6"/>
    <w:rsid w:val="64C23F25"/>
    <w:rsid w:val="650CB3C0"/>
    <w:rsid w:val="651A2942"/>
    <w:rsid w:val="651A6A94"/>
    <w:rsid w:val="65242E6C"/>
    <w:rsid w:val="6533A341"/>
    <w:rsid w:val="6547EF57"/>
    <w:rsid w:val="65652F35"/>
    <w:rsid w:val="656B1393"/>
    <w:rsid w:val="65758D26"/>
    <w:rsid w:val="6577E079"/>
    <w:rsid w:val="657E761E"/>
    <w:rsid w:val="65AB5DAD"/>
    <w:rsid w:val="65AF6341"/>
    <w:rsid w:val="65BB1C71"/>
    <w:rsid w:val="65DBC0AC"/>
    <w:rsid w:val="65ED54BD"/>
    <w:rsid w:val="6603785A"/>
    <w:rsid w:val="661D47B6"/>
    <w:rsid w:val="6626AAC9"/>
    <w:rsid w:val="664D3C1B"/>
    <w:rsid w:val="6668BE69"/>
    <w:rsid w:val="666D8245"/>
    <w:rsid w:val="667F13C6"/>
    <w:rsid w:val="66899EDD"/>
    <w:rsid w:val="66BCCA24"/>
    <w:rsid w:val="66CA8E82"/>
    <w:rsid w:val="66D4D749"/>
    <w:rsid w:val="66EC2B2A"/>
    <w:rsid w:val="6703A5FF"/>
    <w:rsid w:val="6775A75F"/>
    <w:rsid w:val="67A31525"/>
    <w:rsid w:val="67B14B55"/>
    <w:rsid w:val="67C95A4B"/>
    <w:rsid w:val="67D2F559"/>
    <w:rsid w:val="67D395B1"/>
    <w:rsid w:val="67E363E7"/>
    <w:rsid w:val="67E916DB"/>
    <w:rsid w:val="67F5C0E6"/>
    <w:rsid w:val="68515B1A"/>
    <w:rsid w:val="68619DAF"/>
    <w:rsid w:val="6883C158"/>
    <w:rsid w:val="6890948E"/>
    <w:rsid w:val="68940472"/>
    <w:rsid w:val="68A02A3C"/>
    <w:rsid w:val="68A10E91"/>
    <w:rsid w:val="68B07C0A"/>
    <w:rsid w:val="68BFBE78"/>
    <w:rsid w:val="68D8A0FD"/>
    <w:rsid w:val="68E8FE46"/>
    <w:rsid w:val="68EF2FCF"/>
    <w:rsid w:val="68F124F9"/>
    <w:rsid w:val="68FD7BE6"/>
    <w:rsid w:val="690878C1"/>
    <w:rsid w:val="690FD0B8"/>
    <w:rsid w:val="69592C9F"/>
    <w:rsid w:val="695DC02A"/>
    <w:rsid w:val="698821E8"/>
    <w:rsid w:val="69B5E162"/>
    <w:rsid w:val="69E3ED40"/>
    <w:rsid w:val="69F57888"/>
    <w:rsid w:val="6A01FCC8"/>
    <w:rsid w:val="6A0949C0"/>
    <w:rsid w:val="6A095013"/>
    <w:rsid w:val="6A273516"/>
    <w:rsid w:val="6A4092D9"/>
    <w:rsid w:val="6A5E7E20"/>
    <w:rsid w:val="6A7070E4"/>
    <w:rsid w:val="6A936C4C"/>
    <w:rsid w:val="6AB89CDA"/>
    <w:rsid w:val="6AB8C959"/>
    <w:rsid w:val="6ABD87F6"/>
    <w:rsid w:val="6ADE9026"/>
    <w:rsid w:val="6ADFEA8C"/>
    <w:rsid w:val="6AF6C094"/>
    <w:rsid w:val="6B29CEF4"/>
    <w:rsid w:val="6B32123A"/>
    <w:rsid w:val="6B326123"/>
    <w:rsid w:val="6B37AE6E"/>
    <w:rsid w:val="6B44F364"/>
    <w:rsid w:val="6B8296D1"/>
    <w:rsid w:val="6B8654FC"/>
    <w:rsid w:val="6B8BAAD7"/>
    <w:rsid w:val="6BCC4263"/>
    <w:rsid w:val="6BD3C19B"/>
    <w:rsid w:val="6BDE6BF4"/>
    <w:rsid w:val="6BE01F2C"/>
    <w:rsid w:val="6BE5FBF6"/>
    <w:rsid w:val="6BF90ED2"/>
    <w:rsid w:val="6C29D358"/>
    <w:rsid w:val="6C45490E"/>
    <w:rsid w:val="6C4BEFA1"/>
    <w:rsid w:val="6C535C50"/>
    <w:rsid w:val="6C579D0F"/>
    <w:rsid w:val="6C591AA9"/>
    <w:rsid w:val="6C68D408"/>
    <w:rsid w:val="6C6E57D5"/>
    <w:rsid w:val="6C6F638E"/>
    <w:rsid w:val="6C70D754"/>
    <w:rsid w:val="6CB18DFA"/>
    <w:rsid w:val="6CC689FD"/>
    <w:rsid w:val="6D118374"/>
    <w:rsid w:val="6D11F473"/>
    <w:rsid w:val="6D22ED92"/>
    <w:rsid w:val="6D23D319"/>
    <w:rsid w:val="6D2814A5"/>
    <w:rsid w:val="6D3FE521"/>
    <w:rsid w:val="6D47ABA9"/>
    <w:rsid w:val="6D49C4D9"/>
    <w:rsid w:val="6D6F4B02"/>
    <w:rsid w:val="6D78A09F"/>
    <w:rsid w:val="6D8CADE3"/>
    <w:rsid w:val="6D920DFC"/>
    <w:rsid w:val="6D94FF0E"/>
    <w:rsid w:val="6DA83F5D"/>
    <w:rsid w:val="6DAB33AE"/>
    <w:rsid w:val="6DB4ABD3"/>
    <w:rsid w:val="6DB88CC1"/>
    <w:rsid w:val="6DBEC672"/>
    <w:rsid w:val="6DD44454"/>
    <w:rsid w:val="6DE2CC3F"/>
    <w:rsid w:val="6E225EAA"/>
    <w:rsid w:val="6E29440F"/>
    <w:rsid w:val="6EBF75DD"/>
    <w:rsid w:val="6EC48254"/>
    <w:rsid w:val="6EDDF2BD"/>
    <w:rsid w:val="6EE36517"/>
    <w:rsid w:val="6EF82E6A"/>
    <w:rsid w:val="6EFCA1DA"/>
    <w:rsid w:val="6F1CF179"/>
    <w:rsid w:val="6F4DEB8B"/>
    <w:rsid w:val="6F566846"/>
    <w:rsid w:val="6F585AE1"/>
    <w:rsid w:val="6F657604"/>
    <w:rsid w:val="6F76A3A6"/>
    <w:rsid w:val="6F8D1FE0"/>
    <w:rsid w:val="6F8E1C6B"/>
    <w:rsid w:val="6FA56901"/>
    <w:rsid w:val="6FB5D5D2"/>
    <w:rsid w:val="6FB6F50C"/>
    <w:rsid w:val="6FB81A2A"/>
    <w:rsid w:val="6FE80309"/>
    <w:rsid w:val="6FECEF23"/>
    <w:rsid w:val="6FF15564"/>
    <w:rsid w:val="6FF20EBF"/>
    <w:rsid w:val="702E9E62"/>
    <w:rsid w:val="70327266"/>
    <w:rsid w:val="708D5EB0"/>
    <w:rsid w:val="70AF83E2"/>
    <w:rsid w:val="70B0AE20"/>
    <w:rsid w:val="70B2FA6A"/>
    <w:rsid w:val="70D0E891"/>
    <w:rsid w:val="710A1FF1"/>
    <w:rsid w:val="7111F24E"/>
    <w:rsid w:val="711C3A31"/>
    <w:rsid w:val="713D71B6"/>
    <w:rsid w:val="714613CE"/>
    <w:rsid w:val="71676C47"/>
    <w:rsid w:val="718F783A"/>
    <w:rsid w:val="71C117C5"/>
    <w:rsid w:val="71EE5C32"/>
    <w:rsid w:val="71F2082C"/>
    <w:rsid w:val="7224EA0B"/>
    <w:rsid w:val="7262EE1E"/>
    <w:rsid w:val="7265A434"/>
    <w:rsid w:val="7265EE09"/>
    <w:rsid w:val="72BD7D90"/>
    <w:rsid w:val="72C8072B"/>
    <w:rsid w:val="72CCA89E"/>
    <w:rsid w:val="72EC95C1"/>
    <w:rsid w:val="733D73A0"/>
    <w:rsid w:val="737F1EE2"/>
    <w:rsid w:val="7393A336"/>
    <w:rsid w:val="739E8894"/>
    <w:rsid w:val="73AC159C"/>
    <w:rsid w:val="73D36788"/>
    <w:rsid w:val="73E0F116"/>
    <w:rsid w:val="73E7E945"/>
    <w:rsid w:val="7414E20F"/>
    <w:rsid w:val="741C3F42"/>
    <w:rsid w:val="74216782"/>
    <w:rsid w:val="74570BA0"/>
    <w:rsid w:val="745CF4DE"/>
    <w:rsid w:val="7464348B"/>
    <w:rsid w:val="7468DFF8"/>
    <w:rsid w:val="748E6462"/>
    <w:rsid w:val="7490E320"/>
    <w:rsid w:val="749940A4"/>
    <w:rsid w:val="74D972DB"/>
    <w:rsid w:val="74F58DAE"/>
    <w:rsid w:val="74FE212D"/>
    <w:rsid w:val="7521C743"/>
    <w:rsid w:val="7538E5E9"/>
    <w:rsid w:val="7545A27C"/>
    <w:rsid w:val="756FE379"/>
    <w:rsid w:val="75797E95"/>
    <w:rsid w:val="757D20C7"/>
    <w:rsid w:val="759E2AE6"/>
    <w:rsid w:val="75A27D41"/>
    <w:rsid w:val="75A2F023"/>
    <w:rsid w:val="75BB2E24"/>
    <w:rsid w:val="75D209AE"/>
    <w:rsid w:val="75EE9B85"/>
    <w:rsid w:val="75F24EEA"/>
    <w:rsid w:val="75F5A61E"/>
    <w:rsid w:val="75F740F0"/>
    <w:rsid w:val="75F74CC6"/>
    <w:rsid w:val="75FE986B"/>
    <w:rsid w:val="7608BB6D"/>
    <w:rsid w:val="76211801"/>
    <w:rsid w:val="762E278E"/>
    <w:rsid w:val="769ECF74"/>
    <w:rsid w:val="76A0FFBD"/>
    <w:rsid w:val="76AFE0D6"/>
    <w:rsid w:val="76B61886"/>
    <w:rsid w:val="76BDDA0A"/>
    <w:rsid w:val="76D78EC2"/>
    <w:rsid w:val="77051454"/>
    <w:rsid w:val="770BF21B"/>
    <w:rsid w:val="770F11EC"/>
    <w:rsid w:val="771124FE"/>
    <w:rsid w:val="77493C41"/>
    <w:rsid w:val="7770CADD"/>
    <w:rsid w:val="7784F947"/>
    <w:rsid w:val="779E9A7A"/>
    <w:rsid w:val="77AA7CE5"/>
    <w:rsid w:val="77B7B1A7"/>
    <w:rsid w:val="77C34555"/>
    <w:rsid w:val="77D0A54E"/>
    <w:rsid w:val="77D92540"/>
    <w:rsid w:val="780C982B"/>
    <w:rsid w:val="78113324"/>
    <w:rsid w:val="781167CC"/>
    <w:rsid w:val="7837A560"/>
    <w:rsid w:val="7853ABB0"/>
    <w:rsid w:val="7873567B"/>
    <w:rsid w:val="7879A9A5"/>
    <w:rsid w:val="787C9F8A"/>
    <w:rsid w:val="78859477"/>
    <w:rsid w:val="788C5C76"/>
    <w:rsid w:val="789F38C9"/>
    <w:rsid w:val="78E83904"/>
    <w:rsid w:val="78EA30C0"/>
    <w:rsid w:val="78F88799"/>
    <w:rsid w:val="7912421F"/>
    <w:rsid w:val="792B9DEA"/>
    <w:rsid w:val="796074DA"/>
    <w:rsid w:val="796D07D8"/>
    <w:rsid w:val="79730DA7"/>
    <w:rsid w:val="79836706"/>
    <w:rsid w:val="79B13077"/>
    <w:rsid w:val="79B6C3FB"/>
    <w:rsid w:val="79BCE5E4"/>
    <w:rsid w:val="79C21961"/>
    <w:rsid w:val="79C4A425"/>
    <w:rsid w:val="79C6757E"/>
    <w:rsid w:val="79C77FBA"/>
    <w:rsid w:val="7A0A0751"/>
    <w:rsid w:val="7A69434D"/>
    <w:rsid w:val="7A89555C"/>
    <w:rsid w:val="7ACC54F2"/>
    <w:rsid w:val="7AE72FD4"/>
    <w:rsid w:val="7B0B0E7A"/>
    <w:rsid w:val="7B0D8999"/>
    <w:rsid w:val="7B2334FD"/>
    <w:rsid w:val="7B3A372F"/>
    <w:rsid w:val="7B3C3806"/>
    <w:rsid w:val="7B528F4A"/>
    <w:rsid w:val="7B68DFE9"/>
    <w:rsid w:val="7B779F10"/>
    <w:rsid w:val="7BA01345"/>
    <w:rsid w:val="7BD7074B"/>
    <w:rsid w:val="7BE6B02E"/>
    <w:rsid w:val="7BF2ECEB"/>
    <w:rsid w:val="7C033444"/>
    <w:rsid w:val="7C081BF2"/>
    <w:rsid w:val="7C2E8A25"/>
    <w:rsid w:val="7C2ECAAA"/>
    <w:rsid w:val="7C3D8E78"/>
    <w:rsid w:val="7C45307C"/>
    <w:rsid w:val="7C7D62FA"/>
    <w:rsid w:val="7C7E7FB0"/>
    <w:rsid w:val="7C89D104"/>
    <w:rsid w:val="7C9DE17C"/>
    <w:rsid w:val="7CAC97A1"/>
    <w:rsid w:val="7CC3BB47"/>
    <w:rsid w:val="7CCAEB44"/>
    <w:rsid w:val="7CF02864"/>
    <w:rsid w:val="7D0FF42B"/>
    <w:rsid w:val="7D1953FB"/>
    <w:rsid w:val="7D27A90B"/>
    <w:rsid w:val="7D852219"/>
    <w:rsid w:val="7D8842E3"/>
    <w:rsid w:val="7D9E13F3"/>
    <w:rsid w:val="7DA35F1E"/>
    <w:rsid w:val="7DB64D5C"/>
    <w:rsid w:val="7DCA58ED"/>
    <w:rsid w:val="7DD60A8C"/>
    <w:rsid w:val="7DD96E64"/>
    <w:rsid w:val="7DE870F6"/>
    <w:rsid w:val="7DFBA81B"/>
    <w:rsid w:val="7DFE035D"/>
    <w:rsid w:val="7E444B4F"/>
    <w:rsid w:val="7E5D27F9"/>
    <w:rsid w:val="7EC7911F"/>
    <w:rsid w:val="7EDE223B"/>
    <w:rsid w:val="7EECC7FA"/>
    <w:rsid w:val="7EF39584"/>
    <w:rsid w:val="7F166B27"/>
    <w:rsid w:val="7F1F665D"/>
    <w:rsid w:val="7F35B0E0"/>
    <w:rsid w:val="7F4A90E0"/>
    <w:rsid w:val="7F6ED09F"/>
    <w:rsid w:val="7F9863AF"/>
    <w:rsid w:val="7FC5CFE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3787BA"/>
  <w15:docId w15:val="{9EB3CFCD-C2B7-4591-AC11-D483F1962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94E"/>
    <w:pPr>
      <w:spacing w:after="200"/>
    </w:pPr>
    <w:rPr>
      <w:rFonts w:ascii="Verdana" w:hAnsi="Verdana"/>
      <w:sz w:val="20"/>
      <w:lang w:eastAsia="en-US"/>
    </w:rPr>
  </w:style>
  <w:style w:type="paragraph" w:styleId="Heading1">
    <w:name w:val="heading 1"/>
    <w:basedOn w:val="Normal"/>
    <w:next w:val="Normal"/>
    <w:link w:val="Heading1Char"/>
    <w:uiPriority w:val="9"/>
    <w:qFormat/>
    <w:rsid w:val="00DF2153"/>
    <w:pPr>
      <w:pageBreakBefore/>
      <w:tabs>
        <w:tab w:val="center" w:pos="4513"/>
        <w:tab w:val="right" w:pos="9026"/>
      </w:tabs>
      <w:spacing w:after="480"/>
      <w:outlineLvl w:val="0"/>
    </w:pPr>
    <w:rPr>
      <w:b/>
      <w:color w:val="4C6968" w:themeColor="text1"/>
      <w:sz w:val="50"/>
      <w:szCs w:val="24"/>
    </w:rPr>
  </w:style>
  <w:style w:type="paragraph" w:styleId="Heading2">
    <w:name w:val="heading 2"/>
    <w:basedOn w:val="Normal"/>
    <w:next w:val="Normal"/>
    <w:link w:val="Heading2Char"/>
    <w:uiPriority w:val="9"/>
    <w:qFormat/>
    <w:rsid w:val="003268F7"/>
    <w:pPr>
      <w:keepNext/>
      <w:spacing w:before="360" w:after="240"/>
      <w:outlineLvl w:val="1"/>
    </w:pPr>
    <w:rPr>
      <w:b/>
      <w:color w:val="48555E" w:themeColor="text2"/>
      <w:sz w:val="32"/>
      <w:szCs w:val="20"/>
    </w:rPr>
  </w:style>
  <w:style w:type="paragraph" w:styleId="Heading3">
    <w:name w:val="heading 3"/>
    <w:basedOn w:val="Normal"/>
    <w:next w:val="Normal"/>
    <w:link w:val="Heading3Char"/>
    <w:uiPriority w:val="9"/>
    <w:qFormat/>
    <w:rsid w:val="003268F7"/>
    <w:pPr>
      <w:keepNext/>
      <w:spacing w:before="120" w:after="120"/>
      <w:outlineLvl w:val="2"/>
    </w:pPr>
    <w:rPr>
      <w:rFonts w:cs="Arial"/>
      <w:b/>
      <w:color w:val="48555E" w:themeColor="text2"/>
      <w:sz w:val="26"/>
    </w:rPr>
  </w:style>
  <w:style w:type="paragraph" w:styleId="Heading4">
    <w:name w:val="heading 4"/>
    <w:basedOn w:val="Normal"/>
    <w:next w:val="Normal"/>
    <w:link w:val="Heading4Char"/>
    <w:uiPriority w:val="9"/>
    <w:qFormat/>
    <w:rsid w:val="003268F7"/>
    <w:pPr>
      <w:keepNext/>
      <w:spacing w:before="120"/>
      <w:outlineLvl w:val="3"/>
    </w:pPr>
    <w:rPr>
      <w:rFonts w:cs="Arial"/>
      <w:sz w:val="22"/>
    </w:rPr>
  </w:style>
  <w:style w:type="paragraph" w:styleId="Heading5">
    <w:name w:val="heading 5"/>
    <w:basedOn w:val="Normal"/>
    <w:next w:val="Normal"/>
    <w:link w:val="Heading5Char"/>
    <w:uiPriority w:val="9"/>
    <w:unhideWhenUsed/>
    <w:rsid w:val="008015ED"/>
    <w:pPr>
      <w:keepNext/>
      <w:keepLines/>
      <w:spacing w:before="40" w:after="240"/>
      <w:outlineLvl w:val="4"/>
    </w:pPr>
    <w:rPr>
      <w:rFonts w:eastAsiaTheme="majorEastAsia" w:cstheme="majorBidi"/>
      <w:i/>
      <w:color w:val="4C6968"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unhideWhenUsed/>
    <w:rsid w:val="00CA62BF"/>
    <w:rPr>
      <w:b/>
      <w:color w:val="4C6968" w:themeColor="text1"/>
      <w:sz w:val="24"/>
    </w:rPr>
  </w:style>
  <w:style w:type="character" w:customStyle="1" w:styleId="DateChar">
    <w:name w:val="Date Char"/>
    <w:basedOn w:val="DefaultParagraphFont"/>
    <w:link w:val="Date"/>
    <w:uiPriority w:val="99"/>
    <w:rsid w:val="00CA62BF"/>
    <w:rPr>
      <w:rFonts w:ascii="Verdana" w:hAnsi="Verdana"/>
      <w:b/>
      <w:color w:val="4C6968" w:themeColor="text1"/>
      <w:sz w:val="24"/>
      <w:lang w:eastAsia="en-US"/>
    </w:rPr>
  </w:style>
  <w:style w:type="paragraph" w:styleId="Footer">
    <w:name w:val="footer"/>
    <w:basedOn w:val="Normal"/>
    <w:link w:val="FooterChar"/>
    <w:uiPriority w:val="99"/>
    <w:unhideWhenUsed/>
    <w:rsid w:val="00DE06C0"/>
    <w:pPr>
      <w:tabs>
        <w:tab w:val="center" w:pos="4513"/>
        <w:tab w:val="right" w:pos="9026"/>
      </w:tabs>
      <w:spacing w:after="0"/>
    </w:pPr>
    <w:rPr>
      <w:sz w:val="16"/>
    </w:rPr>
  </w:style>
  <w:style w:type="character" w:customStyle="1" w:styleId="FooterChar">
    <w:name w:val="Footer Char"/>
    <w:basedOn w:val="DefaultParagraphFont"/>
    <w:link w:val="Footer"/>
    <w:uiPriority w:val="99"/>
    <w:rsid w:val="00DE06C0"/>
    <w:rPr>
      <w:rFonts w:ascii="Verdana" w:hAnsi="Verdana"/>
      <w:sz w:val="16"/>
      <w:lang w:eastAsia="en-US"/>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numbering" w:customStyle="1" w:styleId="KeyPoints">
    <w:name w:val="Key Points"/>
    <w:basedOn w:val="NoList"/>
    <w:uiPriority w:val="99"/>
    <w:pPr>
      <w:numPr>
        <w:numId w:val="1"/>
      </w:numPr>
    </w:pPr>
  </w:style>
  <w:style w:type="paragraph" w:customStyle="1" w:styleId="1NumberedPointsStyle">
    <w:name w:val="1. Numbered Points Style"/>
    <w:basedOn w:val="Normal"/>
    <w:uiPriority w:val="99"/>
    <w:semiHidden/>
  </w:style>
  <w:style w:type="numbering" w:customStyle="1" w:styleId="BulletList">
    <w:name w:val="Bullet List"/>
    <w:uiPriority w:val="99"/>
    <w:pPr>
      <w:numPr>
        <w:numId w:val="2"/>
      </w:numPr>
    </w:pPr>
  </w:style>
  <w:style w:type="paragraph" w:customStyle="1" w:styleId="1BulletStyleList">
    <w:name w:val="1. Bullet Style List"/>
    <w:basedOn w:val="Normal"/>
    <w:uiPriority w:val="99"/>
    <w:semiHidden/>
    <w:rPr>
      <w:rFonts w:eastAsia="Times New Roman"/>
      <w:szCs w:val="20"/>
      <w:lang w:eastAsia="en-AU"/>
    </w:rPr>
  </w:style>
  <w:style w:type="character" w:customStyle="1" w:styleId="Heading1Char">
    <w:name w:val="Heading 1 Char"/>
    <w:basedOn w:val="DefaultParagraphFont"/>
    <w:link w:val="Heading1"/>
    <w:uiPriority w:val="9"/>
    <w:rsid w:val="00DF2153"/>
    <w:rPr>
      <w:rFonts w:ascii="Verdana" w:hAnsi="Verdana"/>
      <w:b/>
      <w:color w:val="4C6968" w:themeColor="text1"/>
      <w:sz w:val="50"/>
      <w:szCs w:val="24"/>
      <w:lang w:eastAsia="en-US"/>
    </w:rPr>
  </w:style>
  <w:style w:type="character" w:customStyle="1" w:styleId="Heading2Char">
    <w:name w:val="Heading 2 Char"/>
    <w:basedOn w:val="DefaultParagraphFont"/>
    <w:link w:val="Heading2"/>
    <w:uiPriority w:val="9"/>
    <w:rsid w:val="003268F7"/>
    <w:rPr>
      <w:rFonts w:ascii="Verdana" w:hAnsi="Verdana"/>
      <w:b/>
      <w:color w:val="48555E" w:themeColor="text2"/>
      <w:sz w:val="32"/>
      <w:szCs w:val="20"/>
      <w:lang w:eastAsia="en-US"/>
    </w:rPr>
  </w:style>
  <w:style w:type="character" w:customStyle="1" w:styleId="Heading3Char">
    <w:name w:val="Heading 3 Char"/>
    <w:basedOn w:val="DefaultParagraphFont"/>
    <w:link w:val="Heading3"/>
    <w:uiPriority w:val="9"/>
    <w:rsid w:val="003268F7"/>
    <w:rPr>
      <w:rFonts w:ascii="Verdana" w:hAnsi="Verdana" w:cs="Arial"/>
      <w:b/>
      <w:color w:val="48555E" w:themeColor="text2"/>
      <w:sz w:val="26"/>
      <w:lang w:eastAsia="en-US"/>
    </w:rPr>
  </w:style>
  <w:style w:type="character" w:customStyle="1" w:styleId="Heading4Char">
    <w:name w:val="Heading 4 Char"/>
    <w:basedOn w:val="DefaultParagraphFont"/>
    <w:link w:val="Heading4"/>
    <w:uiPriority w:val="9"/>
    <w:rsid w:val="003268F7"/>
    <w:rPr>
      <w:rFonts w:ascii="Verdana" w:hAnsi="Verdana" w:cs="Arial"/>
      <w:lang w:eastAsia="en-US"/>
    </w:rPr>
  </w:style>
  <w:style w:type="paragraph" w:styleId="ListBullet">
    <w:name w:val="List Bullet"/>
    <w:basedOn w:val="Normal"/>
    <w:uiPriority w:val="99"/>
    <w:unhideWhenUsed/>
    <w:qFormat/>
    <w:rsid w:val="007C3F00"/>
    <w:pPr>
      <w:spacing w:after="120"/>
      <w:ind w:left="369" w:hanging="369"/>
    </w:pPr>
  </w:style>
  <w:style w:type="paragraph" w:styleId="ListBullet2">
    <w:name w:val="List Bullet 2"/>
    <w:basedOn w:val="Normal"/>
    <w:uiPriority w:val="99"/>
    <w:unhideWhenUsed/>
    <w:pPr>
      <w:ind w:left="738" w:hanging="369"/>
    </w:pPr>
  </w:style>
  <w:style w:type="numbering" w:customStyle="1" w:styleId="Attach">
    <w:name w:val="Attach"/>
    <w:basedOn w:val="NoList"/>
    <w:uiPriority w:val="99"/>
    <w:pPr>
      <w:numPr>
        <w:numId w:val="3"/>
      </w:numPr>
    </w:pPr>
  </w:style>
  <w:style w:type="character" w:customStyle="1" w:styleId="Heading5Char">
    <w:name w:val="Heading 5 Char"/>
    <w:basedOn w:val="DefaultParagraphFont"/>
    <w:link w:val="Heading5"/>
    <w:uiPriority w:val="9"/>
    <w:rsid w:val="008015ED"/>
    <w:rPr>
      <w:rFonts w:ascii="Verdana" w:eastAsiaTheme="majorEastAsia" w:hAnsi="Verdana" w:cstheme="majorBidi"/>
      <w:i/>
      <w:color w:val="4C6968" w:themeColor="text1"/>
      <w:sz w:val="20"/>
      <w:lang w:eastAsia="en-US"/>
    </w:rPr>
  </w:style>
  <w:style w:type="paragraph" w:styleId="ListNumber">
    <w:name w:val="List Number"/>
    <w:basedOn w:val="Normal"/>
    <w:uiPriority w:val="99"/>
    <w:qFormat/>
    <w:pPr>
      <w:numPr>
        <w:numId w:val="5"/>
      </w:numPr>
      <w:spacing w:before="120" w:after="120"/>
    </w:pPr>
  </w:style>
  <w:style w:type="paragraph" w:styleId="ListNumber2">
    <w:name w:val="List Number 2"/>
    <w:basedOn w:val="Normal"/>
    <w:uiPriority w:val="99"/>
    <w:rsid w:val="00FE0C2F"/>
    <w:pPr>
      <w:numPr>
        <w:ilvl w:val="1"/>
        <w:numId w:val="5"/>
      </w:numPr>
      <w:spacing w:after="120"/>
    </w:pPr>
    <w:rPr>
      <w:rFonts w:cs="Segoe UI"/>
    </w:rPr>
  </w:style>
  <w:style w:type="paragraph" w:styleId="ListNumber3">
    <w:name w:val="List Number 3"/>
    <w:basedOn w:val="Normal"/>
    <w:uiPriority w:val="99"/>
    <w:rsid w:val="00FE0C2F"/>
    <w:pPr>
      <w:numPr>
        <w:ilvl w:val="2"/>
        <w:numId w:val="5"/>
      </w:numPr>
      <w:spacing w:after="120"/>
      <w:ind w:left="1106"/>
    </w:pPr>
    <w:rPr>
      <w:rFonts w:cs="Segoe UI"/>
    </w:rPr>
  </w:style>
  <w:style w:type="paragraph" w:styleId="Header">
    <w:name w:val="header"/>
    <w:basedOn w:val="Normal"/>
    <w:link w:val="HeaderChar"/>
    <w:uiPriority w:val="99"/>
    <w:unhideWhenUsed/>
    <w:rsid w:val="004E09A7"/>
    <w:pPr>
      <w:tabs>
        <w:tab w:val="center" w:pos="4513"/>
        <w:tab w:val="right" w:pos="9026"/>
      </w:tabs>
      <w:spacing w:after="0"/>
    </w:pPr>
  </w:style>
  <w:style w:type="character" w:customStyle="1" w:styleId="HeaderChar">
    <w:name w:val="Header Char"/>
    <w:basedOn w:val="DefaultParagraphFont"/>
    <w:link w:val="Header"/>
    <w:uiPriority w:val="99"/>
    <w:rsid w:val="004E09A7"/>
    <w:rPr>
      <w:rFonts w:ascii="Verdana" w:hAnsi="Verdana"/>
      <w:sz w:val="20"/>
      <w:lang w:eastAsia="en-US"/>
    </w:rPr>
  </w:style>
  <w:style w:type="table" w:styleId="TableGrid">
    <w:name w:val="Table Grid"/>
    <w:basedOn w:val="TableNormal"/>
    <w:uiPriority w:val="59"/>
    <w:tblPr>
      <w:tblBorders>
        <w:top w:val="single" w:sz="4" w:space="0" w:color="4C6968" w:themeColor="text1"/>
        <w:left w:val="single" w:sz="4" w:space="0" w:color="4C6968" w:themeColor="text1"/>
        <w:bottom w:val="single" w:sz="4" w:space="0" w:color="4C6968" w:themeColor="text1"/>
        <w:right w:val="single" w:sz="4" w:space="0" w:color="4C6968" w:themeColor="text1"/>
        <w:insideH w:val="single" w:sz="4" w:space="0" w:color="4C6968" w:themeColor="text1"/>
        <w:insideV w:val="single" w:sz="4" w:space="0" w:color="4C6968" w:themeColor="text1"/>
      </w:tblBorders>
    </w:tblPr>
  </w:style>
  <w:style w:type="paragraph" w:styleId="Title">
    <w:name w:val="Title"/>
    <w:basedOn w:val="Normal"/>
    <w:next w:val="Normal"/>
    <w:link w:val="TitleChar"/>
    <w:uiPriority w:val="10"/>
    <w:qFormat/>
    <w:rsid w:val="00473F5B"/>
    <w:pPr>
      <w:spacing w:after="0"/>
      <w:contextualSpacing/>
    </w:pPr>
    <w:rPr>
      <w:rFonts w:eastAsiaTheme="majorEastAsia" w:cstheme="majorBidi"/>
      <w:b/>
      <w:color w:val="FFFFFF"/>
      <w:spacing w:val="-10"/>
      <w:kern w:val="28"/>
      <w:sz w:val="70"/>
      <w:szCs w:val="56"/>
    </w:rPr>
  </w:style>
  <w:style w:type="character" w:customStyle="1" w:styleId="TitleChar">
    <w:name w:val="Title Char"/>
    <w:basedOn w:val="DefaultParagraphFont"/>
    <w:link w:val="Title"/>
    <w:uiPriority w:val="10"/>
    <w:rsid w:val="00473F5B"/>
    <w:rPr>
      <w:rFonts w:ascii="Verdana" w:eastAsiaTheme="majorEastAsia" w:hAnsi="Verdana" w:cstheme="majorBidi"/>
      <w:b/>
      <w:color w:val="FFFFFF"/>
      <w:spacing w:val="-10"/>
      <w:kern w:val="28"/>
      <w:sz w:val="70"/>
      <w:szCs w:val="56"/>
      <w:lang w:eastAsia="en-US"/>
    </w:rPr>
  </w:style>
  <w:style w:type="character" w:styleId="CommentReference">
    <w:name w:val="annotation reference"/>
    <w:basedOn w:val="DefaultParagraphFont"/>
    <w:uiPriority w:val="99"/>
    <w:semiHidden/>
    <w:unhideWhenUsed/>
    <w:rPr>
      <w:sz w:val="16"/>
      <w:szCs w:val="16"/>
    </w:rPr>
  </w:style>
  <w:style w:type="table" w:styleId="PlainTable1">
    <w:name w:val="Plain Table 1"/>
    <w:basedOn w:val="TableNormal"/>
    <w:uiPriority w:val="41"/>
    <w:rsid w:val="007C3F00"/>
    <w:tblPr>
      <w:tblStyleRowBandSize w:val="1"/>
      <w:tblStyleColBandSize w:val="1"/>
      <w:tblBorders>
        <w:top w:val="single" w:sz="4" w:space="0" w:color="72ADC4" w:themeColor="background1" w:themeShade="BF"/>
        <w:left w:val="single" w:sz="4" w:space="0" w:color="72ADC4" w:themeColor="background1" w:themeShade="BF"/>
        <w:bottom w:val="single" w:sz="4" w:space="0" w:color="72ADC4" w:themeColor="background1" w:themeShade="BF"/>
        <w:right w:val="single" w:sz="4" w:space="0" w:color="72ADC4" w:themeColor="background1" w:themeShade="BF"/>
        <w:insideH w:val="single" w:sz="4" w:space="0" w:color="72ADC4" w:themeColor="background1" w:themeShade="BF"/>
        <w:insideV w:val="single" w:sz="4" w:space="0" w:color="72ADC4" w:themeColor="background1" w:themeShade="BF"/>
      </w:tblBorders>
    </w:tblPr>
    <w:tblStylePr w:type="firstRow">
      <w:rPr>
        <w:b/>
        <w:bCs/>
      </w:rPr>
    </w:tblStylePr>
    <w:tblStylePr w:type="lastRow">
      <w:rPr>
        <w:b/>
        <w:bCs/>
      </w:rPr>
      <w:tblPr/>
      <w:tcPr>
        <w:tcBorders>
          <w:top w:val="double" w:sz="4" w:space="0" w:color="72ADC4" w:themeColor="background1" w:themeShade="BF"/>
        </w:tcBorders>
      </w:tcPr>
    </w:tblStylePr>
    <w:tblStylePr w:type="firstCol">
      <w:rPr>
        <w:b/>
        <w:bCs/>
      </w:rPr>
    </w:tblStylePr>
    <w:tblStylePr w:type="lastCol">
      <w:rPr>
        <w:b/>
        <w:bCs/>
      </w:rPr>
    </w:tblStylePr>
    <w:tblStylePr w:type="band1Vert">
      <w:tblPr/>
      <w:tcPr>
        <w:shd w:val="clear" w:color="auto" w:fill="ACCFDC" w:themeFill="background1" w:themeFillShade="F2"/>
      </w:tcPr>
    </w:tblStylePr>
    <w:tblStylePr w:type="band1Horz">
      <w:tblPr/>
      <w:tcPr>
        <w:shd w:val="clear" w:color="auto" w:fill="ACCFDC" w:themeFill="background1" w:themeFillShade="F2"/>
      </w:tcPr>
    </w:tblStylePr>
  </w:style>
  <w:style w:type="paragraph" w:customStyle="1" w:styleId="TableHeader">
    <w:name w:val="Table Header"/>
    <w:basedOn w:val="Normal"/>
    <w:qFormat/>
    <w:rsid w:val="003268F7"/>
    <w:pPr>
      <w:spacing w:before="120" w:after="120"/>
    </w:pPr>
    <w:rPr>
      <w:b/>
      <w:color w:val="FFFFFF"/>
    </w:rPr>
  </w:style>
  <w:style w:type="paragraph" w:styleId="CommentSubject">
    <w:name w:val="annotation subject"/>
    <w:basedOn w:val="Normal"/>
    <w:next w:val="Normal"/>
    <w:link w:val="CommentSubjectChar"/>
    <w:uiPriority w:val="99"/>
    <w:semiHidden/>
    <w:unhideWhenUsed/>
    <w:rsid w:val="00CA62BF"/>
    <w:rPr>
      <w:b/>
      <w:bCs/>
      <w:szCs w:val="20"/>
    </w:rPr>
  </w:style>
  <w:style w:type="character" w:customStyle="1" w:styleId="CommentSubjectChar">
    <w:name w:val="Comment Subject Char"/>
    <w:basedOn w:val="DefaultParagraphFont"/>
    <w:link w:val="CommentSubject"/>
    <w:uiPriority w:val="99"/>
    <w:semiHidden/>
    <w:rsid w:val="00CA62BF"/>
    <w:rPr>
      <w:rFonts w:ascii="Calibri" w:hAnsi="Calibri"/>
      <w:b/>
      <w:bCs/>
      <w:sz w:val="20"/>
      <w:szCs w:val="20"/>
      <w:lang w:eastAsia="en-US"/>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szCs w:val="24"/>
      <w:lang w:eastAsia="en-AU"/>
    </w:rPr>
  </w:style>
  <w:style w:type="paragraph" w:customStyle="1" w:styleId="TableText">
    <w:name w:val="Table Text"/>
    <w:basedOn w:val="Normal"/>
    <w:qFormat/>
    <w:rsid w:val="003268F7"/>
    <w:pPr>
      <w:spacing w:before="120" w:after="120"/>
    </w:p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Pr>
      <w:color w:val="48545E" w:themeColor="hyperlink"/>
      <w:u w:val="single"/>
    </w:r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rsid w:val="00AA7CB2"/>
    <w:rPr>
      <w:color w:val="FFFFFF" w:themeColor="followedHyperlink"/>
      <w:u w:val="single"/>
    </w:rPr>
  </w:style>
  <w:style w:type="character" w:styleId="UnresolvedMention">
    <w:name w:val="Unresolved Mention"/>
    <w:basedOn w:val="DefaultParagraphFont"/>
    <w:uiPriority w:val="99"/>
    <w:semiHidden/>
    <w:unhideWhenUsed/>
    <w:rsid w:val="00AA7CB2"/>
    <w:rPr>
      <w:color w:val="605E5C"/>
      <w:shd w:val="clear" w:color="auto" w:fill="E1DFDD"/>
    </w:rPr>
  </w:style>
  <w:style w:type="paragraph" w:customStyle="1" w:styleId="TableHeading">
    <w:name w:val="Table Heading"/>
    <w:basedOn w:val="Normal"/>
    <w:qFormat/>
    <w:rsid w:val="003268F7"/>
    <w:pPr>
      <w:spacing w:before="240" w:after="120"/>
    </w:pPr>
    <w:rPr>
      <w:color w:val="4C6968" w:themeColor="text1"/>
    </w:rPr>
  </w:style>
  <w:style w:type="table" w:styleId="TableGridLight">
    <w:name w:val="Grid Table Light"/>
    <w:basedOn w:val="TableNormal"/>
    <w:uiPriority w:val="40"/>
    <w:rsid w:val="003268F7"/>
    <w:rPr>
      <w:rFonts w:ascii="Verdana" w:hAnsi="Verdana"/>
      <w:sz w:val="20"/>
    </w:rPr>
    <w:tblPr>
      <w:tblBorders>
        <w:top w:val="single" w:sz="4" w:space="0" w:color="48555E" w:themeColor="text2"/>
        <w:bottom w:val="single" w:sz="4" w:space="0" w:color="48555E" w:themeColor="text2"/>
        <w:insideH w:val="single" w:sz="4" w:space="0" w:color="48555E" w:themeColor="text2"/>
      </w:tblBorders>
    </w:tblPr>
    <w:tblStylePr w:type="firstRow">
      <w:tblPr/>
      <w:tcPr>
        <w:shd w:val="clear" w:color="auto" w:fill="4C6968" w:themeFill="text1"/>
      </w:tcPr>
    </w:tblStylePr>
  </w:style>
  <w:style w:type="paragraph" w:styleId="Subtitle">
    <w:name w:val="Subtitle"/>
    <w:basedOn w:val="Normal"/>
    <w:next w:val="Normal"/>
    <w:link w:val="SubtitleChar"/>
    <w:uiPriority w:val="11"/>
    <w:unhideWhenUsed/>
    <w:qFormat/>
    <w:rsid w:val="00E56ACF"/>
    <w:pPr>
      <w:numPr>
        <w:ilvl w:val="1"/>
      </w:numPr>
      <w:spacing w:before="360" w:after="160"/>
    </w:pPr>
    <w:rPr>
      <w:rFonts w:eastAsiaTheme="minorEastAsia" w:cstheme="minorBidi"/>
      <w:color w:val="FFFFFF"/>
      <w:spacing w:val="15"/>
      <w:sz w:val="30"/>
    </w:rPr>
  </w:style>
  <w:style w:type="character" w:customStyle="1" w:styleId="SubtitleChar">
    <w:name w:val="Subtitle Char"/>
    <w:basedOn w:val="DefaultParagraphFont"/>
    <w:link w:val="Subtitle"/>
    <w:uiPriority w:val="11"/>
    <w:rsid w:val="00E56ACF"/>
    <w:rPr>
      <w:rFonts w:ascii="Verdana" w:eastAsiaTheme="minorEastAsia" w:hAnsi="Verdana" w:cstheme="minorBidi"/>
      <w:color w:val="FFFFFF"/>
      <w:spacing w:val="15"/>
      <w:sz w:val="30"/>
      <w:lang w:eastAsia="en-US"/>
    </w:rPr>
  </w:style>
  <w:style w:type="paragraph" w:customStyle="1" w:styleId="Author">
    <w:name w:val="Author"/>
    <w:basedOn w:val="Normal"/>
    <w:qFormat/>
    <w:rsid w:val="00E56ACF"/>
    <w:pPr>
      <w:spacing w:before="600" w:after="120"/>
    </w:pPr>
    <w:rPr>
      <w:color w:val="FFFFFF"/>
    </w:rPr>
  </w:style>
  <w:style w:type="paragraph" w:customStyle="1" w:styleId="IntroductionParagraph">
    <w:name w:val="Introduction Paragraph"/>
    <w:basedOn w:val="Normal"/>
    <w:qFormat/>
    <w:rsid w:val="002C07A5"/>
    <w:pPr>
      <w:spacing w:after="360"/>
    </w:pPr>
    <w:rPr>
      <w:b/>
      <w:color w:val="FFFFFF"/>
      <w:sz w:val="28"/>
    </w:rPr>
  </w:style>
  <w:style w:type="paragraph" w:customStyle="1" w:styleId="NormalWhite">
    <w:name w:val="Normal White"/>
    <w:basedOn w:val="Normal"/>
    <w:qFormat/>
    <w:rsid w:val="002C07A5"/>
    <w:rPr>
      <w:color w:val="FFFFFF"/>
    </w:rPr>
  </w:style>
  <w:style w:type="paragraph" w:customStyle="1" w:styleId="FigureHeading">
    <w:name w:val="Figure Heading"/>
    <w:basedOn w:val="TableHeading"/>
    <w:qFormat/>
    <w:rsid w:val="00142E0B"/>
  </w:style>
  <w:style w:type="paragraph" w:styleId="TOC2">
    <w:name w:val="toc 2"/>
    <w:basedOn w:val="Normal"/>
    <w:next w:val="Normal"/>
    <w:autoRedefine/>
    <w:uiPriority w:val="39"/>
    <w:unhideWhenUsed/>
    <w:rsid w:val="0066217F"/>
    <w:pPr>
      <w:tabs>
        <w:tab w:val="right" w:leader="dot" w:pos="9628"/>
      </w:tabs>
      <w:spacing w:after="100"/>
      <w:ind w:left="200"/>
    </w:pPr>
    <w:rPr>
      <w:noProof/>
    </w:rPr>
  </w:style>
  <w:style w:type="paragraph" w:styleId="TOC1">
    <w:name w:val="toc 1"/>
    <w:basedOn w:val="Normal"/>
    <w:next w:val="Normal"/>
    <w:autoRedefine/>
    <w:uiPriority w:val="39"/>
    <w:unhideWhenUsed/>
    <w:rsid w:val="001C0F11"/>
    <w:pPr>
      <w:tabs>
        <w:tab w:val="right" w:leader="dot" w:pos="9628"/>
      </w:tabs>
      <w:spacing w:before="240" w:after="100"/>
    </w:pPr>
    <w:rPr>
      <w:b/>
      <w:noProof/>
      <w:color w:val="48555E" w:themeColor="text2"/>
      <w:sz w:val="24"/>
    </w:rPr>
  </w:style>
  <w:style w:type="paragraph" w:styleId="TOC3">
    <w:name w:val="toc 3"/>
    <w:basedOn w:val="Normal"/>
    <w:next w:val="Normal"/>
    <w:autoRedefine/>
    <w:uiPriority w:val="39"/>
    <w:unhideWhenUsed/>
    <w:rsid w:val="0066217F"/>
    <w:pPr>
      <w:tabs>
        <w:tab w:val="right" w:leader="dot" w:pos="9628"/>
      </w:tabs>
      <w:spacing w:after="100"/>
      <w:ind w:left="400"/>
    </w:pPr>
    <w:rPr>
      <w:noProof/>
    </w:rPr>
  </w:style>
  <w:style w:type="paragraph" w:customStyle="1" w:styleId="AppendicesHeading1">
    <w:name w:val="Appendices Heading 1"/>
    <w:basedOn w:val="Heading1"/>
    <w:qFormat/>
    <w:rsid w:val="007935B6"/>
  </w:style>
  <w:style w:type="paragraph" w:customStyle="1" w:styleId="AppendicesHeading2">
    <w:name w:val="Appendices Heading 2"/>
    <w:basedOn w:val="Heading2"/>
    <w:qFormat/>
    <w:rsid w:val="007935B6"/>
  </w:style>
  <w:style w:type="paragraph" w:customStyle="1" w:styleId="AppendicesHeading3">
    <w:name w:val="Appendices Heading 3"/>
    <w:basedOn w:val="Heading3"/>
    <w:qFormat/>
    <w:rsid w:val="007935B6"/>
  </w:style>
  <w:style w:type="paragraph" w:customStyle="1" w:styleId="AppendicesHeading4">
    <w:name w:val="Appendices Heading 4"/>
    <w:basedOn w:val="Heading4"/>
    <w:qFormat/>
    <w:rsid w:val="007935B6"/>
  </w:style>
  <w:style w:type="paragraph" w:customStyle="1" w:styleId="AppendicesHeading5">
    <w:name w:val="Appendices Heading 5"/>
    <w:basedOn w:val="Heading5"/>
    <w:qFormat/>
    <w:rsid w:val="007935B6"/>
  </w:style>
  <w:style w:type="paragraph" w:customStyle="1" w:styleId="Instructions">
    <w:name w:val="Instructions"/>
    <w:basedOn w:val="Normal"/>
    <w:qFormat/>
    <w:rsid w:val="001C0F11"/>
    <w:pPr>
      <w:pBdr>
        <w:top w:val="single" w:sz="4" w:space="1" w:color="BCD8E3" w:themeColor="background1"/>
        <w:left w:val="single" w:sz="4" w:space="4" w:color="BCD8E3" w:themeColor="background1"/>
        <w:bottom w:val="single" w:sz="4" w:space="1" w:color="BCD8E3" w:themeColor="background1"/>
        <w:right w:val="single" w:sz="4" w:space="4" w:color="BCD8E3" w:themeColor="background1"/>
      </w:pBdr>
      <w:shd w:val="clear" w:color="auto" w:fill="BCD8E3" w:themeFill="background1"/>
      <w:ind w:left="113" w:right="113"/>
    </w:pPr>
  </w:style>
  <w:style w:type="character" w:styleId="Emphasis">
    <w:name w:val="Emphasis"/>
    <w:basedOn w:val="DefaultParagraphFont"/>
    <w:uiPriority w:val="20"/>
    <w:qFormat/>
    <w:rsid w:val="00C118DE"/>
    <w:rPr>
      <w:i/>
      <w:iCs/>
    </w:rPr>
  </w:style>
  <w:style w:type="paragraph" w:styleId="CommentText">
    <w:name w:val="annotation text"/>
    <w:basedOn w:val="Normal"/>
    <w:link w:val="CommentTextChar"/>
    <w:uiPriority w:val="99"/>
    <w:unhideWhenUsed/>
    <w:rsid w:val="00C118DE"/>
    <w:pPr>
      <w:suppressAutoHyphens/>
      <w:spacing w:before="60" w:after="60"/>
    </w:pPr>
    <w:rPr>
      <w:rFonts w:ascii="Arial" w:eastAsiaTheme="minorEastAsia" w:hAnsi="Arial" w:cstheme="minorBidi"/>
      <w:szCs w:val="20"/>
      <w:lang w:eastAsia="en-GB"/>
    </w:rPr>
  </w:style>
  <w:style w:type="character" w:customStyle="1" w:styleId="CommentTextChar">
    <w:name w:val="Comment Text Char"/>
    <w:basedOn w:val="DefaultParagraphFont"/>
    <w:link w:val="CommentText"/>
    <w:uiPriority w:val="99"/>
    <w:rsid w:val="00C118DE"/>
    <w:rPr>
      <w:rFonts w:eastAsiaTheme="minorEastAsia" w:cstheme="minorBidi"/>
      <w:sz w:val="20"/>
      <w:szCs w:val="20"/>
      <w:lang w:eastAsia="en-GB"/>
    </w:rPr>
  </w:style>
  <w:style w:type="paragraph" w:styleId="FootnoteText">
    <w:name w:val="footnote text"/>
    <w:basedOn w:val="Normal"/>
    <w:link w:val="FootnoteTextChar"/>
    <w:uiPriority w:val="99"/>
    <w:unhideWhenUsed/>
    <w:qFormat/>
    <w:rsid w:val="009546C2"/>
    <w:pPr>
      <w:spacing w:after="0"/>
    </w:pPr>
    <w:rPr>
      <w:rFonts w:ascii="Calibri Light" w:eastAsia="Times New Roman" w:hAnsi="Calibri Light" w:cs="Calibri Light"/>
      <w:color w:val="4C6968" w:themeColor="text1"/>
      <w:sz w:val="16"/>
      <w:szCs w:val="20"/>
    </w:rPr>
  </w:style>
  <w:style w:type="character" w:customStyle="1" w:styleId="FootnoteTextChar">
    <w:name w:val="Footnote Text Char"/>
    <w:basedOn w:val="DefaultParagraphFont"/>
    <w:link w:val="FootnoteText"/>
    <w:uiPriority w:val="99"/>
    <w:rsid w:val="009546C2"/>
    <w:rPr>
      <w:rFonts w:ascii="Calibri Light" w:eastAsia="Times New Roman" w:hAnsi="Calibri Light" w:cs="Calibri Light"/>
      <w:color w:val="4C6968" w:themeColor="text1"/>
      <w:sz w:val="16"/>
      <w:szCs w:val="20"/>
      <w:lang w:eastAsia="en-US"/>
    </w:rPr>
  </w:style>
  <w:style w:type="character" w:styleId="FootnoteReference">
    <w:name w:val="footnote reference"/>
    <w:basedOn w:val="DefaultParagraphFont"/>
    <w:uiPriority w:val="99"/>
    <w:semiHidden/>
    <w:unhideWhenUsed/>
    <w:rsid w:val="009546C2"/>
    <w:rPr>
      <w:vertAlign w:val="superscript"/>
    </w:rPr>
  </w:style>
  <w:style w:type="paragraph" w:styleId="ListParagraph">
    <w:name w:val="List Paragraph"/>
    <w:basedOn w:val="Normal"/>
    <w:uiPriority w:val="34"/>
    <w:qFormat/>
    <w:rsid w:val="00C63011"/>
    <w:pPr>
      <w:spacing w:after="160" w:line="259" w:lineRule="auto"/>
      <w:ind w:left="720"/>
      <w:contextualSpacing/>
    </w:pPr>
    <w:rPr>
      <w:rFonts w:asciiTheme="minorHAnsi" w:eastAsiaTheme="minorHAnsi" w:hAnsiTheme="minorHAnsi" w:cstheme="minorBidi"/>
      <w:kern w:val="2"/>
      <w:sz w:val="22"/>
      <w14:ligatures w14:val="standardContextual"/>
    </w:rPr>
  </w:style>
  <w:style w:type="paragraph" w:customStyle="1" w:styleId="pf0">
    <w:name w:val="pf0"/>
    <w:basedOn w:val="Normal"/>
    <w:rsid w:val="00C63011"/>
    <w:pPr>
      <w:spacing w:before="100" w:beforeAutospacing="1" w:after="100" w:afterAutospacing="1"/>
    </w:pPr>
    <w:rPr>
      <w:rFonts w:ascii="Calibri" w:eastAsiaTheme="minorHAnsi" w:hAnsi="Calibri" w:cs="Calibri"/>
      <w:sz w:val="22"/>
      <w:lang w:eastAsia="en-AU"/>
    </w:rPr>
  </w:style>
  <w:style w:type="paragraph" w:styleId="Caption">
    <w:name w:val="caption"/>
    <w:basedOn w:val="Normal"/>
    <w:next w:val="Normal"/>
    <w:uiPriority w:val="35"/>
    <w:unhideWhenUsed/>
    <w:qFormat/>
    <w:rsid w:val="00DA28D1"/>
    <w:rPr>
      <w:i/>
      <w:iCs/>
      <w:color w:val="48555E" w:themeColor="text2"/>
      <w:sz w:val="18"/>
      <w:szCs w:val="18"/>
    </w:rPr>
  </w:style>
  <w:style w:type="table" w:styleId="GridTable4">
    <w:name w:val="Grid Table 4"/>
    <w:basedOn w:val="TableNormal"/>
    <w:uiPriority w:val="49"/>
    <w:rsid w:val="00626DF1"/>
    <w:tblPr>
      <w:tblStyleRowBandSize w:val="1"/>
      <w:tblStyleColBandSize w:val="1"/>
      <w:tblBorders>
        <w:top w:val="single" w:sz="4" w:space="0" w:color="8CACAA" w:themeColor="text1" w:themeTint="99"/>
        <w:left w:val="single" w:sz="4" w:space="0" w:color="8CACAA" w:themeColor="text1" w:themeTint="99"/>
        <w:bottom w:val="single" w:sz="4" w:space="0" w:color="8CACAA" w:themeColor="text1" w:themeTint="99"/>
        <w:right w:val="single" w:sz="4" w:space="0" w:color="8CACAA" w:themeColor="text1" w:themeTint="99"/>
        <w:insideH w:val="single" w:sz="4" w:space="0" w:color="8CACAA" w:themeColor="text1" w:themeTint="99"/>
        <w:insideV w:val="single" w:sz="4" w:space="0" w:color="8CACAA" w:themeColor="text1" w:themeTint="99"/>
      </w:tblBorders>
    </w:tblPr>
    <w:tblStylePr w:type="firstRow">
      <w:rPr>
        <w:b/>
        <w:bCs/>
        <w:color w:val="BCD8E3" w:themeColor="background1"/>
      </w:rPr>
      <w:tblPr/>
      <w:tcPr>
        <w:tcBorders>
          <w:top w:val="single" w:sz="4" w:space="0" w:color="4C6968" w:themeColor="text1"/>
          <w:left w:val="single" w:sz="4" w:space="0" w:color="4C6968" w:themeColor="text1"/>
          <w:bottom w:val="single" w:sz="4" w:space="0" w:color="4C6968" w:themeColor="text1"/>
          <w:right w:val="single" w:sz="4" w:space="0" w:color="4C6968" w:themeColor="text1"/>
          <w:insideH w:val="nil"/>
          <w:insideV w:val="nil"/>
        </w:tcBorders>
        <w:shd w:val="clear" w:color="auto" w:fill="4C6968" w:themeFill="text1"/>
      </w:tcPr>
    </w:tblStylePr>
    <w:tblStylePr w:type="lastRow">
      <w:rPr>
        <w:b/>
        <w:bCs/>
      </w:rPr>
      <w:tblPr/>
      <w:tcPr>
        <w:tcBorders>
          <w:top w:val="double" w:sz="4" w:space="0" w:color="4C6968" w:themeColor="text1"/>
        </w:tcBorders>
      </w:tcPr>
    </w:tblStylePr>
    <w:tblStylePr w:type="firstCol">
      <w:rPr>
        <w:b/>
        <w:bCs/>
      </w:rPr>
    </w:tblStylePr>
    <w:tblStylePr w:type="lastCol">
      <w:rPr>
        <w:b/>
        <w:bCs/>
      </w:rPr>
    </w:tblStylePr>
    <w:tblStylePr w:type="band1Vert">
      <w:tblPr/>
      <w:tcPr>
        <w:shd w:val="clear" w:color="auto" w:fill="D8E3E2" w:themeFill="text1" w:themeFillTint="33"/>
      </w:tcPr>
    </w:tblStylePr>
    <w:tblStylePr w:type="band1Horz">
      <w:tblPr/>
      <w:tcPr>
        <w:shd w:val="clear" w:color="auto" w:fill="D8E3E2" w:themeFill="text1" w:themeFillTint="33"/>
      </w:tcPr>
    </w:tblStylePr>
  </w:style>
  <w:style w:type="paragraph" w:styleId="BodyText">
    <w:name w:val="Body Text"/>
    <w:basedOn w:val="Normal"/>
    <w:link w:val="BodyTextChar"/>
    <w:uiPriority w:val="1"/>
    <w:qFormat/>
    <w:rsid w:val="004E4C7C"/>
    <w:pPr>
      <w:autoSpaceDE w:val="0"/>
      <w:autoSpaceDN w:val="0"/>
      <w:adjustRightInd w:val="0"/>
      <w:spacing w:after="0"/>
    </w:pPr>
    <w:rPr>
      <w:rFonts w:ascii="Arial" w:hAnsi="Arial" w:cs="Arial"/>
      <w:sz w:val="22"/>
      <w:lang w:eastAsia="en-AU"/>
    </w:rPr>
  </w:style>
  <w:style w:type="character" w:customStyle="1" w:styleId="BodyTextChar">
    <w:name w:val="Body Text Char"/>
    <w:basedOn w:val="DefaultParagraphFont"/>
    <w:link w:val="BodyText"/>
    <w:uiPriority w:val="1"/>
    <w:rsid w:val="004E4C7C"/>
    <w:rPr>
      <w:rFonts w:cs="Arial"/>
    </w:rPr>
  </w:style>
  <w:style w:type="character" w:customStyle="1" w:styleId="normaltextrun">
    <w:name w:val="normaltextrun"/>
    <w:basedOn w:val="DefaultParagraphFont"/>
    <w:rsid w:val="007E172A"/>
  </w:style>
  <w:style w:type="paragraph" w:styleId="Revision">
    <w:name w:val="Revision"/>
    <w:hidden/>
    <w:uiPriority w:val="99"/>
    <w:semiHidden/>
    <w:rsid w:val="00147906"/>
    <w:rPr>
      <w:rFonts w:ascii="Verdana" w:hAnsi="Verdana"/>
      <w:sz w:val="20"/>
      <w:lang w:eastAsia="en-US"/>
    </w:rPr>
  </w:style>
  <w:style w:type="paragraph" w:styleId="NoSpacing">
    <w:name w:val="No Spacing"/>
    <w:uiPriority w:val="1"/>
    <w:qFormat/>
    <w:rsid w:val="61363AEF"/>
  </w:style>
  <w:style w:type="table" w:styleId="LightList">
    <w:name w:val="Light List"/>
    <w:basedOn w:val="TableNormal"/>
    <w:uiPriority w:val="61"/>
    <w:rsid w:val="000C5E3E"/>
    <w:rPr>
      <w:rFonts w:asciiTheme="minorHAnsi" w:eastAsiaTheme="minorEastAsia" w:hAnsiTheme="minorHAnsi" w:cstheme="minorBidi"/>
      <w:lang w:val="en-US" w:eastAsia="en-US"/>
    </w:rPr>
    <w:tblPr>
      <w:tblStyleRowBandSize w:val="1"/>
      <w:tblStyleColBandSize w:val="1"/>
      <w:tblBorders>
        <w:top w:val="single" w:sz="8" w:space="0" w:color="4C6968" w:themeColor="text1"/>
        <w:left w:val="single" w:sz="8" w:space="0" w:color="4C6968" w:themeColor="text1"/>
        <w:bottom w:val="single" w:sz="8" w:space="0" w:color="4C6968" w:themeColor="text1"/>
        <w:right w:val="single" w:sz="8" w:space="0" w:color="4C6968" w:themeColor="text1"/>
      </w:tblBorders>
    </w:tblPr>
    <w:tblStylePr w:type="firstRow">
      <w:pPr>
        <w:spacing w:before="0" w:after="0" w:line="240" w:lineRule="auto"/>
      </w:pPr>
      <w:rPr>
        <w:b/>
        <w:bCs/>
        <w:color w:val="BCD8E3" w:themeColor="background1"/>
      </w:rPr>
      <w:tblPr/>
      <w:tcPr>
        <w:shd w:val="clear" w:color="auto" w:fill="4C6968" w:themeFill="text1"/>
      </w:tcPr>
    </w:tblStylePr>
    <w:tblStylePr w:type="lastRow">
      <w:pPr>
        <w:spacing w:before="0" w:after="0" w:line="240" w:lineRule="auto"/>
      </w:pPr>
      <w:rPr>
        <w:b/>
        <w:bCs/>
      </w:rPr>
      <w:tblPr/>
      <w:tcPr>
        <w:tcBorders>
          <w:top w:val="double" w:sz="6" w:space="0" w:color="4C6968" w:themeColor="text1"/>
          <w:left w:val="single" w:sz="8" w:space="0" w:color="4C6968" w:themeColor="text1"/>
          <w:bottom w:val="single" w:sz="8" w:space="0" w:color="4C6968" w:themeColor="text1"/>
          <w:right w:val="single" w:sz="8" w:space="0" w:color="4C6968" w:themeColor="text1"/>
        </w:tcBorders>
      </w:tcPr>
    </w:tblStylePr>
    <w:tblStylePr w:type="firstCol">
      <w:rPr>
        <w:b/>
        <w:bCs/>
      </w:rPr>
    </w:tblStylePr>
    <w:tblStylePr w:type="lastCol">
      <w:rPr>
        <w:b/>
        <w:bCs/>
      </w:rPr>
    </w:tblStylePr>
    <w:tblStylePr w:type="band1Vert">
      <w:tblPr/>
      <w:tcPr>
        <w:tcBorders>
          <w:top w:val="single" w:sz="8" w:space="0" w:color="4C6968" w:themeColor="text1"/>
          <w:left w:val="single" w:sz="8" w:space="0" w:color="4C6968" w:themeColor="text1"/>
          <w:bottom w:val="single" w:sz="8" w:space="0" w:color="4C6968" w:themeColor="text1"/>
          <w:right w:val="single" w:sz="8" w:space="0" w:color="4C6968" w:themeColor="text1"/>
        </w:tcBorders>
      </w:tcPr>
    </w:tblStylePr>
    <w:tblStylePr w:type="band1Horz">
      <w:tblPr/>
      <w:tcPr>
        <w:tcBorders>
          <w:top w:val="single" w:sz="8" w:space="0" w:color="4C6968" w:themeColor="text1"/>
          <w:left w:val="single" w:sz="8" w:space="0" w:color="4C6968" w:themeColor="text1"/>
          <w:bottom w:val="single" w:sz="8" w:space="0" w:color="4C6968" w:themeColor="text1"/>
          <w:right w:val="single" w:sz="8" w:space="0" w:color="4C6968" w:themeColor="text1"/>
        </w:tcBorders>
      </w:tcPr>
    </w:tblStylePr>
  </w:style>
  <w:style w:type="character" w:styleId="Mention">
    <w:name w:val="Mention"/>
    <w:basedOn w:val="DefaultParagraphFont"/>
    <w:uiPriority w:val="99"/>
    <w:unhideWhenUsed/>
    <w:rsid w:val="00023DEA"/>
    <w:rPr>
      <w:color w:val="2B579A"/>
      <w:shd w:val="clear" w:color="auto" w:fill="E1DFDD"/>
    </w:rPr>
  </w:style>
  <w:style w:type="character" w:customStyle="1" w:styleId="cf01">
    <w:name w:val="cf01"/>
    <w:basedOn w:val="DefaultParagraphFont"/>
    <w:rsid w:val="00484C9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38534">
      <w:bodyDiv w:val="1"/>
      <w:marLeft w:val="0"/>
      <w:marRight w:val="0"/>
      <w:marTop w:val="0"/>
      <w:marBottom w:val="0"/>
      <w:divBdr>
        <w:top w:val="none" w:sz="0" w:space="0" w:color="auto"/>
        <w:left w:val="none" w:sz="0" w:space="0" w:color="auto"/>
        <w:bottom w:val="none" w:sz="0" w:space="0" w:color="auto"/>
        <w:right w:val="none" w:sz="0" w:space="0" w:color="auto"/>
      </w:divBdr>
      <w:divsChild>
        <w:div w:id="119888355">
          <w:marLeft w:val="0"/>
          <w:marRight w:val="0"/>
          <w:marTop w:val="0"/>
          <w:marBottom w:val="0"/>
          <w:divBdr>
            <w:top w:val="none" w:sz="0" w:space="0" w:color="auto"/>
            <w:left w:val="none" w:sz="0" w:space="0" w:color="auto"/>
            <w:bottom w:val="none" w:sz="0" w:space="0" w:color="auto"/>
            <w:right w:val="none" w:sz="0" w:space="0" w:color="auto"/>
          </w:divBdr>
        </w:div>
        <w:div w:id="216598260">
          <w:marLeft w:val="0"/>
          <w:marRight w:val="0"/>
          <w:marTop w:val="0"/>
          <w:marBottom w:val="0"/>
          <w:divBdr>
            <w:top w:val="none" w:sz="0" w:space="0" w:color="auto"/>
            <w:left w:val="none" w:sz="0" w:space="0" w:color="auto"/>
            <w:bottom w:val="none" w:sz="0" w:space="0" w:color="auto"/>
            <w:right w:val="none" w:sz="0" w:space="0" w:color="auto"/>
          </w:divBdr>
        </w:div>
        <w:div w:id="911620714">
          <w:marLeft w:val="0"/>
          <w:marRight w:val="0"/>
          <w:marTop w:val="0"/>
          <w:marBottom w:val="0"/>
          <w:divBdr>
            <w:top w:val="none" w:sz="0" w:space="0" w:color="auto"/>
            <w:left w:val="none" w:sz="0" w:space="0" w:color="auto"/>
            <w:bottom w:val="none" w:sz="0" w:space="0" w:color="auto"/>
            <w:right w:val="none" w:sz="0" w:space="0" w:color="auto"/>
          </w:divBdr>
        </w:div>
        <w:div w:id="1082216496">
          <w:marLeft w:val="0"/>
          <w:marRight w:val="0"/>
          <w:marTop w:val="0"/>
          <w:marBottom w:val="0"/>
          <w:divBdr>
            <w:top w:val="none" w:sz="0" w:space="0" w:color="auto"/>
            <w:left w:val="none" w:sz="0" w:space="0" w:color="auto"/>
            <w:bottom w:val="none" w:sz="0" w:space="0" w:color="auto"/>
            <w:right w:val="none" w:sz="0" w:space="0" w:color="auto"/>
          </w:divBdr>
        </w:div>
        <w:div w:id="1567184338">
          <w:marLeft w:val="0"/>
          <w:marRight w:val="0"/>
          <w:marTop w:val="0"/>
          <w:marBottom w:val="0"/>
          <w:divBdr>
            <w:top w:val="none" w:sz="0" w:space="0" w:color="auto"/>
            <w:left w:val="none" w:sz="0" w:space="0" w:color="auto"/>
            <w:bottom w:val="none" w:sz="0" w:space="0" w:color="auto"/>
            <w:right w:val="none" w:sz="0" w:space="0" w:color="auto"/>
          </w:divBdr>
        </w:div>
        <w:div w:id="2081127344">
          <w:marLeft w:val="0"/>
          <w:marRight w:val="0"/>
          <w:marTop w:val="0"/>
          <w:marBottom w:val="0"/>
          <w:divBdr>
            <w:top w:val="none" w:sz="0" w:space="0" w:color="auto"/>
            <w:left w:val="none" w:sz="0" w:space="0" w:color="auto"/>
            <w:bottom w:val="none" w:sz="0" w:space="0" w:color="auto"/>
            <w:right w:val="none" w:sz="0" w:space="0" w:color="auto"/>
          </w:divBdr>
        </w:div>
        <w:div w:id="2102138291">
          <w:marLeft w:val="0"/>
          <w:marRight w:val="0"/>
          <w:marTop w:val="0"/>
          <w:marBottom w:val="0"/>
          <w:divBdr>
            <w:top w:val="none" w:sz="0" w:space="0" w:color="auto"/>
            <w:left w:val="none" w:sz="0" w:space="0" w:color="auto"/>
            <w:bottom w:val="none" w:sz="0" w:space="0" w:color="auto"/>
            <w:right w:val="none" w:sz="0" w:space="0" w:color="auto"/>
          </w:divBdr>
        </w:div>
      </w:divsChild>
    </w:div>
    <w:div w:id="37509489">
      <w:bodyDiv w:val="1"/>
      <w:marLeft w:val="0"/>
      <w:marRight w:val="0"/>
      <w:marTop w:val="0"/>
      <w:marBottom w:val="0"/>
      <w:divBdr>
        <w:top w:val="none" w:sz="0" w:space="0" w:color="auto"/>
        <w:left w:val="none" w:sz="0" w:space="0" w:color="auto"/>
        <w:bottom w:val="none" w:sz="0" w:space="0" w:color="auto"/>
        <w:right w:val="none" w:sz="0" w:space="0" w:color="auto"/>
      </w:divBdr>
    </w:div>
    <w:div w:id="42141298">
      <w:bodyDiv w:val="1"/>
      <w:marLeft w:val="0"/>
      <w:marRight w:val="0"/>
      <w:marTop w:val="0"/>
      <w:marBottom w:val="0"/>
      <w:divBdr>
        <w:top w:val="none" w:sz="0" w:space="0" w:color="auto"/>
        <w:left w:val="none" w:sz="0" w:space="0" w:color="auto"/>
        <w:bottom w:val="none" w:sz="0" w:space="0" w:color="auto"/>
        <w:right w:val="none" w:sz="0" w:space="0" w:color="auto"/>
      </w:divBdr>
    </w:div>
    <w:div w:id="50081133">
      <w:bodyDiv w:val="1"/>
      <w:marLeft w:val="0"/>
      <w:marRight w:val="0"/>
      <w:marTop w:val="0"/>
      <w:marBottom w:val="0"/>
      <w:divBdr>
        <w:top w:val="none" w:sz="0" w:space="0" w:color="auto"/>
        <w:left w:val="none" w:sz="0" w:space="0" w:color="auto"/>
        <w:bottom w:val="none" w:sz="0" w:space="0" w:color="auto"/>
        <w:right w:val="none" w:sz="0" w:space="0" w:color="auto"/>
      </w:divBdr>
    </w:div>
    <w:div w:id="106119495">
      <w:bodyDiv w:val="1"/>
      <w:marLeft w:val="0"/>
      <w:marRight w:val="0"/>
      <w:marTop w:val="0"/>
      <w:marBottom w:val="0"/>
      <w:divBdr>
        <w:top w:val="none" w:sz="0" w:space="0" w:color="auto"/>
        <w:left w:val="none" w:sz="0" w:space="0" w:color="auto"/>
        <w:bottom w:val="none" w:sz="0" w:space="0" w:color="auto"/>
        <w:right w:val="none" w:sz="0" w:space="0" w:color="auto"/>
      </w:divBdr>
    </w:div>
    <w:div w:id="108547873">
      <w:bodyDiv w:val="1"/>
      <w:marLeft w:val="0"/>
      <w:marRight w:val="0"/>
      <w:marTop w:val="0"/>
      <w:marBottom w:val="0"/>
      <w:divBdr>
        <w:top w:val="none" w:sz="0" w:space="0" w:color="auto"/>
        <w:left w:val="none" w:sz="0" w:space="0" w:color="auto"/>
        <w:bottom w:val="none" w:sz="0" w:space="0" w:color="auto"/>
        <w:right w:val="none" w:sz="0" w:space="0" w:color="auto"/>
      </w:divBdr>
    </w:div>
    <w:div w:id="174806675">
      <w:bodyDiv w:val="1"/>
      <w:marLeft w:val="0"/>
      <w:marRight w:val="0"/>
      <w:marTop w:val="0"/>
      <w:marBottom w:val="0"/>
      <w:divBdr>
        <w:top w:val="none" w:sz="0" w:space="0" w:color="auto"/>
        <w:left w:val="none" w:sz="0" w:space="0" w:color="auto"/>
        <w:bottom w:val="none" w:sz="0" w:space="0" w:color="auto"/>
        <w:right w:val="none" w:sz="0" w:space="0" w:color="auto"/>
      </w:divBdr>
    </w:div>
    <w:div w:id="210003767">
      <w:bodyDiv w:val="1"/>
      <w:marLeft w:val="0"/>
      <w:marRight w:val="0"/>
      <w:marTop w:val="0"/>
      <w:marBottom w:val="0"/>
      <w:divBdr>
        <w:top w:val="none" w:sz="0" w:space="0" w:color="auto"/>
        <w:left w:val="none" w:sz="0" w:space="0" w:color="auto"/>
        <w:bottom w:val="none" w:sz="0" w:space="0" w:color="auto"/>
        <w:right w:val="none" w:sz="0" w:space="0" w:color="auto"/>
      </w:divBdr>
      <w:divsChild>
        <w:div w:id="144397795">
          <w:marLeft w:val="0"/>
          <w:marRight w:val="0"/>
          <w:marTop w:val="0"/>
          <w:marBottom w:val="0"/>
          <w:divBdr>
            <w:top w:val="none" w:sz="0" w:space="0" w:color="auto"/>
            <w:left w:val="none" w:sz="0" w:space="0" w:color="auto"/>
            <w:bottom w:val="none" w:sz="0" w:space="0" w:color="auto"/>
            <w:right w:val="none" w:sz="0" w:space="0" w:color="auto"/>
          </w:divBdr>
          <w:divsChild>
            <w:div w:id="1157264909">
              <w:marLeft w:val="0"/>
              <w:marRight w:val="0"/>
              <w:marTop w:val="0"/>
              <w:marBottom w:val="0"/>
              <w:divBdr>
                <w:top w:val="single" w:sz="6" w:space="0" w:color="666666"/>
                <w:left w:val="single" w:sz="6" w:space="0" w:color="666666"/>
                <w:bottom w:val="single" w:sz="48" w:space="0" w:color="000000"/>
                <w:right w:val="single" w:sz="6" w:space="0" w:color="666666"/>
              </w:divBdr>
              <w:divsChild>
                <w:div w:id="562184448">
                  <w:marLeft w:val="0"/>
                  <w:marRight w:val="0"/>
                  <w:marTop w:val="0"/>
                  <w:marBottom w:val="0"/>
                  <w:divBdr>
                    <w:top w:val="none" w:sz="0" w:space="0" w:color="auto"/>
                    <w:left w:val="none" w:sz="0" w:space="0" w:color="auto"/>
                    <w:bottom w:val="none" w:sz="0" w:space="0" w:color="auto"/>
                    <w:right w:val="none" w:sz="0" w:space="0" w:color="auto"/>
                  </w:divBdr>
                  <w:divsChild>
                    <w:div w:id="629476871">
                      <w:marLeft w:val="150"/>
                      <w:marRight w:val="0"/>
                      <w:marTop w:val="150"/>
                      <w:marBottom w:val="0"/>
                      <w:divBdr>
                        <w:top w:val="none" w:sz="0" w:space="0" w:color="auto"/>
                        <w:left w:val="none" w:sz="0" w:space="0" w:color="auto"/>
                        <w:bottom w:val="none" w:sz="0" w:space="0" w:color="auto"/>
                        <w:right w:val="none" w:sz="0" w:space="0" w:color="auto"/>
                      </w:divBdr>
                      <w:divsChild>
                        <w:div w:id="805513206">
                          <w:marLeft w:val="0"/>
                          <w:marRight w:val="0"/>
                          <w:marTop w:val="0"/>
                          <w:marBottom w:val="0"/>
                          <w:divBdr>
                            <w:top w:val="none" w:sz="0" w:space="0" w:color="auto"/>
                            <w:left w:val="none" w:sz="0" w:space="0" w:color="auto"/>
                            <w:bottom w:val="none" w:sz="0" w:space="0" w:color="auto"/>
                            <w:right w:val="none" w:sz="0" w:space="0" w:color="auto"/>
                          </w:divBdr>
                          <w:divsChild>
                            <w:div w:id="1205947322">
                              <w:marLeft w:val="0"/>
                              <w:marRight w:val="0"/>
                              <w:marTop w:val="0"/>
                              <w:marBottom w:val="0"/>
                              <w:divBdr>
                                <w:top w:val="none" w:sz="0" w:space="0" w:color="auto"/>
                                <w:left w:val="none" w:sz="0" w:space="0" w:color="auto"/>
                                <w:bottom w:val="none" w:sz="0" w:space="0" w:color="auto"/>
                                <w:right w:val="none" w:sz="0" w:space="0" w:color="auto"/>
                              </w:divBdr>
                              <w:divsChild>
                                <w:div w:id="1520924222">
                                  <w:marLeft w:val="0"/>
                                  <w:marRight w:val="0"/>
                                  <w:marTop w:val="0"/>
                                  <w:marBottom w:val="0"/>
                                  <w:divBdr>
                                    <w:top w:val="none" w:sz="0" w:space="0" w:color="auto"/>
                                    <w:left w:val="none" w:sz="0" w:space="0" w:color="auto"/>
                                    <w:bottom w:val="none" w:sz="0" w:space="0" w:color="auto"/>
                                    <w:right w:val="none" w:sz="0" w:space="0" w:color="auto"/>
                                  </w:divBdr>
                                  <w:divsChild>
                                    <w:div w:id="1266616800">
                                      <w:marLeft w:val="0"/>
                                      <w:marRight w:val="0"/>
                                      <w:marTop w:val="0"/>
                                      <w:marBottom w:val="0"/>
                                      <w:divBdr>
                                        <w:top w:val="none" w:sz="0" w:space="0" w:color="auto"/>
                                        <w:left w:val="none" w:sz="0" w:space="0" w:color="auto"/>
                                        <w:bottom w:val="none" w:sz="0" w:space="0" w:color="auto"/>
                                        <w:right w:val="none" w:sz="0" w:space="0" w:color="auto"/>
                                      </w:divBdr>
                                      <w:divsChild>
                                        <w:div w:id="327951791">
                                          <w:marLeft w:val="0"/>
                                          <w:marRight w:val="0"/>
                                          <w:marTop w:val="0"/>
                                          <w:marBottom w:val="0"/>
                                          <w:divBdr>
                                            <w:top w:val="none" w:sz="0" w:space="0" w:color="auto"/>
                                            <w:left w:val="none" w:sz="0" w:space="0" w:color="auto"/>
                                            <w:bottom w:val="none" w:sz="0" w:space="0" w:color="auto"/>
                                            <w:right w:val="none" w:sz="0" w:space="0" w:color="auto"/>
                                          </w:divBdr>
                                          <w:divsChild>
                                            <w:div w:id="2080905658">
                                              <w:marLeft w:val="0"/>
                                              <w:marRight w:val="0"/>
                                              <w:marTop w:val="0"/>
                                              <w:marBottom w:val="0"/>
                                              <w:divBdr>
                                                <w:top w:val="none" w:sz="0" w:space="0" w:color="auto"/>
                                                <w:left w:val="none" w:sz="0" w:space="0" w:color="auto"/>
                                                <w:bottom w:val="none" w:sz="0" w:space="0" w:color="auto"/>
                                                <w:right w:val="none" w:sz="0" w:space="0" w:color="auto"/>
                                              </w:divBdr>
                                              <w:divsChild>
                                                <w:div w:id="20988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0599076">
      <w:bodyDiv w:val="1"/>
      <w:marLeft w:val="0"/>
      <w:marRight w:val="0"/>
      <w:marTop w:val="0"/>
      <w:marBottom w:val="0"/>
      <w:divBdr>
        <w:top w:val="none" w:sz="0" w:space="0" w:color="auto"/>
        <w:left w:val="none" w:sz="0" w:space="0" w:color="auto"/>
        <w:bottom w:val="none" w:sz="0" w:space="0" w:color="auto"/>
        <w:right w:val="none" w:sz="0" w:space="0" w:color="auto"/>
      </w:divBdr>
    </w:div>
    <w:div w:id="234972995">
      <w:bodyDiv w:val="1"/>
      <w:marLeft w:val="0"/>
      <w:marRight w:val="0"/>
      <w:marTop w:val="0"/>
      <w:marBottom w:val="0"/>
      <w:divBdr>
        <w:top w:val="none" w:sz="0" w:space="0" w:color="auto"/>
        <w:left w:val="none" w:sz="0" w:space="0" w:color="auto"/>
        <w:bottom w:val="none" w:sz="0" w:space="0" w:color="auto"/>
        <w:right w:val="none" w:sz="0" w:space="0" w:color="auto"/>
      </w:divBdr>
    </w:div>
    <w:div w:id="244727954">
      <w:bodyDiv w:val="1"/>
      <w:marLeft w:val="0"/>
      <w:marRight w:val="0"/>
      <w:marTop w:val="0"/>
      <w:marBottom w:val="0"/>
      <w:divBdr>
        <w:top w:val="none" w:sz="0" w:space="0" w:color="auto"/>
        <w:left w:val="none" w:sz="0" w:space="0" w:color="auto"/>
        <w:bottom w:val="none" w:sz="0" w:space="0" w:color="auto"/>
        <w:right w:val="none" w:sz="0" w:space="0" w:color="auto"/>
      </w:divBdr>
    </w:div>
    <w:div w:id="250547560">
      <w:bodyDiv w:val="1"/>
      <w:marLeft w:val="0"/>
      <w:marRight w:val="0"/>
      <w:marTop w:val="0"/>
      <w:marBottom w:val="0"/>
      <w:divBdr>
        <w:top w:val="none" w:sz="0" w:space="0" w:color="auto"/>
        <w:left w:val="none" w:sz="0" w:space="0" w:color="auto"/>
        <w:bottom w:val="none" w:sz="0" w:space="0" w:color="auto"/>
        <w:right w:val="none" w:sz="0" w:space="0" w:color="auto"/>
      </w:divBdr>
    </w:div>
    <w:div w:id="261108265">
      <w:bodyDiv w:val="1"/>
      <w:marLeft w:val="0"/>
      <w:marRight w:val="0"/>
      <w:marTop w:val="0"/>
      <w:marBottom w:val="0"/>
      <w:divBdr>
        <w:top w:val="none" w:sz="0" w:space="0" w:color="auto"/>
        <w:left w:val="none" w:sz="0" w:space="0" w:color="auto"/>
        <w:bottom w:val="none" w:sz="0" w:space="0" w:color="auto"/>
        <w:right w:val="none" w:sz="0" w:space="0" w:color="auto"/>
      </w:divBdr>
    </w:div>
    <w:div w:id="262540737">
      <w:bodyDiv w:val="1"/>
      <w:marLeft w:val="0"/>
      <w:marRight w:val="0"/>
      <w:marTop w:val="0"/>
      <w:marBottom w:val="0"/>
      <w:divBdr>
        <w:top w:val="none" w:sz="0" w:space="0" w:color="auto"/>
        <w:left w:val="none" w:sz="0" w:space="0" w:color="auto"/>
        <w:bottom w:val="none" w:sz="0" w:space="0" w:color="auto"/>
        <w:right w:val="none" w:sz="0" w:space="0" w:color="auto"/>
      </w:divBdr>
    </w:div>
    <w:div w:id="315184384">
      <w:bodyDiv w:val="1"/>
      <w:marLeft w:val="0"/>
      <w:marRight w:val="0"/>
      <w:marTop w:val="0"/>
      <w:marBottom w:val="0"/>
      <w:divBdr>
        <w:top w:val="none" w:sz="0" w:space="0" w:color="auto"/>
        <w:left w:val="none" w:sz="0" w:space="0" w:color="auto"/>
        <w:bottom w:val="none" w:sz="0" w:space="0" w:color="auto"/>
        <w:right w:val="none" w:sz="0" w:space="0" w:color="auto"/>
      </w:divBdr>
    </w:div>
    <w:div w:id="330452024">
      <w:bodyDiv w:val="1"/>
      <w:marLeft w:val="0"/>
      <w:marRight w:val="0"/>
      <w:marTop w:val="0"/>
      <w:marBottom w:val="0"/>
      <w:divBdr>
        <w:top w:val="none" w:sz="0" w:space="0" w:color="auto"/>
        <w:left w:val="none" w:sz="0" w:space="0" w:color="auto"/>
        <w:bottom w:val="none" w:sz="0" w:space="0" w:color="auto"/>
        <w:right w:val="none" w:sz="0" w:space="0" w:color="auto"/>
      </w:divBdr>
    </w:div>
    <w:div w:id="358892028">
      <w:bodyDiv w:val="1"/>
      <w:marLeft w:val="0"/>
      <w:marRight w:val="0"/>
      <w:marTop w:val="0"/>
      <w:marBottom w:val="0"/>
      <w:divBdr>
        <w:top w:val="none" w:sz="0" w:space="0" w:color="auto"/>
        <w:left w:val="none" w:sz="0" w:space="0" w:color="auto"/>
        <w:bottom w:val="none" w:sz="0" w:space="0" w:color="auto"/>
        <w:right w:val="none" w:sz="0" w:space="0" w:color="auto"/>
      </w:divBdr>
    </w:div>
    <w:div w:id="359359136">
      <w:bodyDiv w:val="1"/>
      <w:marLeft w:val="0"/>
      <w:marRight w:val="0"/>
      <w:marTop w:val="0"/>
      <w:marBottom w:val="0"/>
      <w:divBdr>
        <w:top w:val="none" w:sz="0" w:space="0" w:color="auto"/>
        <w:left w:val="none" w:sz="0" w:space="0" w:color="auto"/>
        <w:bottom w:val="none" w:sz="0" w:space="0" w:color="auto"/>
        <w:right w:val="none" w:sz="0" w:space="0" w:color="auto"/>
      </w:divBdr>
    </w:div>
    <w:div w:id="478349377">
      <w:bodyDiv w:val="1"/>
      <w:marLeft w:val="0"/>
      <w:marRight w:val="0"/>
      <w:marTop w:val="0"/>
      <w:marBottom w:val="0"/>
      <w:divBdr>
        <w:top w:val="none" w:sz="0" w:space="0" w:color="auto"/>
        <w:left w:val="none" w:sz="0" w:space="0" w:color="auto"/>
        <w:bottom w:val="none" w:sz="0" w:space="0" w:color="auto"/>
        <w:right w:val="none" w:sz="0" w:space="0" w:color="auto"/>
      </w:divBdr>
    </w:div>
    <w:div w:id="505053049">
      <w:bodyDiv w:val="1"/>
      <w:marLeft w:val="0"/>
      <w:marRight w:val="0"/>
      <w:marTop w:val="0"/>
      <w:marBottom w:val="0"/>
      <w:divBdr>
        <w:top w:val="none" w:sz="0" w:space="0" w:color="auto"/>
        <w:left w:val="none" w:sz="0" w:space="0" w:color="auto"/>
        <w:bottom w:val="none" w:sz="0" w:space="0" w:color="auto"/>
        <w:right w:val="none" w:sz="0" w:space="0" w:color="auto"/>
      </w:divBdr>
    </w:div>
    <w:div w:id="554506921">
      <w:bodyDiv w:val="1"/>
      <w:marLeft w:val="0"/>
      <w:marRight w:val="0"/>
      <w:marTop w:val="0"/>
      <w:marBottom w:val="0"/>
      <w:divBdr>
        <w:top w:val="none" w:sz="0" w:space="0" w:color="auto"/>
        <w:left w:val="none" w:sz="0" w:space="0" w:color="auto"/>
        <w:bottom w:val="none" w:sz="0" w:space="0" w:color="auto"/>
        <w:right w:val="none" w:sz="0" w:space="0" w:color="auto"/>
      </w:divBdr>
    </w:div>
    <w:div w:id="578369400">
      <w:bodyDiv w:val="1"/>
      <w:marLeft w:val="0"/>
      <w:marRight w:val="0"/>
      <w:marTop w:val="0"/>
      <w:marBottom w:val="0"/>
      <w:divBdr>
        <w:top w:val="none" w:sz="0" w:space="0" w:color="auto"/>
        <w:left w:val="none" w:sz="0" w:space="0" w:color="auto"/>
        <w:bottom w:val="none" w:sz="0" w:space="0" w:color="auto"/>
        <w:right w:val="none" w:sz="0" w:space="0" w:color="auto"/>
      </w:divBdr>
    </w:div>
    <w:div w:id="656349602">
      <w:bodyDiv w:val="1"/>
      <w:marLeft w:val="0"/>
      <w:marRight w:val="0"/>
      <w:marTop w:val="0"/>
      <w:marBottom w:val="0"/>
      <w:divBdr>
        <w:top w:val="none" w:sz="0" w:space="0" w:color="auto"/>
        <w:left w:val="none" w:sz="0" w:space="0" w:color="auto"/>
        <w:bottom w:val="none" w:sz="0" w:space="0" w:color="auto"/>
        <w:right w:val="none" w:sz="0" w:space="0" w:color="auto"/>
      </w:divBdr>
      <w:divsChild>
        <w:div w:id="1013203">
          <w:marLeft w:val="0"/>
          <w:marRight w:val="0"/>
          <w:marTop w:val="0"/>
          <w:marBottom w:val="0"/>
          <w:divBdr>
            <w:top w:val="none" w:sz="0" w:space="0" w:color="auto"/>
            <w:left w:val="none" w:sz="0" w:space="0" w:color="auto"/>
            <w:bottom w:val="none" w:sz="0" w:space="0" w:color="auto"/>
            <w:right w:val="none" w:sz="0" w:space="0" w:color="auto"/>
          </w:divBdr>
          <w:divsChild>
            <w:div w:id="1891962013">
              <w:marLeft w:val="0"/>
              <w:marRight w:val="0"/>
              <w:marTop w:val="0"/>
              <w:marBottom w:val="0"/>
              <w:divBdr>
                <w:top w:val="none" w:sz="0" w:space="0" w:color="auto"/>
                <w:left w:val="none" w:sz="0" w:space="0" w:color="auto"/>
                <w:bottom w:val="none" w:sz="0" w:space="0" w:color="auto"/>
                <w:right w:val="none" w:sz="0" w:space="0" w:color="auto"/>
              </w:divBdr>
            </w:div>
          </w:divsChild>
        </w:div>
        <w:div w:id="3938848">
          <w:marLeft w:val="0"/>
          <w:marRight w:val="0"/>
          <w:marTop w:val="0"/>
          <w:marBottom w:val="0"/>
          <w:divBdr>
            <w:top w:val="none" w:sz="0" w:space="0" w:color="auto"/>
            <w:left w:val="none" w:sz="0" w:space="0" w:color="auto"/>
            <w:bottom w:val="none" w:sz="0" w:space="0" w:color="auto"/>
            <w:right w:val="none" w:sz="0" w:space="0" w:color="auto"/>
          </w:divBdr>
          <w:divsChild>
            <w:div w:id="1791391812">
              <w:marLeft w:val="0"/>
              <w:marRight w:val="0"/>
              <w:marTop w:val="0"/>
              <w:marBottom w:val="0"/>
              <w:divBdr>
                <w:top w:val="none" w:sz="0" w:space="0" w:color="auto"/>
                <w:left w:val="none" w:sz="0" w:space="0" w:color="auto"/>
                <w:bottom w:val="none" w:sz="0" w:space="0" w:color="auto"/>
                <w:right w:val="none" w:sz="0" w:space="0" w:color="auto"/>
              </w:divBdr>
            </w:div>
          </w:divsChild>
        </w:div>
        <w:div w:id="8916609">
          <w:marLeft w:val="0"/>
          <w:marRight w:val="0"/>
          <w:marTop w:val="0"/>
          <w:marBottom w:val="0"/>
          <w:divBdr>
            <w:top w:val="none" w:sz="0" w:space="0" w:color="auto"/>
            <w:left w:val="none" w:sz="0" w:space="0" w:color="auto"/>
            <w:bottom w:val="none" w:sz="0" w:space="0" w:color="auto"/>
            <w:right w:val="none" w:sz="0" w:space="0" w:color="auto"/>
          </w:divBdr>
          <w:divsChild>
            <w:div w:id="619804664">
              <w:marLeft w:val="0"/>
              <w:marRight w:val="0"/>
              <w:marTop w:val="0"/>
              <w:marBottom w:val="0"/>
              <w:divBdr>
                <w:top w:val="none" w:sz="0" w:space="0" w:color="auto"/>
                <w:left w:val="none" w:sz="0" w:space="0" w:color="auto"/>
                <w:bottom w:val="none" w:sz="0" w:space="0" w:color="auto"/>
                <w:right w:val="none" w:sz="0" w:space="0" w:color="auto"/>
              </w:divBdr>
            </w:div>
          </w:divsChild>
        </w:div>
        <w:div w:id="12537245">
          <w:marLeft w:val="0"/>
          <w:marRight w:val="0"/>
          <w:marTop w:val="0"/>
          <w:marBottom w:val="0"/>
          <w:divBdr>
            <w:top w:val="none" w:sz="0" w:space="0" w:color="auto"/>
            <w:left w:val="none" w:sz="0" w:space="0" w:color="auto"/>
            <w:bottom w:val="none" w:sz="0" w:space="0" w:color="auto"/>
            <w:right w:val="none" w:sz="0" w:space="0" w:color="auto"/>
          </w:divBdr>
          <w:divsChild>
            <w:div w:id="784231602">
              <w:marLeft w:val="0"/>
              <w:marRight w:val="0"/>
              <w:marTop w:val="0"/>
              <w:marBottom w:val="0"/>
              <w:divBdr>
                <w:top w:val="none" w:sz="0" w:space="0" w:color="auto"/>
                <w:left w:val="none" w:sz="0" w:space="0" w:color="auto"/>
                <w:bottom w:val="none" w:sz="0" w:space="0" w:color="auto"/>
                <w:right w:val="none" w:sz="0" w:space="0" w:color="auto"/>
              </w:divBdr>
            </w:div>
          </w:divsChild>
        </w:div>
        <w:div w:id="17433309">
          <w:marLeft w:val="0"/>
          <w:marRight w:val="0"/>
          <w:marTop w:val="0"/>
          <w:marBottom w:val="0"/>
          <w:divBdr>
            <w:top w:val="none" w:sz="0" w:space="0" w:color="auto"/>
            <w:left w:val="none" w:sz="0" w:space="0" w:color="auto"/>
            <w:bottom w:val="none" w:sz="0" w:space="0" w:color="auto"/>
            <w:right w:val="none" w:sz="0" w:space="0" w:color="auto"/>
          </w:divBdr>
          <w:divsChild>
            <w:div w:id="535506036">
              <w:marLeft w:val="0"/>
              <w:marRight w:val="0"/>
              <w:marTop w:val="0"/>
              <w:marBottom w:val="0"/>
              <w:divBdr>
                <w:top w:val="none" w:sz="0" w:space="0" w:color="auto"/>
                <w:left w:val="none" w:sz="0" w:space="0" w:color="auto"/>
                <w:bottom w:val="none" w:sz="0" w:space="0" w:color="auto"/>
                <w:right w:val="none" w:sz="0" w:space="0" w:color="auto"/>
              </w:divBdr>
            </w:div>
          </w:divsChild>
        </w:div>
        <w:div w:id="21712977">
          <w:marLeft w:val="0"/>
          <w:marRight w:val="0"/>
          <w:marTop w:val="0"/>
          <w:marBottom w:val="0"/>
          <w:divBdr>
            <w:top w:val="none" w:sz="0" w:space="0" w:color="auto"/>
            <w:left w:val="none" w:sz="0" w:space="0" w:color="auto"/>
            <w:bottom w:val="none" w:sz="0" w:space="0" w:color="auto"/>
            <w:right w:val="none" w:sz="0" w:space="0" w:color="auto"/>
          </w:divBdr>
          <w:divsChild>
            <w:div w:id="1810240600">
              <w:marLeft w:val="0"/>
              <w:marRight w:val="0"/>
              <w:marTop w:val="0"/>
              <w:marBottom w:val="0"/>
              <w:divBdr>
                <w:top w:val="none" w:sz="0" w:space="0" w:color="auto"/>
                <w:left w:val="none" w:sz="0" w:space="0" w:color="auto"/>
                <w:bottom w:val="none" w:sz="0" w:space="0" w:color="auto"/>
                <w:right w:val="none" w:sz="0" w:space="0" w:color="auto"/>
              </w:divBdr>
            </w:div>
          </w:divsChild>
        </w:div>
        <w:div w:id="31468249">
          <w:marLeft w:val="0"/>
          <w:marRight w:val="0"/>
          <w:marTop w:val="0"/>
          <w:marBottom w:val="0"/>
          <w:divBdr>
            <w:top w:val="none" w:sz="0" w:space="0" w:color="auto"/>
            <w:left w:val="none" w:sz="0" w:space="0" w:color="auto"/>
            <w:bottom w:val="none" w:sz="0" w:space="0" w:color="auto"/>
            <w:right w:val="none" w:sz="0" w:space="0" w:color="auto"/>
          </w:divBdr>
          <w:divsChild>
            <w:div w:id="167062634">
              <w:marLeft w:val="0"/>
              <w:marRight w:val="0"/>
              <w:marTop w:val="0"/>
              <w:marBottom w:val="0"/>
              <w:divBdr>
                <w:top w:val="none" w:sz="0" w:space="0" w:color="auto"/>
                <w:left w:val="none" w:sz="0" w:space="0" w:color="auto"/>
                <w:bottom w:val="none" w:sz="0" w:space="0" w:color="auto"/>
                <w:right w:val="none" w:sz="0" w:space="0" w:color="auto"/>
              </w:divBdr>
            </w:div>
          </w:divsChild>
        </w:div>
        <w:div w:id="31730619">
          <w:marLeft w:val="0"/>
          <w:marRight w:val="0"/>
          <w:marTop w:val="0"/>
          <w:marBottom w:val="0"/>
          <w:divBdr>
            <w:top w:val="none" w:sz="0" w:space="0" w:color="auto"/>
            <w:left w:val="none" w:sz="0" w:space="0" w:color="auto"/>
            <w:bottom w:val="none" w:sz="0" w:space="0" w:color="auto"/>
            <w:right w:val="none" w:sz="0" w:space="0" w:color="auto"/>
          </w:divBdr>
          <w:divsChild>
            <w:div w:id="430903647">
              <w:marLeft w:val="0"/>
              <w:marRight w:val="0"/>
              <w:marTop w:val="0"/>
              <w:marBottom w:val="0"/>
              <w:divBdr>
                <w:top w:val="none" w:sz="0" w:space="0" w:color="auto"/>
                <w:left w:val="none" w:sz="0" w:space="0" w:color="auto"/>
                <w:bottom w:val="none" w:sz="0" w:space="0" w:color="auto"/>
                <w:right w:val="none" w:sz="0" w:space="0" w:color="auto"/>
              </w:divBdr>
            </w:div>
          </w:divsChild>
        </w:div>
        <w:div w:id="31735926">
          <w:marLeft w:val="0"/>
          <w:marRight w:val="0"/>
          <w:marTop w:val="0"/>
          <w:marBottom w:val="0"/>
          <w:divBdr>
            <w:top w:val="none" w:sz="0" w:space="0" w:color="auto"/>
            <w:left w:val="none" w:sz="0" w:space="0" w:color="auto"/>
            <w:bottom w:val="none" w:sz="0" w:space="0" w:color="auto"/>
            <w:right w:val="none" w:sz="0" w:space="0" w:color="auto"/>
          </w:divBdr>
          <w:divsChild>
            <w:div w:id="78213375">
              <w:marLeft w:val="0"/>
              <w:marRight w:val="0"/>
              <w:marTop w:val="0"/>
              <w:marBottom w:val="0"/>
              <w:divBdr>
                <w:top w:val="none" w:sz="0" w:space="0" w:color="auto"/>
                <w:left w:val="none" w:sz="0" w:space="0" w:color="auto"/>
                <w:bottom w:val="none" w:sz="0" w:space="0" w:color="auto"/>
                <w:right w:val="none" w:sz="0" w:space="0" w:color="auto"/>
              </w:divBdr>
            </w:div>
          </w:divsChild>
        </w:div>
        <w:div w:id="38828267">
          <w:marLeft w:val="0"/>
          <w:marRight w:val="0"/>
          <w:marTop w:val="0"/>
          <w:marBottom w:val="0"/>
          <w:divBdr>
            <w:top w:val="none" w:sz="0" w:space="0" w:color="auto"/>
            <w:left w:val="none" w:sz="0" w:space="0" w:color="auto"/>
            <w:bottom w:val="none" w:sz="0" w:space="0" w:color="auto"/>
            <w:right w:val="none" w:sz="0" w:space="0" w:color="auto"/>
          </w:divBdr>
          <w:divsChild>
            <w:div w:id="1514808533">
              <w:marLeft w:val="0"/>
              <w:marRight w:val="0"/>
              <w:marTop w:val="0"/>
              <w:marBottom w:val="0"/>
              <w:divBdr>
                <w:top w:val="none" w:sz="0" w:space="0" w:color="auto"/>
                <w:left w:val="none" w:sz="0" w:space="0" w:color="auto"/>
                <w:bottom w:val="none" w:sz="0" w:space="0" w:color="auto"/>
                <w:right w:val="none" w:sz="0" w:space="0" w:color="auto"/>
              </w:divBdr>
            </w:div>
          </w:divsChild>
        </w:div>
        <w:div w:id="42147032">
          <w:marLeft w:val="0"/>
          <w:marRight w:val="0"/>
          <w:marTop w:val="0"/>
          <w:marBottom w:val="0"/>
          <w:divBdr>
            <w:top w:val="none" w:sz="0" w:space="0" w:color="auto"/>
            <w:left w:val="none" w:sz="0" w:space="0" w:color="auto"/>
            <w:bottom w:val="none" w:sz="0" w:space="0" w:color="auto"/>
            <w:right w:val="none" w:sz="0" w:space="0" w:color="auto"/>
          </w:divBdr>
          <w:divsChild>
            <w:div w:id="2092309736">
              <w:marLeft w:val="0"/>
              <w:marRight w:val="0"/>
              <w:marTop w:val="0"/>
              <w:marBottom w:val="0"/>
              <w:divBdr>
                <w:top w:val="none" w:sz="0" w:space="0" w:color="auto"/>
                <w:left w:val="none" w:sz="0" w:space="0" w:color="auto"/>
                <w:bottom w:val="none" w:sz="0" w:space="0" w:color="auto"/>
                <w:right w:val="none" w:sz="0" w:space="0" w:color="auto"/>
              </w:divBdr>
            </w:div>
          </w:divsChild>
        </w:div>
        <w:div w:id="46612067">
          <w:marLeft w:val="0"/>
          <w:marRight w:val="0"/>
          <w:marTop w:val="0"/>
          <w:marBottom w:val="0"/>
          <w:divBdr>
            <w:top w:val="none" w:sz="0" w:space="0" w:color="auto"/>
            <w:left w:val="none" w:sz="0" w:space="0" w:color="auto"/>
            <w:bottom w:val="none" w:sz="0" w:space="0" w:color="auto"/>
            <w:right w:val="none" w:sz="0" w:space="0" w:color="auto"/>
          </w:divBdr>
          <w:divsChild>
            <w:div w:id="1080446905">
              <w:marLeft w:val="0"/>
              <w:marRight w:val="0"/>
              <w:marTop w:val="0"/>
              <w:marBottom w:val="0"/>
              <w:divBdr>
                <w:top w:val="none" w:sz="0" w:space="0" w:color="auto"/>
                <w:left w:val="none" w:sz="0" w:space="0" w:color="auto"/>
                <w:bottom w:val="none" w:sz="0" w:space="0" w:color="auto"/>
                <w:right w:val="none" w:sz="0" w:space="0" w:color="auto"/>
              </w:divBdr>
            </w:div>
          </w:divsChild>
        </w:div>
        <w:div w:id="50807984">
          <w:marLeft w:val="0"/>
          <w:marRight w:val="0"/>
          <w:marTop w:val="0"/>
          <w:marBottom w:val="0"/>
          <w:divBdr>
            <w:top w:val="none" w:sz="0" w:space="0" w:color="auto"/>
            <w:left w:val="none" w:sz="0" w:space="0" w:color="auto"/>
            <w:bottom w:val="none" w:sz="0" w:space="0" w:color="auto"/>
            <w:right w:val="none" w:sz="0" w:space="0" w:color="auto"/>
          </w:divBdr>
          <w:divsChild>
            <w:div w:id="598873566">
              <w:marLeft w:val="0"/>
              <w:marRight w:val="0"/>
              <w:marTop w:val="0"/>
              <w:marBottom w:val="0"/>
              <w:divBdr>
                <w:top w:val="none" w:sz="0" w:space="0" w:color="auto"/>
                <w:left w:val="none" w:sz="0" w:space="0" w:color="auto"/>
                <w:bottom w:val="none" w:sz="0" w:space="0" w:color="auto"/>
                <w:right w:val="none" w:sz="0" w:space="0" w:color="auto"/>
              </w:divBdr>
            </w:div>
          </w:divsChild>
        </w:div>
        <w:div w:id="52047615">
          <w:marLeft w:val="0"/>
          <w:marRight w:val="0"/>
          <w:marTop w:val="0"/>
          <w:marBottom w:val="0"/>
          <w:divBdr>
            <w:top w:val="none" w:sz="0" w:space="0" w:color="auto"/>
            <w:left w:val="none" w:sz="0" w:space="0" w:color="auto"/>
            <w:bottom w:val="none" w:sz="0" w:space="0" w:color="auto"/>
            <w:right w:val="none" w:sz="0" w:space="0" w:color="auto"/>
          </w:divBdr>
          <w:divsChild>
            <w:div w:id="2127306304">
              <w:marLeft w:val="0"/>
              <w:marRight w:val="0"/>
              <w:marTop w:val="0"/>
              <w:marBottom w:val="0"/>
              <w:divBdr>
                <w:top w:val="none" w:sz="0" w:space="0" w:color="auto"/>
                <w:left w:val="none" w:sz="0" w:space="0" w:color="auto"/>
                <w:bottom w:val="none" w:sz="0" w:space="0" w:color="auto"/>
                <w:right w:val="none" w:sz="0" w:space="0" w:color="auto"/>
              </w:divBdr>
            </w:div>
          </w:divsChild>
        </w:div>
        <w:div w:id="66346377">
          <w:marLeft w:val="0"/>
          <w:marRight w:val="0"/>
          <w:marTop w:val="0"/>
          <w:marBottom w:val="0"/>
          <w:divBdr>
            <w:top w:val="none" w:sz="0" w:space="0" w:color="auto"/>
            <w:left w:val="none" w:sz="0" w:space="0" w:color="auto"/>
            <w:bottom w:val="none" w:sz="0" w:space="0" w:color="auto"/>
            <w:right w:val="none" w:sz="0" w:space="0" w:color="auto"/>
          </w:divBdr>
          <w:divsChild>
            <w:div w:id="1438983504">
              <w:marLeft w:val="0"/>
              <w:marRight w:val="0"/>
              <w:marTop w:val="0"/>
              <w:marBottom w:val="0"/>
              <w:divBdr>
                <w:top w:val="none" w:sz="0" w:space="0" w:color="auto"/>
                <w:left w:val="none" w:sz="0" w:space="0" w:color="auto"/>
                <w:bottom w:val="none" w:sz="0" w:space="0" w:color="auto"/>
                <w:right w:val="none" w:sz="0" w:space="0" w:color="auto"/>
              </w:divBdr>
            </w:div>
          </w:divsChild>
        </w:div>
        <w:div w:id="71245828">
          <w:marLeft w:val="0"/>
          <w:marRight w:val="0"/>
          <w:marTop w:val="0"/>
          <w:marBottom w:val="0"/>
          <w:divBdr>
            <w:top w:val="none" w:sz="0" w:space="0" w:color="auto"/>
            <w:left w:val="none" w:sz="0" w:space="0" w:color="auto"/>
            <w:bottom w:val="none" w:sz="0" w:space="0" w:color="auto"/>
            <w:right w:val="none" w:sz="0" w:space="0" w:color="auto"/>
          </w:divBdr>
          <w:divsChild>
            <w:div w:id="135490931">
              <w:marLeft w:val="0"/>
              <w:marRight w:val="0"/>
              <w:marTop w:val="0"/>
              <w:marBottom w:val="0"/>
              <w:divBdr>
                <w:top w:val="none" w:sz="0" w:space="0" w:color="auto"/>
                <w:left w:val="none" w:sz="0" w:space="0" w:color="auto"/>
                <w:bottom w:val="none" w:sz="0" w:space="0" w:color="auto"/>
                <w:right w:val="none" w:sz="0" w:space="0" w:color="auto"/>
              </w:divBdr>
            </w:div>
          </w:divsChild>
        </w:div>
        <w:div w:id="77752494">
          <w:marLeft w:val="0"/>
          <w:marRight w:val="0"/>
          <w:marTop w:val="0"/>
          <w:marBottom w:val="0"/>
          <w:divBdr>
            <w:top w:val="none" w:sz="0" w:space="0" w:color="auto"/>
            <w:left w:val="none" w:sz="0" w:space="0" w:color="auto"/>
            <w:bottom w:val="none" w:sz="0" w:space="0" w:color="auto"/>
            <w:right w:val="none" w:sz="0" w:space="0" w:color="auto"/>
          </w:divBdr>
          <w:divsChild>
            <w:div w:id="311716281">
              <w:marLeft w:val="0"/>
              <w:marRight w:val="0"/>
              <w:marTop w:val="0"/>
              <w:marBottom w:val="0"/>
              <w:divBdr>
                <w:top w:val="none" w:sz="0" w:space="0" w:color="auto"/>
                <w:left w:val="none" w:sz="0" w:space="0" w:color="auto"/>
                <w:bottom w:val="none" w:sz="0" w:space="0" w:color="auto"/>
                <w:right w:val="none" w:sz="0" w:space="0" w:color="auto"/>
              </w:divBdr>
            </w:div>
          </w:divsChild>
        </w:div>
        <w:div w:id="89784675">
          <w:marLeft w:val="0"/>
          <w:marRight w:val="0"/>
          <w:marTop w:val="0"/>
          <w:marBottom w:val="0"/>
          <w:divBdr>
            <w:top w:val="none" w:sz="0" w:space="0" w:color="auto"/>
            <w:left w:val="none" w:sz="0" w:space="0" w:color="auto"/>
            <w:bottom w:val="none" w:sz="0" w:space="0" w:color="auto"/>
            <w:right w:val="none" w:sz="0" w:space="0" w:color="auto"/>
          </w:divBdr>
          <w:divsChild>
            <w:div w:id="254750029">
              <w:marLeft w:val="0"/>
              <w:marRight w:val="0"/>
              <w:marTop w:val="0"/>
              <w:marBottom w:val="0"/>
              <w:divBdr>
                <w:top w:val="none" w:sz="0" w:space="0" w:color="auto"/>
                <w:left w:val="none" w:sz="0" w:space="0" w:color="auto"/>
                <w:bottom w:val="none" w:sz="0" w:space="0" w:color="auto"/>
                <w:right w:val="none" w:sz="0" w:space="0" w:color="auto"/>
              </w:divBdr>
            </w:div>
          </w:divsChild>
        </w:div>
        <w:div w:id="98113664">
          <w:marLeft w:val="0"/>
          <w:marRight w:val="0"/>
          <w:marTop w:val="0"/>
          <w:marBottom w:val="0"/>
          <w:divBdr>
            <w:top w:val="none" w:sz="0" w:space="0" w:color="auto"/>
            <w:left w:val="none" w:sz="0" w:space="0" w:color="auto"/>
            <w:bottom w:val="none" w:sz="0" w:space="0" w:color="auto"/>
            <w:right w:val="none" w:sz="0" w:space="0" w:color="auto"/>
          </w:divBdr>
          <w:divsChild>
            <w:div w:id="1004284501">
              <w:marLeft w:val="0"/>
              <w:marRight w:val="0"/>
              <w:marTop w:val="0"/>
              <w:marBottom w:val="0"/>
              <w:divBdr>
                <w:top w:val="none" w:sz="0" w:space="0" w:color="auto"/>
                <w:left w:val="none" w:sz="0" w:space="0" w:color="auto"/>
                <w:bottom w:val="none" w:sz="0" w:space="0" w:color="auto"/>
                <w:right w:val="none" w:sz="0" w:space="0" w:color="auto"/>
              </w:divBdr>
            </w:div>
          </w:divsChild>
        </w:div>
        <w:div w:id="102920509">
          <w:marLeft w:val="0"/>
          <w:marRight w:val="0"/>
          <w:marTop w:val="0"/>
          <w:marBottom w:val="0"/>
          <w:divBdr>
            <w:top w:val="none" w:sz="0" w:space="0" w:color="auto"/>
            <w:left w:val="none" w:sz="0" w:space="0" w:color="auto"/>
            <w:bottom w:val="none" w:sz="0" w:space="0" w:color="auto"/>
            <w:right w:val="none" w:sz="0" w:space="0" w:color="auto"/>
          </w:divBdr>
          <w:divsChild>
            <w:div w:id="759135998">
              <w:marLeft w:val="0"/>
              <w:marRight w:val="0"/>
              <w:marTop w:val="0"/>
              <w:marBottom w:val="0"/>
              <w:divBdr>
                <w:top w:val="none" w:sz="0" w:space="0" w:color="auto"/>
                <w:left w:val="none" w:sz="0" w:space="0" w:color="auto"/>
                <w:bottom w:val="none" w:sz="0" w:space="0" w:color="auto"/>
                <w:right w:val="none" w:sz="0" w:space="0" w:color="auto"/>
              </w:divBdr>
            </w:div>
          </w:divsChild>
        </w:div>
        <w:div w:id="110636575">
          <w:marLeft w:val="0"/>
          <w:marRight w:val="0"/>
          <w:marTop w:val="0"/>
          <w:marBottom w:val="0"/>
          <w:divBdr>
            <w:top w:val="none" w:sz="0" w:space="0" w:color="auto"/>
            <w:left w:val="none" w:sz="0" w:space="0" w:color="auto"/>
            <w:bottom w:val="none" w:sz="0" w:space="0" w:color="auto"/>
            <w:right w:val="none" w:sz="0" w:space="0" w:color="auto"/>
          </w:divBdr>
          <w:divsChild>
            <w:div w:id="490028016">
              <w:marLeft w:val="0"/>
              <w:marRight w:val="0"/>
              <w:marTop w:val="0"/>
              <w:marBottom w:val="0"/>
              <w:divBdr>
                <w:top w:val="none" w:sz="0" w:space="0" w:color="auto"/>
                <w:left w:val="none" w:sz="0" w:space="0" w:color="auto"/>
                <w:bottom w:val="none" w:sz="0" w:space="0" w:color="auto"/>
                <w:right w:val="none" w:sz="0" w:space="0" w:color="auto"/>
              </w:divBdr>
            </w:div>
          </w:divsChild>
        </w:div>
        <w:div w:id="113525213">
          <w:marLeft w:val="0"/>
          <w:marRight w:val="0"/>
          <w:marTop w:val="0"/>
          <w:marBottom w:val="0"/>
          <w:divBdr>
            <w:top w:val="none" w:sz="0" w:space="0" w:color="auto"/>
            <w:left w:val="none" w:sz="0" w:space="0" w:color="auto"/>
            <w:bottom w:val="none" w:sz="0" w:space="0" w:color="auto"/>
            <w:right w:val="none" w:sz="0" w:space="0" w:color="auto"/>
          </w:divBdr>
          <w:divsChild>
            <w:div w:id="1158881943">
              <w:marLeft w:val="0"/>
              <w:marRight w:val="0"/>
              <w:marTop w:val="0"/>
              <w:marBottom w:val="0"/>
              <w:divBdr>
                <w:top w:val="none" w:sz="0" w:space="0" w:color="auto"/>
                <w:left w:val="none" w:sz="0" w:space="0" w:color="auto"/>
                <w:bottom w:val="none" w:sz="0" w:space="0" w:color="auto"/>
                <w:right w:val="none" w:sz="0" w:space="0" w:color="auto"/>
              </w:divBdr>
            </w:div>
          </w:divsChild>
        </w:div>
        <w:div w:id="118762068">
          <w:marLeft w:val="0"/>
          <w:marRight w:val="0"/>
          <w:marTop w:val="0"/>
          <w:marBottom w:val="0"/>
          <w:divBdr>
            <w:top w:val="none" w:sz="0" w:space="0" w:color="auto"/>
            <w:left w:val="none" w:sz="0" w:space="0" w:color="auto"/>
            <w:bottom w:val="none" w:sz="0" w:space="0" w:color="auto"/>
            <w:right w:val="none" w:sz="0" w:space="0" w:color="auto"/>
          </w:divBdr>
          <w:divsChild>
            <w:div w:id="699939564">
              <w:marLeft w:val="0"/>
              <w:marRight w:val="0"/>
              <w:marTop w:val="0"/>
              <w:marBottom w:val="0"/>
              <w:divBdr>
                <w:top w:val="none" w:sz="0" w:space="0" w:color="auto"/>
                <w:left w:val="none" w:sz="0" w:space="0" w:color="auto"/>
                <w:bottom w:val="none" w:sz="0" w:space="0" w:color="auto"/>
                <w:right w:val="none" w:sz="0" w:space="0" w:color="auto"/>
              </w:divBdr>
            </w:div>
          </w:divsChild>
        </w:div>
        <w:div w:id="125201180">
          <w:marLeft w:val="0"/>
          <w:marRight w:val="0"/>
          <w:marTop w:val="0"/>
          <w:marBottom w:val="0"/>
          <w:divBdr>
            <w:top w:val="none" w:sz="0" w:space="0" w:color="auto"/>
            <w:left w:val="none" w:sz="0" w:space="0" w:color="auto"/>
            <w:bottom w:val="none" w:sz="0" w:space="0" w:color="auto"/>
            <w:right w:val="none" w:sz="0" w:space="0" w:color="auto"/>
          </w:divBdr>
          <w:divsChild>
            <w:div w:id="1775131721">
              <w:marLeft w:val="0"/>
              <w:marRight w:val="0"/>
              <w:marTop w:val="0"/>
              <w:marBottom w:val="0"/>
              <w:divBdr>
                <w:top w:val="none" w:sz="0" w:space="0" w:color="auto"/>
                <w:left w:val="none" w:sz="0" w:space="0" w:color="auto"/>
                <w:bottom w:val="none" w:sz="0" w:space="0" w:color="auto"/>
                <w:right w:val="none" w:sz="0" w:space="0" w:color="auto"/>
              </w:divBdr>
            </w:div>
          </w:divsChild>
        </w:div>
        <w:div w:id="127821332">
          <w:marLeft w:val="0"/>
          <w:marRight w:val="0"/>
          <w:marTop w:val="0"/>
          <w:marBottom w:val="0"/>
          <w:divBdr>
            <w:top w:val="none" w:sz="0" w:space="0" w:color="auto"/>
            <w:left w:val="none" w:sz="0" w:space="0" w:color="auto"/>
            <w:bottom w:val="none" w:sz="0" w:space="0" w:color="auto"/>
            <w:right w:val="none" w:sz="0" w:space="0" w:color="auto"/>
          </w:divBdr>
          <w:divsChild>
            <w:div w:id="1935280766">
              <w:marLeft w:val="0"/>
              <w:marRight w:val="0"/>
              <w:marTop w:val="0"/>
              <w:marBottom w:val="0"/>
              <w:divBdr>
                <w:top w:val="none" w:sz="0" w:space="0" w:color="auto"/>
                <w:left w:val="none" w:sz="0" w:space="0" w:color="auto"/>
                <w:bottom w:val="none" w:sz="0" w:space="0" w:color="auto"/>
                <w:right w:val="none" w:sz="0" w:space="0" w:color="auto"/>
              </w:divBdr>
            </w:div>
          </w:divsChild>
        </w:div>
        <w:div w:id="130371572">
          <w:marLeft w:val="0"/>
          <w:marRight w:val="0"/>
          <w:marTop w:val="0"/>
          <w:marBottom w:val="0"/>
          <w:divBdr>
            <w:top w:val="none" w:sz="0" w:space="0" w:color="auto"/>
            <w:left w:val="none" w:sz="0" w:space="0" w:color="auto"/>
            <w:bottom w:val="none" w:sz="0" w:space="0" w:color="auto"/>
            <w:right w:val="none" w:sz="0" w:space="0" w:color="auto"/>
          </w:divBdr>
          <w:divsChild>
            <w:div w:id="123085560">
              <w:marLeft w:val="0"/>
              <w:marRight w:val="0"/>
              <w:marTop w:val="0"/>
              <w:marBottom w:val="0"/>
              <w:divBdr>
                <w:top w:val="none" w:sz="0" w:space="0" w:color="auto"/>
                <w:left w:val="none" w:sz="0" w:space="0" w:color="auto"/>
                <w:bottom w:val="none" w:sz="0" w:space="0" w:color="auto"/>
                <w:right w:val="none" w:sz="0" w:space="0" w:color="auto"/>
              </w:divBdr>
            </w:div>
          </w:divsChild>
        </w:div>
        <w:div w:id="138694029">
          <w:marLeft w:val="0"/>
          <w:marRight w:val="0"/>
          <w:marTop w:val="0"/>
          <w:marBottom w:val="0"/>
          <w:divBdr>
            <w:top w:val="none" w:sz="0" w:space="0" w:color="auto"/>
            <w:left w:val="none" w:sz="0" w:space="0" w:color="auto"/>
            <w:bottom w:val="none" w:sz="0" w:space="0" w:color="auto"/>
            <w:right w:val="none" w:sz="0" w:space="0" w:color="auto"/>
          </w:divBdr>
          <w:divsChild>
            <w:div w:id="653147564">
              <w:marLeft w:val="0"/>
              <w:marRight w:val="0"/>
              <w:marTop w:val="0"/>
              <w:marBottom w:val="0"/>
              <w:divBdr>
                <w:top w:val="none" w:sz="0" w:space="0" w:color="auto"/>
                <w:left w:val="none" w:sz="0" w:space="0" w:color="auto"/>
                <w:bottom w:val="none" w:sz="0" w:space="0" w:color="auto"/>
                <w:right w:val="none" w:sz="0" w:space="0" w:color="auto"/>
              </w:divBdr>
            </w:div>
          </w:divsChild>
        </w:div>
        <w:div w:id="144054837">
          <w:marLeft w:val="0"/>
          <w:marRight w:val="0"/>
          <w:marTop w:val="0"/>
          <w:marBottom w:val="0"/>
          <w:divBdr>
            <w:top w:val="none" w:sz="0" w:space="0" w:color="auto"/>
            <w:left w:val="none" w:sz="0" w:space="0" w:color="auto"/>
            <w:bottom w:val="none" w:sz="0" w:space="0" w:color="auto"/>
            <w:right w:val="none" w:sz="0" w:space="0" w:color="auto"/>
          </w:divBdr>
          <w:divsChild>
            <w:div w:id="1888561879">
              <w:marLeft w:val="0"/>
              <w:marRight w:val="0"/>
              <w:marTop w:val="0"/>
              <w:marBottom w:val="0"/>
              <w:divBdr>
                <w:top w:val="none" w:sz="0" w:space="0" w:color="auto"/>
                <w:left w:val="none" w:sz="0" w:space="0" w:color="auto"/>
                <w:bottom w:val="none" w:sz="0" w:space="0" w:color="auto"/>
                <w:right w:val="none" w:sz="0" w:space="0" w:color="auto"/>
              </w:divBdr>
            </w:div>
          </w:divsChild>
        </w:div>
        <w:div w:id="145782360">
          <w:marLeft w:val="0"/>
          <w:marRight w:val="0"/>
          <w:marTop w:val="0"/>
          <w:marBottom w:val="0"/>
          <w:divBdr>
            <w:top w:val="none" w:sz="0" w:space="0" w:color="auto"/>
            <w:left w:val="none" w:sz="0" w:space="0" w:color="auto"/>
            <w:bottom w:val="none" w:sz="0" w:space="0" w:color="auto"/>
            <w:right w:val="none" w:sz="0" w:space="0" w:color="auto"/>
          </w:divBdr>
          <w:divsChild>
            <w:div w:id="1721318958">
              <w:marLeft w:val="0"/>
              <w:marRight w:val="0"/>
              <w:marTop w:val="0"/>
              <w:marBottom w:val="0"/>
              <w:divBdr>
                <w:top w:val="none" w:sz="0" w:space="0" w:color="auto"/>
                <w:left w:val="none" w:sz="0" w:space="0" w:color="auto"/>
                <w:bottom w:val="none" w:sz="0" w:space="0" w:color="auto"/>
                <w:right w:val="none" w:sz="0" w:space="0" w:color="auto"/>
              </w:divBdr>
            </w:div>
          </w:divsChild>
        </w:div>
        <w:div w:id="146438094">
          <w:marLeft w:val="0"/>
          <w:marRight w:val="0"/>
          <w:marTop w:val="0"/>
          <w:marBottom w:val="0"/>
          <w:divBdr>
            <w:top w:val="none" w:sz="0" w:space="0" w:color="auto"/>
            <w:left w:val="none" w:sz="0" w:space="0" w:color="auto"/>
            <w:bottom w:val="none" w:sz="0" w:space="0" w:color="auto"/>
            <w:right w:val="none" w:sz="0" w:space="0" w:color="auto"/>
          </w:divBdr>
          <w:divsChild>
            <w:div w:id="512963955">
              <w:marLeft w:val="0"/>
              <w:marRight w:val="0"/>
              <w:marTop w:val="0"/>
              <w:marBottom w:val="0"/>
              <w:divBdr>
                <w:top w:val="none" w:sz="0" w:space="0" w:color="auto"/>
                <w:left w:val="none" w:sz="0" w:space="0" w:color="auto"/>
                <w:bottom w:val="none" w:sz="0" w:space="0" w:color="auto"/>
                <w:right w:val="none" w:sz="0" w:space="0" w:color="auto"/>
              </w:divBdr>
            </w:div>
          </w:divsChild>
        </w:div>
        <w:div w:id="148324617">
          <w:marLeft w:val="0"/>
          <w:marRight w:val="0"/>
          <w:marTop w:val="0"/>
          <w:marBottom w:val="0"/>
          <w:divBdr>
            <w:top w:val="none" w:sz="0" w:space="0" w:color="auto"/>
            <w:left w:val="none" w:sz="0" w:space="0" w:color="auto"/>
            <w:bottom w:val="none" w:sz="0" w:space="0" w:color="auto"/>
            <w:right w:val="none" w:sz="0" w:space="0" w:color="auto"/>
          </w:divBdr>
          <w:divsChild>
            <w:div w:id="1349216981">
              <w:marLeft w:val="0"/>
              <w:marRight w:val="0"/>
              <w:marTop w:val="0"/>
              <w:marBottom w:val="0"/>
              <w:divBdr>
                <w:top w:val="none" w:sz="0" w:space="0" w:color="auto"/>
                <w:left w:val="none" w:sz="0" w:space="0" w:color="auto"/>
                <w:bottom w:val="none" w:sz="0" w:space="0" w:color="auto"/>
                <w:right w:val="none" w:sz="0" w:space="0" w:color="auto"/>
              </w:divBdr>
            </w:div>
          </w:divsChild>
        </w:div>
        <w:div w:id="151720692">
          <w:marLeft w:val="0"/>
          <w:marRight w:val="0"/>
          <w:marTop w:val="0"/>
          <w:marBottom w:val="0"/>
          <w:divBdr>
            <w:top w:val="none" w:sz="0" w:space="0" w:color="auto"/>
            <w:left w:val="none" w:sz="0" w:space="0" w:color="auto"/>
            <w:bottom w:val="none" w:sz="0" w:space="0" w:color="auto"/>
            <w:right w:val="none" w:sz="0" w:space="0" w:color="auto"/>
          </w:divBdr>
          <w:divsChild>
            <w:div w:id="1391222804">
              <w:marLeft w:val="0"/>
              <w:marRight w:val="0"/>
              <w:marTop w:val="0"/>
              <w:marBottom w:val="0"/>
              <w:divBdr>
                <w:top w:val="none" w:sz="0" w:space="0" w:color="auto"/>
                <w:left w:val="none" w:sz="0" w:space="0" w:color="auto"/>
                <w:bottom w:val="none" w:sz="0" w:space="0" w:color="auto"/>
                <w:right w:val="none" w:sz="0" w:space="0" w:color="auto"/>
              </w:divBdr>
            </w:div>
          </w:divsChild>
        </w:div>
        <w:div w:id="154227751">
          <w:marLeft w:val="0"/>
          <w:marRight w:val="0"/>
          <w:marTop w:val="0"/>
          <w:marBottom w:val="0"/>
          <w:divBdr>
            <w:top w:val="none" w:sz="0" w:space="0" w:color="auto"/>
            <w:left w:val="none" w:sz="0" w:space="0" w:color="auto"/>
            <w:bottom w:val="none" w:sz="0" w:space="0" w:color="auto"/>
            <w:right w:val="none" w:sz="0" w:space="0" w:color="auto"/>
          </w:divBdr>
          <w:divsChild>
            <w:div w:id="554051383">
              <w:marLeft w:val="0"/>
              <w:marRight w:val="0"/>
              <w:marTop w:val="0"/>
              <w:marBottom w:val="0"/>
              <w:divBdr>
                <w:top w:val="none" w:sz="0" w:space="0" w:color="auto"/>
                <w:left w:val="none" w:sz="0" w:space="0" w:color="auto"/>
                <w:bottom w:val="none" w:sz="0" w:space="0" w:color="auto"/>
                <w:right w:val="none" w:sz="0" w:space="0" w:color="auto"/>
              </w:divBdr>
            </w:div>
          </w:divsChild>
        </w:div>
        <w:div w:id="156696645">
          <w:marLeft w:val="0"/>
          <w:marRight w:val="0"/>
          <w:marTop w:val="0"/>
          <w:marBottom w:val="0"/>
          <w:divBdr>
            <w:top w:val="none" w:sz="0" w:space="0" w:color="auto"/>
            <w:left w:val="none" w:sz="0" w:space="0" w:color="auto"/>
            <w:bottom w:val="none" w:sz="0" w:space="0" w:color="auto"/>
            <w:right w:val="none" w:sz="0" w:space="0" w:color="auto"/>
          </w:divBdr>
          <w:divsChild>
            <w:div w:id="841238076">
              <w:marLeft w:val="0"/>
              <w:marRight w:val="0"/>
              <w:marTop w:val="0"/>
              <w:marBottom w:val="0"/>
              <w:divBdr>
                <w:top w:val="none" w:sz="0" w:space="0" w:color="auto"/>
                <w:left w:val="none" w:sz="0" w:space="0" w:color="auto"/>
                <w:bottom w:val="none" w:sz="0" w:space="0" w:color="auto"/>
                <w:right w:val="none" w:sz="0" w:space="0" w:color="auto"/>
              </w:divBdr>
            </w:div>
          </w:divsChild>
        </w:div>
        <w:div w:id="164710549">
          <w:marLeft w:val="0"/>
          <w:marRight w:val="0"/>
          <w:marTop w:val="0"/>
          <w:marBottom w:val="0"/>
          <w:divBdr>
            <w:top w:val="none" w:sz="0" w:space="0" w:color="auto"/>
            <w:left w:val="none" w:sz="0" w:space="0" w:color="auto"/>
            <w:bottom w:val="none" w:sz="0" w:space="0" w:color="auto"/>
            <w:right w:val="none" w:sz="0" w:space="0" w:color="auto"/>
          </w:divBdr>
          <w:divsChild>
            <w:div w:id="1820686581">
              <w:marLeft w:val="0"/>
              <w:marRight w:val="0"/>
              <w:marTop w:val="0"/>
              <w:marBottom w:val="0"/>
              <w:divBdr>
                <w:top w:val="none" w:sz="0" w:space="0" w:color="auto"/>
                <w:left w:val="none" w:sz="0" w:space="0" w:color="auto"/>
                <w:bottom w:val="none" w:sz="0" w:space="0" w:color="auto"/>
                <w:right w:val="none" w:sz="0" w:space="0" w:color="auto"/>
              </w:divBdr>
            </w:div>
          </w:divsChild>
        </w:div>
        <w:div w:id="165245380">
          <w:marLeft w:val="0"/>
          <w:marRight w:val="0"/>
          <w:marTop w:val="0"/>
          <w:marBottom w:val="0"/>
          <w:divBdr>
            <w:top w:val="none" w:sz="0" w:space="0" w:color="auto"/>
            <w:left w:val="none" w:sz="0" w:space="0" w:color="auto"/>
            <w:bottom w:val="none" w:sz="0" w:space="0" w:color="auto"/>
            <w:right w:val="none" w:sz="0" w:space="0" w:color="auto"/>
          </w:divBdr>
          <w:divsChild>
            <w:div w:id="1137380016">
              <w:marLeft w:val="0"/>
              <w:marRight w:val="0"/>
              <w:marTop w:val="0"/>
              <w:marBottom w:val="0"/>
              <w:divBdr>
                <w:top w:val="none" w:sz="0" w:space="0" w:color="auto"/>
                <w:left w:val="none" w:sz="0" w:space="0" w:color="auto"/>
                <w:bottom w:val="none" w:sz="0" w:space="0" w:color="auto"/>
                <w:right w:val="none" w:sz="0" w:space="0" w:color="auto"/>
              </w:divBdr>
            </w:div>
          </w:divsChild>
        </w:div>
        <w:div w:id="178593417">
          <w:marLeft w:val="0"/>
          <w:marRight w:val="0"/>
          <w:marTop w:val="0"/>
          <w:marBottom w:val="0"/>
          <w:divBdr>
            <w:top w:val="none" w:sz="0" w:space="0" w:color="auto"/>
            <w:left w:val="none" w:sz="0" w:space="0" w:color="auto"/>
            <w:bottom w:val="none" w:sz="0" w:space="0" w:color="auto"/>
            <w:right w:val="none" w:sz="0" w:space="0" w:color="auto"/>
          </w:divBdr>
          <w:divsChild>
            <w:div w:id="641886512">
              <w:marLeft w:val="0"/>
              <w:marRight w:val="0"/>
              <w:marTop w:val="0"/>
              <w:marBottom w:val="0"/>
              <w:divBdr>
                <w:top w:val="none" w:sz="0" w:space="0" w:color="auto"/>
                <w:left w:val="none" w:sz="0" w:space="0" w:color="auto"/>
                <w:bottom w:val="none" w:sz="0" w:space="0" w:color="auto"/>
                <w:right w:val="none" w:sz="0" w:space="0" w:color="auto"/>
              </w:divBdr>
            </w:div>
          </w:divsChild>
        </w:div>
        <w:div w:id="180169060">
          <w:marLeft w:val="0"/>
          <w:marRight w:val="0"/>
          <w:marTop w:val="0"/>
          <w:marBottom w:val="0"/>
          <w:divBdr>
            <w:top w:val="none" w:sz="0" w:space="0" w:color="auto"/>
            <w:left w:val="none" w:sz="0" w:space="0" w:color="auto"/>
            <w:bottom w:val="none" w:sz="0" w:space="0" w:color="auto"/>
            <w:right w:val="none" w:sz="0" w:space="0" w:color="auto"/>
          </w:divBdr>
          <w:divsChild>
            <w:div w:id="988634342">
              <w:marLeft w:val="0"/>
              <w:marRight w:val="0"/>
              <w:marTop w:val="0"/>
              <w:marBottom w:val="0"/>
              <w:divBdr>
                <w:top w:val="none" w:sz="0" w:space="0" w:color="auto"/>
                <w:left w:val="none" w:sz="0" w:space="0" w:color="auto"/>
                <w:bottom w:val="none" w:sz="0" w:space="0" w:color="auto"/>
                <w:right w:val="none" w:sz="0" w:space="0" w:color="auto"/>
              </w:divBdr>
            </w:div>
          </w:divsChild>
        </w:div>
        <w:div w:id="203450351">
          <w:marLeft w:val="0"/>
          <w:marRight w:val="0"/>
          <w:marTop w:val="0"/>
          <w:marBottom w:val="0"/>
          <w:divBdr>
            <w:top w:val="none" w:sz="0" w:space="0" w:color="auto"/>
            <w:left w:val="none" w:sz="0" w:space="0" w:color="auto"/>
            <w:bottom w:val="none" w:sz="0" w:space="0" w:color="auto"/>
            <w:right w:val="none" w:sz="0" w:space="0" w:color="auto"/>
          </w:divBdr>
          <w:divsChild>
            <w:div w:id="519122050">
              <w:marLeft w:val="0"/>
              <w:marRight w:val="0"/>
              <w:marTop w:val="0"/>
              <w:marBottom w:val="0"/>
              <w:divBdr>
                <w:top w:val="none" w:sz="0" w:space="0" w:color="auto"/>
                <w:left w:val="none" w:sz="0" w:space="0" w:color="auto"/>
                <w:bottom w:val="none" w:sz="0" w:space="0" w:color="auto"/>
                <w:right w:val="none" w:sz="0" w:space="0" w:color="auto"/>
              </w:divBdr>
            </w:div>
          </w:divsChild>
        </w:div>
        <w:div w:id="221142193">
          <w:marLeft w:val="0"/>
          <w:marRight w:val="0"/>
          <w:marTop w:val="0"/>
          <w:marBottom w:val="0"/>
          <w:divBdr>
            <w:top w:val="none" w:sz="0" w:space="0" w:color="auto"/>
            <w:left w:val="none" w:sz="0" w:space="0" w:color="auto"/>
            <w:bottom w:val="none" w:sz="0" w:space="0" w:color="auto"/>
            <w:right w:val="none" w:sz="0" w:space="0" w:color="auto"/>
          </w:divBdr>
          <w:divsChild>
            <w:div w:id="1324702480">
              <w:marLeft w:val="0"/>
              <w:marRight w:val="0"/>
              <w:marTop w:val="0"/>
              <w:marBottom w:val="0"/>
              <w:divBdr>
                <w:top w:val="none" w:sz="0" w:space="0" w:color="auto"/>
                <w:left w:val="none" w:sz="0" w:space="0" w:color="auto"/>
                <w:bottom w:val="none" w:sz="0" w:space="0" w:color="auto"/>
                <w:right w:val="none" w:sz="0" w:space="0" w:color="auto"/>
              </w:divBdr>
            </w:div>
          </w:divsChild>
        </w:div>
        <w:div w:id="224874115">
          <w:marLeft w:val="0"/>
          <w:marRight w:val="0"/>
          <w:marTop w:val="0"/>
          <w:marBottom w:val="0"/>
          <w:divBdr>
            <w:top w:val="none" w:sz="0" w:space="0" w:color="auto"/>
            <w:left w:val="none" w:sz="0" w:space="0" w:color="auto"/>
            <w:bottom w:val="none" w:sz="0" w:space="0" w:color="auto"/>
            <w:right w:val="none" w:sz="0" w:space="0" w:color="auto"/>
          </w:divBdr>
          <w:divsChild>
            <w:div w:id="1875118645">
              <w:marLeft w:val="0"/>
              <w:marRight w:val="0"/>
              <w:marTop w:val="0"/>
              <w:marBottom w:val="0"/>
              <w:divBdr>
                <w:top w:val="none" w:sz="0" w:space="0" w:color="auto"/>
                <w:left w:val="none" w:sz="0" w:space="0" w:color="auto"/>
                <w:bottom w:val="none" w:sz="0" w:space="0" w:color="auto"/>
                <w:right w:val="none" w:sz="0" w:space="0" w:color="auto"/>
              </w:divBdr>
            </w:div>
          </w:divsChild>
        </w:div>
        <w:div w:id="250087751">
          <w:marLeft w:val="0"/>
          <w:marRight w:val="0"/>
          <w:marTop w:val="0"/>
          <w:marBottom w:val="0"/>
          <w:divBdr>
            <w:top w:val="none" w:sz="0" w:space="0" w:color="auto"/>
            <w:left w:val="none" w:sz="0" w:space="0" w:color="auto"/>
            <w:bottom w:val="none" w:sz="0" w:space="0" w:color="auto"/>
            <w:right w:val="none" w:sz="0" w:space="0" w:color="auto"/>
          </w:divBdr>
          <w:divsChild>
            <w:div w:id="343437984">
              <w:marLeft w:val="0"/>
              <w:marRight w:val="0"/>
              <w:marTop w:val="0"/>
              <w:marBottom w:val="0"/>
              <w:divBdr>
                <w:top w:val="none" w:sz="0" w:space="0" w:color="auto"/>
                <w:left w:val="none" w:sz="0" w:space="0" w:color="auto"/>
                <w:bottom w:val="none" w:sz="0" w:space="0" w:color="auto"/>
                <w:right w:val="none" w:sz="0" w:space="0" w:color="auto"/>
              </w:divBdr>
            </w:div>
          </w:divsChild>
        </w:div>
        <w:div w:id="259142298">
          <w:marLeft w:val="0"/>
          <w:marRight w:val="0"/>
          <w:marTop w:val="0"/>
          <w:marBottom w:val="0"/>
          <w:divBdr>
            <w:top w:val="none" w:sz="0" w:space="0" w:color="auto"/>
            <w:left w:val="none" w:sz="0" w:space="0" w:color="auto"/>
            <w:bottom w:val="none" w:sz="0" w:space="0" w:color="auto"/>
            <w:right w:val="none" w:sz="0" w:space="0" w:color="auto"/>
          </w:divBdr>
          <w:divsChild>
            <w:div w:id="1974208600">
              <w:marLeft w:val="0"/>
              <w:marRight w:val="0"/>
              <w:marTop w:val="0"/>
              <w:marBottom w:val="0"/>
              <w:divBdr>
                <w:top w:val="none" w:sz="0" w:space="0" w:color="auto"/>
                <w:left w:val="none" w:sz="0" w:space="0" w:color="auto"/>
                <w:bottom w:val="none" w:sz="0" w:space="0" w:color="auto"/>
                <w:right w:val="none" w:sz="0" w:space="0" w:color="auto"/>
              </w:divBdr>
            </w:div>
          </w:divsChild>
        </w:div>
        <w:div w:id="280457846">
          <w:marLeft w:val="0"/>
          <w:marRight w:val="0"/>
          <w:marTop w:val="0"/>
          <w:marBottom w:val="0"/>
          <w:divBdr>
            <w:top w:val="none" w:sz="0" w:space="0" w:color="auto"/>
            <w:left w:val="none" w:sz="0" w:space="0" w:color="auto"/>
            <w:bottom w:val="none" w:sz="0" w:space="0" w:color="auto"/>
            <w:right w:val="none" w:sz="0" w:space="0" w:color="auto"/>
          </w:divBdr>
          <w:divsChild>
            <w:div w:id="381058461">
              <w:marLeft w:val="0"/>
              <w:marRight w:val="0"/>
              <w:marTop w:val="0"/>
              <w:marBottom w:val="0"/>
              <w:divBdr>
                <w:top w:val="none" w:sz="0" w:space="0" w:color="auto"/>
                <w:left w:val="none" w:sz="0" w:space="0" w:color="auto"/>
                <w:bottom w:val="none" w:sz="0" w:space="0" w:color="auto"/>
                <w:right w:val="none" w:sz="0" w:space="0" w:color="auto"/>
              </w:divBdr>
            </w:div>
          </w:divsChild>
        </w:div>
        <w:div w:id="293096836">
          <w:marLeft w:val="0"/>
          <w:marRight w:val="0"/>
          <w:marTop w:val="0"/>
          <w:marBottom w:val="0"/>
          <w:divBdr>
            <w:top w:val="none" w:sz="0" w:space="0" w:color="auto"/>
            <w:left w:val="none" w:sz="0" w:space="0" w:color="auto"/>
            <w:bottom w:val="none" w:sz="0" w:space="0" w:color="auto"/>
            <w:right w:val="none" w:sz="0" w:space="0" w:color="auto"/>
          </w:divBdr>
          <w:divsChild>
            <w:div w:id="502823601">
              <w:marLeft w:val="0"/>
              <w:marRight w:val="0"/>
              <w:marTop w:val="0"/>
              <w:marBottom w:val="0"/>
              <w:divBdr>
                <w:top w:val="none" w:sz="0" w:space="0" w:color="auto"/>
                <w:left w:val="none" w:sz="0" w:space="0" w:color="auto"/>
                <w:bottom w:val="none" w:sz="0" w:space="0" w:color="auto"/>
                <w:right w:val="none" w:sz="0" w:space="0" w:color="auto"/>
              </w:divBdr>
            </w:div>
          </w:divsChild>
        </w:div>
        <w:div w:id="299699975">
          <w:marLeft w:val="0"/>
          <w:marRight w:val="0"/>
          <w:marTop w:val="0"/>
          <w:marBottom w:val="0"/>
          <w:divBdr>
            <w:top w:val="none" w:sz="0" w:space="0" w:color="auto"/>
            <w:left w:val="none" w:sz="0" w:space="0" w:color="auto"/>
            <w:bottom w:val="none" w:sz="0" w:space="0" w:color="auto"/>
            <w:right w:val="none" w:sz="0" w:space="0" w:color="auto"/>
          </w:divBdr>
          <w:divsChild>
            <w:div w:id="1590456782">
              <w:marLeft w:val="0"/>
              <w:marRight w:val="0"/>
              <w:marTop w:val="0"/>
              <w:marBottom w:val="0"/>
              <w:divBdr>
                <w:top w:val="none" w:sz="0" w:space="0" w:color="auto"/>
                <w:left w:val="none" w:sz="0" w:space="0" w:color="auto"/>
                <w:bottom w:val="none" w:sz="0" w:space="0" w:color="auto"/>
                <w:right w:val="none" w:sz="0" w:space="0" w:color="auto"/>
              </w:divBdr>
            </w:div>
          </w:divsChild>
        </w:div>
        <w:div w:id="300624676">
          <w:marLeft w:val="0"/>
          <w:marRight w:val="0"/>
          <w:marTop w:val="0"/>
          <w:marBottom w:val="0"/>
          <w:divBdr>
            <w:top w:val="none" w:sz="0" w:space="0" w:color="auto"/>
            <w:left w:val="none" w:sz="0" w:space="0" w:color="auto"/>
            <w:bottom w:val="none" w:sz="0" w:space="0" w:color="auto"/>
            <w:right w:val="none" w:sz="0" w:space="0" w:color="auto"/>
          </w:divBdr>
          <w:divsChild>
            <w:div w:id="629479896">
              <w:marLeft w:val="0"/>
              <w:marRight w:val="0"/>
              <w:marTop w:val="0"/>
              <w:marBottom w:val="0"/>
              <w:divBdr>
                <w:top w:val="none" w:sz="0" w:space="0" w:color="auto"/>
                <w:left w:val="none" w:sz="0" w:space="0" w:color="auto"/>
                <w:bottom w:val="none" w:sz="0" w:space="0" w:color="auto"/>
                <w:right w:val="none" w:sz="0" w:space="0" w:color="auto"/>
              </w:divBdr>
            </w:div>
          </w:divsChild>
        </w:div>
        <w:div w:id="300962221">
          <w:marLeft w:val="0"/>
          <w:marRight w:val="0"/>
          <w:marTop w:val="0"/>
          <w:marBottom w:val="0"/>
          <w:divBdr>
            <w:top w:val="none" w:sz="0" w:space="0" w:color="auto"/>
            <w:left w:val="none" w:sz="0" w:space="0" w:color="auto"/>
            <w:bottom w:val="none" w:sz="0" w:space="0" w:color="auto"/>
            <w:right w:val="none" w:sz="0" w:space="0" w:color="auto"/>
          </w:divBdr>
          <w:divsChild>
            <w:div w:id="1377974637">
              <w:marLeft w:val="0"/>
              <w:marRight w:val="0"/>
              <w:marTop w:val="0"/>
              <w:marBottom w:val="0"/>
              <w:divBdr>
                <w:top w:val="none" w:sz="0" w:space="0" w:color="auto"/>
                <w:left w:val="none" w:sz="0" w:space="0" w:color="auto"/>
                <w:bottom w:val="none" w:sz="0" w:space="0" w:color="auto"/>
                <w:right w:val="none" w:sz="0" w:space="0" w:color="auto"/>
              </w:divBdr>
            </w:div>
          </w:divsChild>
        </w:div>
        <w:div w:id="309603505">
          <w:marLeft w:val="0"/>
          <w:marRight w:val="0"/>
          <w:marTop w:val="0"/>
          <w:marBottom w:val="0"/>
          <w:divBdr>
            <w:top w:val="none" w:sz="0" w:space="0" w:color="auto"/>
            <w:left w:val="none" w:sz="0" w:space="0" w:color="auto"/>
            <w:bottom w:val="none" w:sz="0" w:space="0" w:color="auto"/>
            <w:right w:val="none" w:sz="0" w:space="0" w:color="auto"/>
          </w:divBdr>
          <w:divsChild>
            <w:div w:id="628558629">
              <w:marLeft w:val="0"/>
              <w:marRight w:val="0"/>
              <w:marTop w:val="0"/>
              <w:marBottom w:val="0"/>
              <w:divBdr>
                <w:top w:val="none" w:sz="0" w:space="0" w:color="auto"/>
                <w:left w:val="none" w:sz="0" w:space="0" w:color="auto"/>
                <w:bottom w:val="none" w:sz="0" w:space="0" w:color="auto"/>
                <w:right w:val="none" w:sz="0" w:space="0" w:color="auto"/>
              </w:divBdr>
            </w:div>
          </w:divsChild>
        </w:div>
        <w:div w:id="313066621">
          <w:marLeft w:val="0"/>
          <w:marRight w:val="0"/>
          <w:marTop w:val="0"/>
          <w:marBottom w:val="0"/>
          <w:divBdr>
            <w:top w:val="none" w:sz="0" w:space="0" w:color="auto"/>
            <w:left w:val="none" w:sz="0" w:space="0" w:color="auto"/>
            <w:bottom w:val="none" w:sz="0" w:space="0" w:color="auto"/>
            <w:right w:val="none" w:sz="0" w:space="0" w:color="auto"/>
          </w:divBdr>
          <w:divsChild>
            <w:div w:id="1342973198">
              <w:marLeft w:val="0"/>
              <w:marRight w:val="0"/>
              <w:marTop w:val="0"/>
              <w:marBottom w:val="0"/>
              <w:divBdr>
                <w:top w:val="none" w:sz="0" w:space="0" w:color="auto"/>
                <w:left w:val="none" w:sz="0" w:space="0" w:color="auto"/>
                <w:bottom w:val="none" w:sz="0" w:space="0" w:color="auto"/>
                <w:right w:val="none" w:sz="0" w:space="0" w:color="auto"/>
              </w:divBdr>
            </w:div>
          </w:divsChild>
        </w:div>
        <w:div w:id="320472964">
          <w:marLeft w:val="0"/>
          <w:marRight w:val="0"/>
          <w:marTop w:val="0"/>
          <w:marBottom w:val="0"/>
          <w:divBdr>
            <w:top w:val="none" w:sz="0" w:space="0" w:color="auto"/>
            <w:left w:val="none" w:sz="0" w:space="0" w:color="auto"/>
            <w:bottom w:val="none" w:sz="0" w:space="0" w:color="auto"/>
            <w:right w:val="none" w:sz="0" w:space="0" w:color="auto"/>
          </w:divBdr>
          <w:divsChild>
            <w:div w:id="876090890">
              <w:marLeft w:val="0"/>
              <w:marRight w:val="0"/>
              <w:marTop w:val="0"/>
              <w:marBottom w:val="0"/>
              <w:divBdr>
                <w:top w:val="none" w:sz="0" w:space="0" w:color="auto"/>
                <w:left w:val="none" w:sz="0" w:space="0" w:color="auto"/>
                <w:bottom w:val="none" w:sz="0" w:space="0" w:color="auto"/>
                <w:right w:val="none" w:sz="0" w:space="0" w:color="auto"/>
              </w:divBdr>
            </w:div>
          </w:divsChild>
        </w:div>
        <w:div w:id="321399747">
          <w:marLeft w:val="0"/>
          <w:marRight w:val="0"/>
          <w:marTop w:val="0"/>
          <w:marBottom w:val="0"/>
          <w:divBdr>
            <w:top w:val="none" w:sz="0" w:space="0" w:color="auto"/>
            <w:left w:val="none" w:sz="0" w:space="0" w:color="auto"/>
            <w:bottom w:val="none" w:sz="0" w:space="0" w:color="auto"/>
            <w:right w:val="none" w:sz="0" w:space="0" w:color="auto"/>
          </w:divBdr>
          <w:divsChild>
            <w:div w:id="1077871737">
              <w:marLeft w:val="0"/>
              <w:marRight w:val="0"/>
              <w:marTop w:val="0"/>
              <w:marBottom w:val="0"/>
              <w:divBdr>
                <w:top w:val="none" w:sz="0" w:space="0" w:color="auto"/>
                <w:left w:val="none" w:sz="0" w:space="0" w:color="auto"/>
                <w:bottom w:val="none" w:sz="0" w:space="0" w:color="auto"/>
                <w:right w:val="none" w:sz="0" w:space="0" w:color="auto"/>
              </w:divBdr>
            </w:div>
          </w:divsChild>
        </w:div>
        <w:div w:id="322664521">
          <w:marLeft w:val="0"/>
          <w:marRight w:val="0"/>
          <w:marTop w:val="0"/>
          <w:marBottom w:val="0"/>
          <w:divBdr>
            <w:top w:val="none" w:sz="0" w:space="0" w:color="auto"/>
            <w:left w:val="none" w:sz="0" w:space="0" w:color="auto"/>
            <w:bottom w:val="none" w:sz="0" w:space="0" w:color="auto"/>
            <w:right w:val="none" w:sz="0" w:space="0" w:color="auto"/>
          </w:divBdr>
          <w:divsChild>
            <w:div w:id="2104646092">
              <w:marLeft w:val="0"/>
              <w:marRight w:val="0"/>
              <w:marTop w:val="0"/>
              <w:marBottom w:val="0"/>
              <w:divBdr>
                <w:top w:val="none" w:sz="0" w:space="0" w:color="auto"/>
                <w:left w:val="none" w:sz="0" w:space="0" w:color="auto"/>
                <w:bottom w:val="none" w:sz="0" w:space="0" w:color="auto"/>
                <w:right w:val="none" w:sz="0" w:space="0" w:color="auto"/>
              </w:divBdr>
            </w:div>
          </w:divsChild>
        </w:div>
        <w:div w:id="323707441">
          <w:marLeft w:val="0"/>
          <w:marRight w:val="0"/>
          <w:marTop w:val="0"/>
          <w:marBottom w:val="0"/>
          <w:divBdr>
            <w:top w:val="none" w:sz="0" w:space="0" w:color="auto"/>
            <w:left w:val="none" w:sz="0" w:space="0" w:color="auto"/>
            <w:bottom w:val="none" w:sz="0" w:space="0" w:color="auto"/>
            <w:right w:val="none" w:sz="0" w:space="0" w:color="auto"/>
          </w:divBdr>
          <w:divsChild>
            <w:div w:id="1634871956">
              <w:marLeft w:val="0"/>
              <w:marRight w:val="0"/>
              <w:marTop w:val="0"/>
              <w:marBottom w:val="0"/>
              <w:divBdr>
                <w:top w:val="none" w:sz="0" w:space="0" w:color="auto"/>
                <w:left w:val="none" w:sz="0" w:space="0" w:color="auto"/>
                <w:bottom w:val="none" w:sz="0" w:space="0" w:color="auto"/>
                <w:right w:val="none" w:sz="0" w:space="0" w:color="auto"/>
              </w:divBdr>
            </w:div>
          </w:divsChild>
        </w:div>
        <w:div w:id="343479109">
          <w:marLeft w:val="0"/>
          <w:marRight w:val="0"/>
          <w:marTop w:val="0"/>
          <w:marBottom w:val="0"/>
          <w:divBdr>
            <w:top w:val="none" w:sz="0" w:space="0" w:color="auto"/>
            <w:left w:val="none" w:sz="0" w:space="0" w:color="auto"/>
            <w:bottom w:val="none" w:sz="0" w:space="0" w:color="auto"/>
            <w:right w:val="none" w:sz="0" w:space="0" w:color="auto"/>
          </w:divBdr>
          <w:divsChild>
            <w:div w:id="357241604">
              <w:marLeft w:val="0"/>
              <w:marRight w:val="0"/>
              <w:marTop w:val="0"/>
              <w:marBottom w:val="0"/>
              <w:divBdr>
                <w:top w:val="none" w:sz="0" w:space="0" w:color="auto"/>
                <w:left w:val="none" w:sz="0" w:space="0" w:color="auto"/>
                <w:bottom w:val="none" w:sz="0" w:space="0" w:color="auto"/>
                <w:right w:val="none" w:sz="0" w:space="0" w:color="auto"/>
              </w:divBdr>
            </w:div>
          </w:divsChild>
        </w:div>
        <w:div w:id="360473009">
          <w:marLeft w:val="0"/>
          <w:marRight w:val="0"/>
          <w:marTop w:val="0"/>
          <w:marBottom w:val="0"/>
          <w:divBdr>
            <w:top w:val="none" w:sz="0" w:space="0" w:color="auto"/>
            <w:left w:val="none" w:sz="0" w:space="0" w:color="auto"/>
            <w:bottom w:val="none" w:sz="0" w:space="0" w:color="auto"/>
            <w:right w:val="none" w:sz="0" w:space="0" w:color="auto"/>
          </w:divBdr>
          <w:divsChild>
            <w:div w:id="1029725631">
              <w:marLeft w:val="0"/>
              <w:marRight w:val="0"/>
              <w:marTop w:val="0"/>
              <w:marBottom w:val="0"/>
              <w:divBdr>
                <w:top w:val="none" w:sz="0" w:space="0" w:color="auto"/>
                <w:left w:val="none" w:sz="0" w:space="0" w:color="auto"/>
                <w:bottom w:val="none" w:sz="0" w:space="0" w:color="auto"/>
                <w:right w:val="none" w:sz="0" w:space="0" w:color="auto"/>
              </w:divBdr>
            </w:div>
          </w:divsChild>
        </w:div>
        <w:div w:id="394819882">
          <w:marLeft w:val="0"/>
          <w:marRight w:val="0"/>
          <w:marTop w:val="0"/>
          <w:marBottom w:val="0"/>
          <w:divBdr>
            <w:top w:val="none" w:sz="0" w:space="0" w:color="auto"/>
            <w:left w:val="none" w:sz="0" w:space="0" w:color="auto"/>
            <w:bottom w:val="none" w:sz="0" w:space="0" w:color="auto"/>
            <w:right w:val="none" w:sz="0" w:space="0" w:color="auto"/>
          </w:divBdr>
          <w:divsChild>
            <w:div w:id="1171874453">
              <w:marLeft w:val="0"/>
              <w:marRight w:val="0"/>
              <w:marTop w:val="0"/>
              <w:marBottom w:val="0"/>
              <w:divBdr>
                <w:top w:val="none" w:sz="0" w:space="0" w:color="auto"/>
                <w:left w:val="none" w:sz="0" w:space="0" w:color="auto"/>
                <w:bottom w:val="none" w:sz="0" w:space="0" w:color="auto"/>
                <w:right w:val="none" w:sz="0" w:space="0" w:color="auto"/>
              </w:divBdr>
            </w:div>
          </w:divsChild>
        </w:div>
        <w:div w:id="396247435">
          <w:marLeft w:val="0"/>
          <w:marRight w:val="0"/>
          <w:marTop w:val="0"/>
          <w:marBottom w:val="0"/>
          <w:divBdr>
            <w:top w:val="none" w:sz="0" w:space="0" w:color="auto"/>
            <w:left w:val="none" w:sz="0" w:space="0" w:color="auto"/>
            <w:bottom w:val="none" w:sz="0" w:space="0" w:color="auto"/>
            <w:right w:val="none" w:sz="0" w:space="0" w:color="auto"/>
          </w:divBdr>
          <w:divsChild>
            <w:div w:id="1184516208">
              <w:marLeft w:val="0"/>
              <w:marRight w:val="0"/>
              <w:marTop w:val="0"/>
              <w:marBottom w:val="0"/>
              <w:divBdr>
                <w:top w:val="none" w:sz="0" w:space="0" w:color="auto"/>
                <w:left w:val="none" w:sz="0" w:space="0" w:color="auto"/>
                <w:bottom w:val="none" w:sz="0" w:space="0" w:color="auto"/>
                <w:right w:val="none" w:sz="0" w:space="0" w:color="auto"/>
              </w:divBdr>
            </w:div>
          </w:divsChild>
        </w:div>
        <w:div w:id="416682199">
          <w:marLeft w:val="0"/>
          <w:marRight w:val="0"/>
          <w:marTop w:val="0"/>
          <w:marBottom w:val="0"/>
          <w:divBdr>
            <w:top w:val="none" w:sz="0" w:space="0" w:color="auto"/>
            <w:left w:val="none" w:sz="0" w:space="0" w:color="auto"/>
            <w:bottom w:val="none" w:sz="0" w:space="0" w:color="auto"/>
            <w:right w:val="none" w:sz="0" w:space="0" w:color="auto"/>
          </w:divBdr>
          <w:divsChild>
            <w:div w:id="444425337">
              <w:marLeft w:val="0"/>
              <w:marRight w:val="0"/>
              <w:marTop w:val="0"/>
              <w:marBottom w:val="0"/>
              <w:divBdr>
                <w:top w:val="none" w:sz="0" w:space="0" w:color="auto"/>
                <w:left w:val="none" w:sz="0" w:space="0" w:color="auto"/>
                <w:bottom w:val="none" w:sz="0" w:space="0" w:color="auto"/>
                <w:right w:val="none" w:sz="0" w:space="0" w:color="auto"/>
              </w:divBdr>
            </w:div>
          </w:divsChild>
        </w:div>
        <w:div w:id="432944536">
          <w:marLeft w:val="0"/>
          <w:marRight w:val="0"/>
          <w:marTop w:val="0"/>
          <w:marBottom w:val="0"/>
          <w:divBdr>
            <w:top w:val="none" w:sz="0" w:space="0" w:color="auto"/>
            <w:left w:val="none" w:sz="0" w:space="0" w:color="auto"/>
            <w:bottom w:val="none" w:sz="0" w:space="0" w:color="auto"/>
            <w:right w:val="none" w:sz="0" w:space="0" w:color="auto"/>
          </w:divBdr>
          <w:divsChild>
            <w:div w:id="762191965">
              <w:marLeft w:val="0"/>
              <w:marRight w:val="0"/>
              <w:marTop w:val="0"/>
              <w:marBottom w:val="0"/>
              <w:divBdr>
                <w:top w:val="none" w:sz="0" w:space="0" w:color="auto"/>
                <w:left w:val="none" w:sz="0" w:space="0" w:color="auto"/>
                <w:bottom w:val="none" w:sz="0" w:space="0" w:color="auto"/>
                <w:right w:val="none" w:sz="0" w:space="0" w:color="auto"/>
              </w:divBdr>
            </w:div>
          </w:divsChild>
        </w:div>
        <w:div w:id="434832908">
          <w:marLeft w:val="0"/>
          <w:marRight w:val="0"/>
          <w:marTop w:val="0"/>
          <w:marBottom w:val="0"/>
          <w:divBdr>
            <w:top w:val="none" w:sz="0" w:space="0" w:color="auto"/>
            <w:left w:val="none" w:sz="0" w:space="0" w:color="auto"/>
            <w:bottom w:val="none" w:sz="0" w:space="0" w:color="auto"/>
            <w:right w:val="none" w:sz="0" w:space="0" w:color="auto"/>
          </w:divBdr>
          <w:divsChild>
            <w:div w:id="331838423">
              <w:marLeft w:val="0"/>
              <w:marRight w:val="0"/>
              <w:marTop w:val="0"/>
              <w:marBottom w:val="0"/>
              <w:divBdr>
                <w:top w:val="none" w:sz="0" w:space="0" w:color="auto"/>
                <w:left w:val="none" w:sz="0" w:space="0" w:color="auto"/>
                <w:bottom w:val="none" w:sz="0" w:space="0" w:color="auto"/>
                <w:right w:val="none" w:sz="0" w:space="0" w:color="auto"/>
              </w:divBdr>
            </w:div>
          </w:divsChild>
        </w:div>
        <w:div w:id="438571282">
          <w:marLeft w:val="0"/>
          <w:marRight w:val="0"/>
          <w:marTop w:val="0"/>
          <w:marBottom w:val="0"/>
          <w:divBdr>
            <w:top w:val="none" w:sz="0" w:space="0" w:color="auto"/>
            <w:left w:val="none" w:sz="0" w:space="0" w:color="auto"/>
            <w:bottom w:val="none" w:sz="0" w:space="0" w:color="auto"/>
            <w:right w:val="none" w:sz="0" w:space="0" w:color="auto"/>
          </w:divBdr>
          <w:divsChild>
            <w:div w:id="556745286">
              <w:marLeft w:val="0"/>
              <w:marRight w:val="0"/>
              <w:marTop w:val="0"/>
              <w:marBottom w:val="0"/>
              <w:divBdr>
                <w:top w:val="none" w:sz="0" w:space="0" w:color="auto"/>
                <w:left w:val="none" w:sz="0" w:space="0" w:color="auto"/>
                <w:bottom w:val="none" w:sz="0" w:space="0" w:color="auto"/>
                <w:right w:val="none" w:sz="0" w:space="0" w:color="auto"/>
              </w:divBdr>
            </w:div>
          </w:divsChild>
        </w:div>
        <w:div w:id="439572826">
          <w:marLeft w:val="0"/>
          <w:marRight w:val="0"/>
          <w:marTop w:val="0"/>
          <w:marBottom w:val="0"/>
          <w:divBdr>
            <w:top w:val="none" w:sz="0" w:space="0" w:color="auto"/>
            <w:left w:val="none" w:sz="0" w:space="0" w:color="auto"/>
            <w:bottom w:val="none" w:sz="0" w:space="0" w:color="auto"/>
            <w:right w:val="none" w:sz="0" w:space="0" w:color="auto"/>
          </w:divBdr>
          <w:divsChild>
            <w:div w:id="1573276938">
              <w:marLeft w:val="0"/>
              <w:marRight w:val="0"/>
              <w:marTop w:val="0"/>
              <w:marBottom w:val="0"/>
              <w:divBdr>
                <w:top w:val="none" w:sz="0" w:space="0" w:color="auto"/>
                <w:left w:val="none" w:sz="0" w:space="0" w:color="auto"/>
                <w:bottom w:val="none" w:sz="0" w:space="0" w:color="auto"/>
                <w:right w:val="none" w:sz="0" w:space="0" w:color="auto"/>
              </w:divBdr>
            </w:div>
          </w:divsChild>
        </w:div>
        <w:div w:id="444038333">
          <w:marLeft w:val="0"/>
          <w:marRight w:val="0"/>
          <w:marTop w:val="0"/>
          <w:marBottom w:val="0"/>
          <w:divBdr>
            <w:top w:val="none" w:sz="0" w:space="0" w:color="auto"/>
            <w:left w:val="none" w:sz="0" w:space="0" w:color="auto"/>
            <w:bottom w:val="none" w:sz="0" w:space="0" w:color="auto"/>
            <w:right w:val="none" w:sz="0" w:space="0" w:color="auto"/>
          </w:divBdr>
          <w:divsChild>
            <w:div w:id="2007630759">
              <w:marLeft w:val="0"/>
              <w:marRight w:val="0"/>
              <w:marTop w:val="0"/>
              <w:marBottom w:val="0"/>
              <w:divBdr>
                <w:top w:val="none" w:sz="0" w:space="0" w:color="auto"/>
                <w:left w:val="none" w:sz="0" w:space="0" w:color="auto"/>
                <w:bottom w:val="none" w:sz="0" w:space="0" w:color="auto"/>
                <w:right w:val="none" w:sz="0" w:space="0" w:color="auto"/>
              </w:divBdr>
            </w:div>
          </w:divsChild>
        </w:div>
        <w:div w:id="448820188">
          <w:marLeft w:val="0"/>
          <w:marRight w:val="0"/>
          <w:marTop w:val="0"/>
          <w:marBottom w:val="0"/>
          <w:divBdr>
            <w:top w:val="none" w:sz="0" w:space="0" w:color="auto"/>
            <w:left w:val="none" w:sz="0" w:space="0" w:color="auto"/>
            <w:bottom w:val="none" w:sz="0" w:space="0" w:color="auto"/>
            <w:right w:val="none" w:sz="0" w:space="0" w:color="auto"/>
          </w:divBdr>
          <w:divsChild>
            <w:div w:id="84956330">
              <w:marLeft w:val="0"/>
              <w:marRight w:val="0"/>
              <w:marTop w:val="0"/>
              <w:marBottom w:val="0"/>
              <w:divBdr>
                <w:top w:val="none" w:sz="0" w:space="0" w:color="auto"/>
                <w:left w:val="none" w:sz="0" w:space="0" w:color="auto"/>
                <w:bottom w:val="none" w:sz="0" w:space="0" w:color="auto"/>
                <w:right w:val="none" w:sz="0" w:space="0" w:color="auto"/>
              </w:divBdr>
            </w:div>
          </w:divsChild>
        </w:div>
        <w:div w:id="461775052">
          <w:marLeft w:val="0"/>
          <w:marRight w:val="0"/>
          <w:marTop w:val="0"/>
          <w:marBottom w:val="0"/>
          <w:divBdr>
            <w:top w:val="none" w:sz="0" w:space="0" w:color="auto"/>
            <w:left w:val="none" w:sz="0" w:space="0" w:color="auto"/>
            <w:bottom w:val="none" w:sz="0" w:space="0" w:color="auto"/>
            <w:right w:val="none" w:sz="0" w:space="0" w:color="auto"/>
          </w:divBdr>
          <w:divsChild>
            <w:div w:id="1696468143">
              <w:marLeft w:val="0"/>
              <w:marRight w:val="0"/>
              <w:marTop w:val="0"/>
              <w:marBottom w:val="0"/>
              <w:divBdr>
                <w:top w:val="none" w:sz="0" w:space="0" w:color="auto"/>
                <w:left w:val="none" w:sz="0" w:space="0" w:color="auto"/>
                <w:bottom w:val="none" w:sz="0" w:space="0" w:color="auto"/>
                <w:right w:val="none" w:sz="0" w:space="0" w:color="auto"/>
              </w:divBdr>
            </w:div>
          </w:divsChild>
        </w:div>
        <w:div w:id="474643298">
          <w:marLeft w:val="0"/>
          <w:marRight w:val="0"/>
          <w:marTop w:val="0"/>
          <w:marBottom w:val="0"/>
          <w:divBdr>
            <w:top w:val="none" w:sz="0" w:space="0" w:color="auto"/>
            <w:left w:val="none" w:sz="0" w:space="0" w:color="auto"/>
            <w:bottom w:val="none" w:sz="0" w:space="0" w:color="auto"/>
            <w:right w:val="none" w:sz="0" w:space="0" w:color="auto"/>
          </w:divBdr>
          <w:divsChild>
            <w:div w:id="1853910445">
              <w:marLeft w:val="0"/>
              <w:marRight w:val="0"/>
              <w:marTop w:val="0"/>
              <w:marBottom w:val="0"/>
              <w:divBdr>
                <w:top w:val="none" w:sz="0" w:space="0" w:color="auto"/>
                <w:left w:val="none" w:sz="0" w:space="0" w:color="auto"/>
                <w:bottom w:val="none" w:sz="0" w:space="0" w:color="auto"/>
                <w:right w:val="none" w:sz="0" w:space="0" w:color="auto"/>
              </w:divBdr>
            </w:div>
          </w:divsChild>
        </w:div>
        <w:div w:id="488600611">
          <w:marLeft w:val="0"/>
          <w:marRight w:val="0"/>
          <w:marTop w:val="0"/>
          <w:marBottom w:val="0"/>
          <w:divBdr>
            <w:top w:val="none" w:sz="0" w:space="0" w:color="auto"/>
            <w:left w:val="none" w:sz="0" w:space="0" w:color="auto"/>
            <w:bottom w:val="none" w:sz="0" w:space="0" w:color="auto"/>
            <w:right w:val="none" w:sz="0" w:space="0" w:color="auto"/>
          </w:divBdr>
          <w:divsChild>
            <w:div w:id="933248662">
              <w:marLeft w:val="0"/>
              <w:marRight w:val="0"/>
              <w:marTop w:val="0"/>
              <w:marBottom w:val="0"/>
              <w:divBdr>
                <w:top w:val="none" w:sz="0" w:space="0" w:color="auto"/>
                <w:left w:val="none" w:sz="0" w:space="0" w:color="auto"/>
                <w:bottom w:val="none" w:sz="0" w:space="0" w:color="auto"/>
                <w:right w:val="none" w:sz="0" w:space="0" w:color="auto"/>
              </w:divBdr>
            </w:div>
          </w:divsChild>
        </w:div>
        <w:div w:id="496651976">
          <w:marLeft w:val="0"/>
          <w:marRight w:val="0"/>
          <w:marTop w:val="0"/>
          <w:marBottom w:val="0"/>
          <w:divBdr>
            <w:top w:val="none" w:sz="0" w:space="0" w:color="auto"/>
            <w:left w:val="none" w:sz="0" w:space="0" w:color="auto"/>
            <w:bottom w:val="none" w:sz="0" w:space="0" w:color="auto"/>
            <w:right w:val="none" w:sz="0" w:space="0" w:color="auto"/>
          </w:divBdr>
          <w:divsChild>
            <w:div w:id="1812597591">
              <w:marLeft w:val="0"/>
              <w:marRight w:val="0"/>
              <w:marTop w:val="0"/>
              <w:marBottom w:val="0"/>
              <w:divBdr>
                <w:top w:val="none" w:sz="0" w:space="0" w:color="auto"/>
                <w:left w:val="none" w:sz="0" w:space="0" w:color="auto"/>
                <w:bottom w:val="none" w:sz="0" w:space="0" w:color="auto"/>
                <w:right w:val="none" w:sz="0" w:space="0" w:color="auto"/>
              </w:divBdr>
            </w:div>
          </w:divsChild>
        </w:div>
        <w:div w:id="499733479">
          <w:marLeft w:val="0"/>
          <w:marRight w:val="0"/>
          <w:marTop w:val="0"/>
          <w:marBottom w:val="0"/>
          <w:divBdr>
            <w:top w:val="none" w:sz="0" w:space="0" w:color="auto"/>
            <w:left w:val="none" w:sz="0" w:space="0" w:color="auto"/>
            <w:bottom w:val="none" w:sz="0" w:space="0" w:color="auto"/>
            <w:right w:val="none" w:sz="0" w:space="0" w:color="auto"/>
          </w:divBdr>
          <w:divsChild>
            <w:div w:id="1723166935">
              <w:marLeft w:val="0"/>
              <w:marRight w:val="0"/>
              <w:marTop w:val="0"/>
              <w:marBottom w:val="0"/>
              <w:divBdr>
                <w:top w:val="none" w:sz="0" w:space="0" w:color="auto"/>
                <w:left w:val="none" w:sz="0" w:space="0" w:color="auto"/>
                <w:bottom w:val="none" w:sz="0" w:space="0" w:color="auto"/>
                <w:right w:val="none" w:sz="0" w:space="0" w:color="auto"/>
              </w:divBdr>
            </w:div>
          </w:divsChild>
        </w:div>
        <w:div w:id="501822304">
          <w:marLeft w:val="0"/>
          <w:marRight w:val="0"/>
          <w:marTop w:val="0"/>
          <w:marBottom w:val="0"/>
          <w:divBdr>
            <w:top w:val="none" w:sz="0" w:space="0" w:color="auto"/>
            <w:left w:val="none" w:sz="0" w:space="0" w:color="auto"/>
            <w:bottom w:val="none" w:sz="0" w:space="0" w:color="auto"/>
            <w:right w:val="none" w:sz="0" w:space="0" w:color="auto"/>
          </w:divBdr>
          <w:divsChild>
            <w:div w:id="608775492">
              <w:marLeft w:val="0"/>
              <w:marRight w:val="0"/>
              <w:marTop w:val="0"/>
              <w:marBottom w:val="0"/>
              <w:divBdr>
                <w:top w:val="none" w:sz="0" w:space="0" w:color="auto"/>
                <w:left w:val="none" w:sz="0" w:space="0" w:color="auto"/>
                <w:bottom w:val="none" w:sz="0" w:space="0" w:color="auto"/>
                <w:right w:val="none" w:sz="0" w:space="0" w:color="auto"/>
              </w:divBdr>
            </w:div>
          </w:divsChild>
        </w:div>
        <w:div w:id="503781368">
          <w:marLeft w:val="0"/>
          <w:marRight w:val="0"/>
          <w:marTop w:val="0"/>
          <w:marBottom w:val="0"/>
          <w:divBdr>
            <w:top w:val="none" w:sz="0" w:space="0" w:color="auto"/>
            <w:left w:val="none" w:sz="0" w:space="0" w:color="auto"/>
            <w:bottom w:val="none" w:sz="0" w:space="0" w:color="auto"/>
            <w:right w:val="none" w:sz="0" w:space="0" w:color="auto"/>
          </w:divBdr>
          <w:divsChild>
            <w:div w:id="2111076948">
              <w:marLeft w:val="0"/>
              <w:marRight w:val="0"/>
              <w:marTop w:val="0"/>
              <w:marBottom w:val="0"/>
              <w:divBdr>
                <w:top w:val="none" w:sz="0" w:space="0" w:color="auto"/>
                <w:left w:val="none" w:sz="0" w:space="0" w:color="auto"/>
                <w:bottom w:val="none" w:sz="0" w:space="0" w:color="auto"/>
                <w:right w:val="none" w:sz="0" w:space="0" w:color="auto"/>
              </w:divBdr>
            </w:div>
          </w:divsChild>
        </w:div>
        <w:div w:id="509683775">
          <w:marLeft w:val="0"/>
          <w:marRight w:val="0"/>
          <w:marTop w:val="0"/>
          <w:marBottom w:val="0"/>
          <w:divBdr>
            <w:top w:val="none" w:sz="0" w:space="0" w:color="auto"/>
            <w:left w:val="none" w:sz="0" w:space="0" w:color="auto"/>
            <w:bottom w:val="none" w:sz="0" w:space="0" w:color="auto"/>
            <w:right w:val="none" w:sz="0" w:space="0" w:color="auto"/>
          </w:divBdr>
          <w:divsChild>
            <w:div w:id="1195843594">
              <w:marLeft w:val="0"/>
              <w:marRight w:val="0"/>
              <w:marTop w:val="0"/>
              <w:marBottom w:val="0"/>
              <w:divBdr>
                <w:top w:val="none" w:sz="0" w:space="0" w:color="auto"/>
                <w:left w:val="none" w:sz="0" w:space="0" w:color="auto"/>
                <w:bottom w:val="none" w:sz="0" w:space="0" w:color="auto"/>
                <w:right w:val="none" w:sz="0" w:space="0" w:color="auto"/>
              </w:divBdr>
            </w:div>
          </w:divsChild>
        </w:div>
        <w:div w:id="511845424">
          <w:marLeft w:val="0"/>
          <w:marRight w:val="0"/>
          <w:marTop w:val="0"/>
          <w:marBottom w:val="0"/>
          <w:divBdr>
            <w:top w:val="none" w:sz="0" w:space="0" w:color="auto"/>
            <w:left w:val="none" w:sz="0" w:space="0" w:color="auto"/>
            <w:bottom w:val="none" w:sz="0" w:space="0" w:color="auto"/>
            <w:right w:val="none" w:sz="0" w:space="0" w:color="auto"/>
          </w:divBdr>
          <w:divsChild>
            <w:div w:id="441389221">
              <w:marLeft w:val="0"/>
              <w:marRight w:val="0"/>
              <w:marTop w:val="0"/>
              <w:marBottom w:val="0"/>
              <w:divBdr>
                <w:top w:val="none" w:sz="0" w:space="0" w:color="auto"/>
                <w:left w:val="none" w:sz="0" w:space="0" w:color="auto"/>
                <w:bottom w:val="none" w:sz="0" w:space="0" w:color="auto"/>
                <w:right w:val="none" w:sz="0" w:space="0" w:color="auto"/>
              </w:divBdr>
            </w:div>
          </w:divsChild>
        </w:div>
        <w:div w:id="512063758">
          <w:marLeft w:val="0"/>
          <w:marRight w:val="0"/>
          <w:marTop w:val="0"/>
          <w:marBottom w:val="0"/>
          <w:divBdr>
            <w:top w:val="none" w:sz="0" w:space="0" w:color="auto"/>
            <w:left w:val="none" w:sz="0" w:space="0" w:color="auto"/>
            <w:bottom w:val="none" w:sz="0" w:space="0" w:color="auto"/>
            <w:right w:val="none" w:sz="0" w:space="0" w:color="auto"/>
          </w:divBdr>
          <w:divsChild>
            <w:div w:id="144443603">
              <w:marLeft w:val="0"/>
              <w:marRight w:val="0"/>
              <w:marTop w:val="0"/>
              <w:marBottom w:val="0"/>
              <w:divBdr>
                <w:top w:val="none" w:sz="0" w:space="0" w:color="auto"/>
                <w:left w:val="none" w:sz="0" w:space="0" w:color="auto"/>
                <w:bottom w:val="none" w:sz="0" w:space="0" w:color="auto"/>
                <w:right w:val="none" w:sz="0" w:space="0" w:color="auto"/>
              </w:divBdr>
            </w:div>
          </w:divsChild>
        </w:div>
        <w:div w:id="516040741">
          <w:marLeft w:val="0"/>
          <w:marRight w:val="0"/>
          <w:marTop w:val="0"/>
          <w:marBottom w:val="0"/>
          <w:divBdr>
            <w:top w:val="none" w:sz="0" w:space="0" w:color="auto"/>
            <w:left w:val="none" w:sz="0" w:space="0" w:color="auto"/>
            <w:bottom w:val="none" w:sz="0" w:space="0" w:color="auto"/>
            <w:right w:val="none" w:sz="0" w:space="0" w:color="auto"/>
          </w:divBdr>
          <w:divsChild>
            <w:div w:id="1885831004">
              <w:marLeft w:val="0"/>
              <w:marRight w:val="0"/>
              <w:marTop w:val="0"/>
              <w:marBottom w:val="0"/>
              <w:divBdr>
                <w:top w:val="none" w:sz="0" w:space="0" w:color="auto"/>
                <w:left w:val="none" w:sz="0" w:space="0" w:color="auto"/>
                <w:bottom w:val="none" w:sz="0" w:space="0" w:color="auto"/>
                <w:right w:val="none" w:sz="0" w:space="0" w:color="auto"/>
              </w:divBdr>
            </w:div>
          </w:divsChild>
        </w:div>
        <w:div w:id="516699627">
          <w:marLeft w:val="0"/>
          <w:marRight w:val="0"/>
          <w:marTop w:val="0"/>
          <w:marBottom w:val="0"/>
          <w:divBdr>
            <w:top w:val="none" w:sz="0" w:space="0" w:color="auto"/>
            <w:left w:val="none" w:sz="0" w:space="0" w:color="auto"/>
            <w:bottom w:val="none" w:sz="0" w:space="0" w:color="auto"/>
            <w:right w:val="none" w:sz="0" w:space="0" w:color="auto"/>
          </w:divBdr>
          <w:divsChild>
            <w:div w:id="1838769824">
              <w:marLeft w:val="0"/>
              <w:marRight w:val="0"/>
              <w:marTop w:val="0"/>
              <w:marBottom w:val="0"/>
              <w:divBdr>
                <w:top w:val="none" w:sz="0" w:space="0" w:color="auto"/>
                <w:left w:val="none" w:sz="0" w:space="0" w:color="auto"/>
                <w:bottom w:val="none" w:sz="0" w:space="0" w:color="auto"/>
                <w:right w:val="none" w:sz="0" w:space="0" w:color="auto"/>
              </w:divBdr>
            </w:div>
          </w:divsChild>
        </w:div>
        <w:div w:id="521357437">
          <w:marLeft w:val="0"/>
          <w:marRight w:val="0"/>
          <w:marTop w:val="0"/>
          <w:marBottom w:val="0"/>
          <w:divBdr>
            <w:top w:val="none" w:sz="0" w:space="0" w:color="auto"/>
            <w:left w:val="none" w:sz="0" w:space="0" w:color="auto"/>
            <w:bottom w:val="none" w:sz="0" w:space="0" w:color="auto"/>
            <w:right w:val="none" w:sz="0" w:space="0" w:color="auto"/>
          </w:divBdr>
          <w:divsChild>
            <w:div w:id="235092807">
              <w:marLeft w:val="0"/>
              <w:marRight w:val="0"/>
              <w:marTop w:val="0"/>
              <w:marBottom w:val="0"/>
              <w:divBdr>
                <w:top w:val="none" w:sz="0" w:space="0" w:color="auto"/>
                <w:left w:val="none" w:sz="0" w:space="0" w:color="auto"/>
                <w:bottom w:val="none" w:sz="0" w:space="0" w:color="auto"/>
                <w:right w:val="none" w:sz="0" w:space="0" w:color="auto"/>
              </w:divBdr>
            </w:div>
          </w:divsChild>
        </w:div>
        <w:div w:id="522286747">
          <w:marLeft w:val="0"/>
          <w:marRight w:val="0"/>
          <w:marTop w:val="0"/>
          <w:marBottom w:val="0"/>
          <w:divBdr>
            <w:top w:val="none" w:sz="0" w:space="0" w:color="auto"/>
            <w:left w:val="none" w:sz="0" w:space="0" w:color="auto"/>
            <w:bottom w:val="none" w:sz="0" w:space="0" w:color="auto"/>
            <w:right w:val="none" w:sz="0" w:space="0" w:color="auto"/>
          </w:divBdr>
          <w:divsChild>
            <w:div w:id="1684430525">
              <w:marLeft w:val="0"/>
              <w:marRight w:val="0"/>
              <w:marTop w:val="0"/>
              <w:marBottom w:val="0"/>
              <w:divBdr>
                <w:top w:val="none" w:sz="0" w:space="0" w:color="auto"/>
                <w:left w:val="none" w:sz="0" w:space="0" w:color="auto"/>
                <w:bottom w:val="none" w:sz="0" w:space="0" w:color="auto"/>
                <w:right w:val="none" w:sz="0" w:space="0" w:color="auto"/>
              </w:divBdr>
            </w:div>
          </w:divsChild>
        </w:div>
        <w:div w:id="544635722">
          <w:marLeft w:val="0"/>
          <w:marRight w:val="0"/>
          <w:marTop w:val="0"/>
          <w:marBottom w:val="0"/>
          <w:divBdr>
            <w:top w:val="none" w:sz="0" w:space="0" w:color="auto"/>
            <w:left w:val="none" w:sz="0" w:space="0" w:color="auto"/>
            <w:bottom w:val="none" w:sz="0" w:space="0" w:color="auto"/>
            <w:right w:val="none" w:sz="0" w:space="0" w:color="auto"/>
          </w:divBdr>
          <w:divsChild>
            <w:div w:id="198130643">
              <w:marLeft w:val="0"/>
              <w:marRight w:val="0"/>
              <w:marTop w:val="0"/>
              <w:marBottom w:val="0"/>
              <w:divBdr>
                <w:top w:val="none" w:sz="0" w:space="0" w:color="auto"/>
                <w:left w:val="none" w:sz="0" w:space="0" w:color="auto"/>
                <w:bottom w:val="none" w:sz="0" w:space="0" w:color="auto"/>
                <w:right w:val="none" w:sz="0" w:space="0" w:color="auto"/>
              </w:divBdr>
            </w:div>
          </w:divsChild>
        </w:div>
        <w:div w:id="551841877">
          <w:marLeft w:val="0"/>
          <w:marRight w:val="0"/>
          <w:marTop w:val="0"/>
          <w:marBottom w:val="0"/>
          <w:divBdr>
            <w:top w:val="none" w:sz="0" w:space="0" w:color="auto"/>
            <w:left w:val="none" w:sz="0" w:space="0" w:color="auto"/>
            <w:bottom w:val="none" w:sz="0" w:space="0" w:color="auto"/>
            <w:right w:val="none" w:sz="0" w:space="0" w:color="auto"/>
          </w:divBdr>
          <w:divsChild>
            <w:div w:id="1681157268">
              <w:marLeft w:val="0"/>
              <w:marRight w:val="0"/>
              <w:marTop w:val="0"/>
              <w:marBottom w:val="0"/>
              <w:divBdr>
                <w:top w:val="none" w:sz="0" w:space="0" w:color="auto"/>
                <w:left w:val="none" w:sz="0" w:space="0" w:color="auto"/>
                <w:bottom w:val="none" w:sz="0" w:space="0" w:color="auto"/>
                <w:right w:val="none" w:sz="0" w:space="0" w:color="auto"/>
              </w:divBdr>
            </w:div>
          </w:divsChild>
        </w:div>
        <w:div w:id="556862953">
          <w:marLeft w:val="0"/>
          <w:marRight w:val="0"/>
          <w:marTop w:val="0"/>
          <w:marBottom w:val="0"/>
          <w:divBdr>
            <w:top w:val="none" w:sz="0" w:space="0" w:color="auto"/>
            <w:left w:val="none" w:sz="0" w:space="0" w:color="auto"/>
            <w:bottom w:val="none" w:sz="0" w:space="0" w:color="auto"/>
            <w:right w:val="none" w:sz="0" w:space="0" w:color="auto"/>
          </w:divBdr>
          <w:divsChild>
            <w:div w:id="590164689">
              <w:marLeft w:val="0"/>
              <w:marRight w:val="0"/>
              <w:marTop w:val="0"/>
              <w:marBottom w:val="0"/>
              <w:divBdr>
                <w:top w:val="none" w:sz="0" w:space="0" w:color="auto"/>
                <w:left w:val="none" w:sz="0" w:space="0" w:color="auto"/>
                <w:bottom w:val="none" w:sz="0" w:space="0" w:color="auto"/>
                <w:right w:val="none" w:sz="0" w:space="0" w:color="auto"/>
              </w:divBdr>
            </w:div>
          </w:divsChild>
        </w:div>
        <w:div w:id="558051734">
          <w:marLeft w:val="0"/>
          <w:marRight w:val="0"/>
          <w:marTop w:val="0"/>
          <w:marBottom w:val="0"/>
          <w:divBdr>
            <w:top w:val="none" w:sz="0" w:space="0" w:color="auto"/>
            <w:left w:val="none" w:sz="0" w:space="0" w:color="auto"/>
            <w:bottom w:val="none" w:sz="0" w:space="0" w:color="auto"/>
            <w:right w:val="none" w:sz="0" w:space="0" w:color="auto"/>
          </w:divBdr>
          <w:divsChild>
            <w:div w:id="2032024651">
              <w:marLeft w:val="0"/>
              <w:marRight w:val="0"/>
              <w:marTop w:val="0"/>
              <w:marBottom w:val="0"/>
              <w:divBdr>
                <w:top w:val="none" w:sz="0" w:space="0" w:color="auto"/>
                <w:left w:val="none" w:sz="0" w:space="0" w:color="auto"/>
                <w:bottom w:val="none" w:sz="0" w:space="0" w:color="auto"/>
                <w:right w:val="none" w:sz="0" w:space="0" w:color="auto"/>
              </w:divBdr>
            </w:div>
          </w:divsChild>
        </w:div>
        <w:div w:id="562715418">
          <w:marLeft w:val="0"/>
          <w:marRight w:val="0"/>
          <w:marTop w:val="0"/>
          <w:marBottom w:val="0"/>
          <w:divBdr>
            <w:top w:val="none" w:sz="0" w:space="0" w:color="auto"/>
            <w:left w:val="none" w:sz="0" w:space="0" w:color="auto"/>
            <w:bottom w:val="none" w:sz="0" w:space="0" w:color="auto"/>
            <w:right w:val="none" w:sz="0" w:space="0" w:color="auto"/>
          </w:divBdr>
          <w:divsChild>
            <w:div w:id="564797853">
              <w:marLeft w:val="0"/>
              <w:marRight w:val="0"/>
              <w:marTop w:val="0"/>
              <w:marBottom w:val="0"/>
              <w:divBdr>
                <w:top w:val="none" w:sz="0" w:space="0" w:color="auto"/>
                <w:left w:val="none" w:sz="0" w:space="0" w:color="auto"/>
                <w:bottom w:val="none" w:sz="0" w:space="0" w:color="auto"/>
                <w:right w:val="none" w:sz="0" w:space="0" w:color="auto"/>
              </w:divBdr>
            </w:div>
          </w:divsChild>
        </w:div>
        <w:div w:id="571550264">
          <w:marLeft w:val="0"/>
          <w:marRight w:val="0"/>
          <w:marTop w:val="0"/>
          <w:marBottom w:val="0"/>
          <w:divBdr>
            <w:top w:val="none" w:sz="0" w:space="0" w:color="auto"/>
            <w:left w:val="none" w:sz="0" w:space="0" w:color="auto"/>
            <w:bottom w:val="none" w:sz="0" w:space="0" w:color="auto"/>
            <w:right w:val="none" w:sz="0" w:space="0" w:color="auto"/>
          </w:divBdr>
          <w:divsChild>
            <w:div w:id="1748501351">
              <w:marLeft w:val="0"/>
              <w:marRight w:val="0"/>
              <w:marTop w:val="0"/>
              <w:marBottom w:val="0"/>
              <w:divBdr>
                <w:top w:val="none" w:sz="0" w:space="0" w:color="auto"/>
                <w:left w:val="none" w:sz="0" w:space="0" w:color="auto"/>
                <w:bottom w:val="none" w:sz="0" w:space="0" w:color="auto"/>
                <w:right w:val="none" w:sz="0" w:space="0" w:color="auto"/>
              </w:divBdr>
            </w:div>
          </w:divsChild>
        </w:div>
        <w:div w:id="575284983">
          <w:marLeft w:val="0"/>
          <w:marRight w:val="0"/>
          <w:marTop w:val="0"/>
          <w:marBottom w:val="0"/>
          <w:divBdr>
            <w:top w:val="none" w:sz="0" w:space="0" w:color="auto"/>
            <w:left w:val="none" w:sz="0" w:space="0" w:color="auto"/>
            <w:bottom w:val="none" w:sz="0" w:space="0" w:color="auto"/>
            <w:right w:val="none" w:sz="0" w:space="0" w:color="auto"/>
          </w:divBdr>
          <w:divsChild>
            <w:div w:id="2070883382">
              <w:marLeft w:val="0"/>
              <w:marRight w:val="0"/>
              <w:marTop w:val="0"/>
              <w:marBottom w:val="0"/>
              <w:divBdr>
                <w:top w:val="none" w:sz="0" w:space="0" w:color="auto"/>
                <w:left w:val="none" w:sz="0" w:space="0" w:color="auto"/>
                <w:bottom w:val="none" w:sz="0" w:space="0" w:color="auto"/>
                <w:right w:val="none" w:sz="0" w:space="0" w:color="auto"/>
              </w:divBdr>
            </w:div>
          </w:divsChild>
        </w:div>
        <w:div w:id="584807238">
          <w:marLeft w:val="0"/>
          <w:marRight w:val="0"/>
          <w:marTop w:val="0"/>
          <w:marBottom w:val="0"/>
          <w:divBdr>
            <w:top w:val="none" w:sz="0" w:space="0" w:color="auto"/>
            <w:left w:val="none" w:sz="0" w:space="0" w:color="auto"/>
            <w:bottom w:val="none" w:sz="0" w:space="0" w:color="auto"/>
            <w:right w:val="none" w:sz="0" w:space="0" w:color="auto"/>
          </w:divBdr>
          <w:divsChild>
            <w:div w:id="1415741146">
              <w:marLeft w:val="0"/>
              <w:marRight w:val="0"/>
              <w:marTop w:val="0"/>
              <w:marBottom w:val="0"/>
              <w:divBdr>
                <w:top w:val="none" w:sz="0" w:space="0" w:color="auto"/>
                <w:left w:val="none" w:sz="0" w:space="0" w:color="auto"/>
                <w:bottom w:val="none" w:sz="0" w:space="0" w:color="auto"/>
                <w:right w:val="none" w:sz="0" w:space="0" w:color="auto"/>
              </w:divBdr>
            </w:div>
          </w:divsChild>
        </w:div>
        <w:div w:id="585069785">
          <w:marLeft w:val="0"/>
          <w:marRight w:val="0"/>
          <w:marTop w:val="0"/>
          <w:marBottom w:val="0"/>
          <w:divBdr>
            <w:top w:val="none" w:sz="0" w:space="0" w:color="auto"/>
            <w:left w:val="none" w:sz="0" w:space="0" w:color="auto"/>
            <w:bottom w:val="none" w:sz="0" w:space="0" w:color="auto"/>
            <w:right w:val="none" w:sz="0" w:space="0" w:color="auto"/>
          </w:divBdr>
          <w:divsChild>
            <w:div w:id="2083133906">
              <w:marLeft w:val="0"/>
              <w:marRight w:val="0"/>
              <w:marTop w:val="0"/>
              <w:marBottom w:val="0"/>
              <w:divBdr>
                <w:top w:val="none" w:sz="0" w:space="0" w:color="auto"/>
                <w:left w:val="none" w:sz="0" w:space="0" w:color="auto"/>
                <w:bottom w:val="none" w:sz="0" w:space="0" w:color="auto"/>
                <w:right w:val="none" w:sz="0" w:space="0" w:color="auto"/>
              </w:divBdr>
            </w:div>
          </w:divsChild>
        </w:div>
        <w:div w:id="586308997">
          <w:marLeft w:val="0"/>
          <w:marRight w:val="0"/>
          <w:marTop w:val="0"/>
          <w:marBottom w:val="0"/>
          <w:divBdr>
            <w:top w:val="none" w:sz="0" w:space="0" w:color="auto"/>
            <w:left w:val="none" w:sz="0" w:space="0" w:color="auto"/>
            <w:bottom w:val="none" w:sz="0" w:space="0" w:color="auto"/>
            <w:right w:val="none" w:sz="0" w:space="0" w:color="auto"/>
          </w:divBdr>
          <w:divsChild>
            <w:div w:id="1154684170">
              <w:marLeft w:val="0"/>
              <w:marRight w:val="0"/>
              <w:marTop w:val="0"/>
              <w:marBottom w:val="0"/>
              <w:divBdr>
                <w:top w:val="none" w:sz="0" w:space="0" w:color="auto"/>
                <w:left w:val="none" w:sz="0" w:space="0" w:color="auto"/>
                <w:bottom w:val="none" w:sz="0" w:space="0" w:color="auto"/>
                <w:right w:val="none" w:sz="0" w:space="0" w:color="auto"/>
              </w:divBdr>
            </w:div>
          </w:divsChild>
        </w:div>
        <w:div w:id="586424370">
          <w:marLeft w:val="0"/>
          <w:marRight w:val="0"/>
          <w:marTop w:val="0"/>
          <w:marBottom w:val="0"/>
          <w:divBdr>
            <w:top w:val="none" w:sz="0" w:space="0" w:color="auto"/>
            <w:left w:val="none" w:sz="0" w:space="0" w:color="auto"/>
            <w:bottom w:val="none" w:sz="0" w:space="0" w:color="auto"/>
            <w:right w:val="none" w:sz="0" w:space="0" w:color="auto"/>
          </w:divBdr>
          <w:divsChild>
            <w:div w:id="179004057">
              <w:marLeft w:val="0"/>
              <w:marRight w:val="0"/>
              <w:marTop w:val="0"/>
              <w:marBottom w:val="0"/>
              <w:divBdr>
                <w:top w:val="none" w:sz="0" w:space="0" w:color="auto"/>
                <w:left w:val="none" w:sz="0" w:space="0" w:color="auto"/>
                <w:bottom w:val="none" w:sz="0" w:space="0" w:color="auto"/>
                <w:right w:val="none" w:sz="0" w:space="0" w:color="auto"/>
              </w:divBdr>
            </w:div>
          </w:divsChild>
        </w:div>
        <w:div w:id="591934144">
          <w:marLeft w:val="0"/>
          <w:marRight w:val="0"/>
          <w:marTop w:val="0"/>
          <w:marBottom w:val="0"/>
          <w:divBdr>
            <w:top w:val="none" w:sz="0" w:space="0" w:color="auto"/>
            <w:left w:val="none" w:sz="0" w:space="0" w:color="auto"/>
            <w:bottom w:val="none" w:sz="0" w:space="0" w:color="auto"/>
            <w:right w:val="none" w:sz="0" w:space="0" w:color="auto"/>
          </w:divBdr>
          <w:divsChild>
            <w:div w:id="2102025964">
              <w:marLeft w:val="0"/>
              <w:marRight w:val="0"/>
              <w:marTop w:val="0"/>
              <w:marBottom w:val="0"/>
              <w:divBdr>
                <w:top w:val="none" w:sz="0" w:space="0" w:color="auto"/>
                <w:left w:val="none" w:sz="0" w:space="0" w:color="auto"/>
                <w:bottom w:val="none" w:sz="0" w:space="0" w:color="auto"/>
                <w:right w:val="none" w:sz="0" w:space="0" w:color="auto"/>
              </w:divBdr>
            </w:div>
          </w:divsChild>
        </w:div>
        <w:div w:id="599794381">
          <w:marLeft w:val="0"/>
          <w:marRight w:val="0"/>
          <w:marTop w:val="0"/>
          <w:marBottom w:val="0"/>
          <w:divBdr>
            <w:top w:val="none" w:sz="0" w:space="0" w:color="auto"/>
            <w:left w:val="none" w:sz="0" w:space="0" w:color="auto"/>
            <w:bottom w:val="none" w:sz="0" w:space="0" w:color="auto"/>
            <w:right w:val="none" w:sz="0" w:space="0" w:color="auto"/>
          </w:divBdr>
          <w:divsChild>
            <w:div w:id="1026716574">
              <w:marLeft w:val="0"/>
              <w:marRight w:val="0"/>
              <w:marTop w:val="0"/>
              <w:marBottom w:val="0"/>
              <w:divBdr>
                <w:top w:val="none" w:sz="0" w:space="0" w:color="auto"/>
                <w:left w:val="none" w:sz="0" w:space="0" w:color="auto"/>
                <w:bottom w:val="none" w:sz="0" w:space="0" w:color="auto"/>
                <w:right w:val="none" w:sz="0" w:space="0" w:color="auto"/>
              </w:divBdr>
            </w:div>
          </w:divsChild>
        </w:div>
        <w:div w:id="602349585">
          <w:marLeft w:val="0"/>
          <w:marRight w:val="0"/>
          <w:marTop w:val="0"/>
          <w:marBottom w:val="0"/>
          <w:divBdr>
            <w:top w:val="none" w:sz="0" w:space="0" w:color="auto"/>
            <w:left w:val="none" w:sz="0" w:space="0" w:color="auto"/>
            <w:bottom w:val="none" w:sz="0" w:space="0" w:color="auto"/>
            <w:right w:val="none" w:sz="0" w:space="0" w:color="auto"/>
          </w:divBdr>
          <w:divsChild>
            <w:div w:id="1685394978">
              <w:marLeft w:val="0"/>
              <w:marRight w:val="0"/>
              <w:marTop w:val="0"/>
              <w:marBottom w:val="0"/>
              <w:divBdr>
                <w:top w:val="none" w:sz="0" w:space="0" w:color="auto"/>
                <w:left w:val="none" w:sz="0" w:space="0" w:color="auto"/>
                <w:bottom w:val="none" w:sz="0" w:space="0" w:color="auto"/>
                <w:right w:val="none" w:sz="0" w:space="0" w:color="auto"/>
              </w:divBdr>
            </w:div>
          </w:divsChild>
        </w:div>
        <w:div w:id="610867619">
          <w:marLeft w:val="0"/>
          <w:marRight w:val="0"/>
          <w:marTop w:val="0"/>
          <w:marBottom w:val="0"/>
          <w:divBdr>
            <w:top w:val="none" w:sz="0" w:space="0" w:color="auto"/>
            <w:left w:val="none" w:sz="0" w:space="0" w:color="auto"/>
            <w:bottom w:val="none" w:sz="0" w:space="0" w:color="auto"/>
            <w:right w:val="none" w:sz="0" w:space="0" w:color="auto"/>
          </w:divBdr>
          <w:divsChild>
            <w:div w:id="67727249">
              <w:marLeft w:val="0"/>
              <w:marRight w:val="0"/>
              <w:marTop w:val="0"/>
              <w:marBottom w:val="0"/>
              <w:divBdr>
                <w:top w:val="none" w:sz="0" w:space="0" w:color="auto"/>
                <w:left w:val="none" w:sz="0" w:space="0" w:color="auto"/>
                <w:bottom w:val="none" w:sz="0" w:space="0" w:color="auto"/>
                <w:right w:val="none" w:sz="0" w:space="0" w:color="auto"/>
              </w:divBdr>
            </w:div>
          </w:divsChild>
        </w:div>
        <w:div w:id="615647485">
          <w:marLeft w:val="0"/>
          <w:marRight w:val="0"/>
          <w:marTop w:val="0"/>
          <w:marBottom w:val="0"/>
          <w:divBdr>
            <w:top w:val="none" w:sz="0" w:space="0" w:color="auto"/>
            <w:left w:val="none" w:sz="0" w:space="0" w:color="auto"/>
            <w:bottom w:val="none" w:sz="0" w:space="0" w:color="auto"/>
            <w:right w:val="none" w:sz="0" w:space="0" w:color="auto"/>
          </w:divBdr>
          <w:divsChild>
            <w:div w:id="678853118">
              <w:marLeft w:val="0"/>
              <w:marRight w:val="0"/>
              <w:marTop w:val="0"/>
              <w:marBottom w:val="0"/>
              <w:divBdr>
                <w:top w:val="none" w:sz="0" w:space="0" w:color="auto"/>
                <w:left w:val="none" w:sz="0" w:space="0" w:color="auto"/>
                <w:bottom w:val="none" w:sz="0" w:space="0" w:color="auto"/>
                <w:right w:val="none" w:sz="0" w:space="0" w:color="auto"/>
              </w:divBdr>
            </w:div>
          </w:divsChild>
        </w:div>
        <w:div w:id="625504110">
          <w:marLeft w:val="0"/>
          <w:marRight w:val="0"/>
          <w:marTop w:val="0"/>
          <w:marBottom w:val="0"/>
          <w:divBdr>
            <w:top w:val="none" w:sz="0" w:space="0" w:color="auto"/>
            <w:left w:val="none" w:sz="0" w:space="0" w:color="auto"/>
            <w:bottom w:val="none" w:sz="0" w:space="0" w:color="auto"/>
            <w:right w:val="none" w:sz="0" w:space="0" w:color="auto"/>
          </w:divBdr>
          <w:divsChild>
            <w:div w:id="1485201869">
              <w:marLeft w:val="0"/>
              <w:marRight w:val="0"/>
              <w:marTop w:val="0"/>
              <w:marBottom w:val="0"/>
              <w:divBdr>
                <w:top w:val="none" w:sz="0" w:space="0" w:color="auto"/>
                <w:left w:val="none" w:sz="0" w:space="0" w:color="auto"/>
                <w:bottom w:val="none" w:sz="0" w:space="0" w:color="auto"/>
                <w:right w:val="none" w:sz="0" w:space="0" w:color="auto"/>
              </w:divBdr>
            </w:div>
          </w:divsChild>
        </w:div>
        <w:div w:id="633409230">
          <w:marLeft w:val="0"/>
          <w:marRight w:val="0"/>
          <w:marTop w:val="0"/>
          <w:marBottom w:val="0"/>
          <w:divBdr>
            <w:top w:val="none" w:sz="0" w:space="0" w:color="auto"/>
            <w:left w:val="none" w:sz="0" w:space="0" w:color="auto"/>
            <w:bottom w:val="none" w:sz="0" w:space="0" w:color="auto"/>
            <w:right w:val="none" w:sz="0" w:space="0" w:color="auto"/>
          </w:divBdr>
          <w:divsChild>
            <w:div w:id="197745775">
              <w:marLeft w:val="0"/>
              <w:marRight w:val="0"/>
              <w:marTop w:val="0"/>
              <w:marBottom w:val="0"/>
              <w:divBdr>
                <w:top w:val="none" w:sz="0" w:space="0" w:color="auto"/>
                <w:left w:val="none" w:sz="0" w:space="0" w:color="auto"/>
                <w:bottom w:val="none" w:sz="0" w:space="0" w:color="auto"/>
                <w:right w:val="none" w:sz="0" w:space="0" w:color="auto"/>
              </w:divBdr>
            </w:div>
          </w:divsChild>
        </w:div>
        <w:div w:id="633565071">
          <w:marLeft w:val="0"/>
          <w:marRight w:val="0"/>
          <w:marTop w:val="0"/>
          <w:marBottom w:val="0"/>
          <w:divBdr>
            <w:top w:val="none" w:sz="0" w:space="0" w:color="auto"/>
            <w:left w:val="none" w:sz="0" w:space="0" w:color="auto"/>
            <w:bottom w:val="none" w:sz="0" w:space="0" w:color="auto"/>
            <w:right w:val="none" w:sz="0" w:space="0" w:color="auto"/>
          </w:divBdr>
          <w:divsChild>
            <w:div w:id="1915505006">
              <w:marLeft w:val="0"/>
              <w:marRight w:val="0"/>
              <w:marTop w:val="0"/>
              <w:marBottom w:val="0"/>
              <w:divBdr>
                <w:top w:val="none" w:sz="0" w:space="0" w:color="auto"/>
                <w:left w:val="none" w:sz="0" w:space="0" w:color="auto"/>
                <w:bottom w:val="none" w:sz="0" w:space="0" w:color="auto"/>
                <w:right w:val="none" w:sz="0" w:space="0" w:color="auto"/>
              </w:divBdr>
            </w:div>
          </w:divsChild>
        </w:div>
        <w:div w:id="638538549">
          <w:marLeft w:val="0"/>
          <w:marRight w:val="0"/>
          <w:marTop w:val="0"/>
          <w:marBottom w:val="0"/>
          <w:divBdr>
            <w:top w:val="none" w:sz="0" w:space="0" w:color="auto"/>
            <w:left w:val="none" w:sz="0" w:space="0" w:color="auto"/>
            <w:bottom w:val="none" w:sz="0" w:space="0" w:color="auto"/>
            <w:right w:val="none" w:sz="0" w:space="0" w:color="auto"/>
          </w:divBdr>
          <w:divsChild>
            <w:div w:id="1274829004">
              <w:marLeft w:val="0"/>
              <w:marRight w:val="0"/>
              <w:marTop w:val="0"/>
              <w:marBottom w:val="0"/>
              <w:divBdr>
                <w:top w:val="none" w:sz="0" w:space="0" w:color="auto"/>
                <w:left w:val="none" w:sz="0" w:space="0" w:color="auto"/>
                <w:bottom w:val="none" w:sz="0" w:space="0" w:color="auto"/>
                <w:right w:val="none" w:sz="0" w:space="0" w:color="auto"/>
              </w:divBdr>
            </w:div>
          </w:divsChild>
        </w:div>
        <w:div w:id="649359547">
          <w:marLeft w:val="0"/>
          <w:marRight w:val="0"/>
          <w:marTop w:val="0"/>
          <w:marBottom w:val="0"/>
          <w:divBdr>
            <w:top w:val="none" w:sz="0" w:space="0" w:color="auto"/>
            <w:left w:val="none" w:sz="0" w:space="0" w:color="auto"/>
            <w:bottom w:val="none" w:sz="0" w:space="0" w:color="auto"/>
            <w:right w:val="none" w:sz="0" w:space="0" w:color="auto"/>
          </w:divBdr>
          <w:divsChild>
            <w:div w:id="1052579185">
              <w:marLeft w:val="0"/>
              <w:marRight w:val="0"/>
              <w:marTop w:val="0"/>
              <w:marBottom w:val="0"/>
              <w:divBdr>
                <w:top w:val="none" w:sz="0" w:space="0" w:color="auto"/>
                <w:left w:val="none" w:sz="0" w:space="0" w:color="auto"/>
                <w:bottom w:val="none" w:sz="0" w:space="0" w:color="auto"/>
                <w:right w:val="none" w:sz="0" w:space="0" w:color="auto"/>
              </w:divBdr>
            </w:div>
          </w:divsChild>
        </w:div>
        <w:div w:id="660155027">
          <w:marLeft w:val="0"/>
          <w:marRight w:val="0"/>
          <w:marTop w:val="0"/>
          <w:marBottom w:val="0"/>
          <w:divBdr>
            <w:top w:val="none" w:sz="0" w:space="0" w:color="auto"/>
            <w:left w:val="none" w:sz="0" w:space="0" w:color="auto"/>
            <w:bottom w:val="none" w:sz="0" w:space="0" w:color="auto"/>
            <w:right w:val="none" w:sz="0" w:space="0" w:color="auto"/>
          </w:divBdr>
          <w:divsChild>
            <w:div w:id="1267274841">
              <w:marLeft w:val="0"/>
              <w:marRight w:val="0"/>
              <w:marTop w:val="0"/>
              <w:marBottom w:val="0"/>
              <w:divBdr>
                <w:top w:val="none" w:sz="0" w:space="0" w:color="auto"/>
                <w:left w:val="none" w:sz="0" w:space="0" w:color="auto"/>
                <w:bottom w:val="none" w:sz="0" w:space="0" w:color="auto"/>
                <w:right w:val="none" w:sz="0" w:space="0" w:color="auto"/>
              </w:divBdr>
            </w:div>
          </w:divsChild>
        </w:div>
        <w:div w:id="672531938">
          <w:marLeft w:val="0"/>
          <w:marRight w:val="0"/>
          <w:marTop w:val="0"/>
          <w:marBottom w:val="0"/>
          <w:divBdr>
            <w:top w:val="none" w:sz="0" w:space="0" w:color="auto"/>
            <w:left w:val="none" w:sz="0" w:space="0" w:color="auto"/>
            <w:bottom w:val="none" w:sz="0" w:space="0" w:color="auto"/>
            <w:right w:val="none" w:sz="0" w:space="0" w:color="auto"/>
          </w:divBdr>
          <w:divsChild>
            <w:div w:id="604968289">
              <w:marLeft w:val="0"/>
              <w:marRight w:val="0"/>
              <w:marTop w:val="0"/>
              <w:marBottom w:val="0"/>
              <w:divBdr>
                <w:top w:val="none" w:sz="0" w:space="0" w:color="auto"/>
                <w:left w:val="none" w:sz="0" w:space="0" w:color="auto"/>
                <w:bottom w:val="none" w:sz="0" w:space="0" w:color="auto"/>
                <w:right w:val="none" w:sz="0" w:space="0" w:color="auto"/>
              </w:divBdr>
            </w:div>
          </w:divsChild>
        </w:div>
        <w:div w:id="674184109">
          <w:marLeft w:val="0"/>
          <w:marRight w:val="0"/>
          <w:marTop w:val="0"/>
          <w:marBottom w:val="0"/>
          <w:divBdr>
            <w:top w:val="none" w:sz="0" w:space="0" w:color="auto"/>
            <w:left w:val="none" w:sz="0" w:space="0" w:color="auto"/>
            <w:bottom w:val="none" w:sz="0" w:space="0" w:color="auto"/>
            <w:right w:val="none" w:sz="0" w:space="0" w:color="auto"/>
          </w:divBdr>
          <w:divsChild>
            <w:div w:id="590310929">
              <w:marLeft w:val="0"/>
              <w:marRight w:val="0"/>
              <w:marTop w:val="0"/>
              <w:marBottom w:val="0"/>
              <w:divBdr>
                <w:top w:val="none" w:sz="0" w:space="0" w:color="auto"/>
                <w:left w:val="none" w:sz="0" w:space="0" w:color="auto"/>
                <w:bottom w:val="none" w:sz="0" w:space="0" w:color="auto"/>
                <w:right w:val="none" w:sz="0" w:space="0" w:color="auto"/>
              </w:divBdr>
            </w:div>
          </w:divsChild>
        </w:div>
        <w:div w:id="677773809">
          <w:marLeft w:val="0"/>
          <w:marRight w:val="0"/>
          <w:marTop w:val="0"/>
          <w:marBottom w:val="0"/>
          <w:divBdr>
            <w:top w:val="none" w:sz="0" w:space="0" w:color="auto"/>
            <w:left w:val="none" w:sz="0" w:space="0" w:color="auto"/>
            <w:bottom w:val="none" w:sz="0" w:space="0" w:color="auto"/>
            <w:right w:val="none" w:sz="0" w:space="0" w:color="auto"/>
          </w:divBdr>
          <w:divsChild>
            <w:div w:id="1186603839">
              <w:marLeft w:val="0"/>
              <w:marRight w:val="0"/>
              <w:marTop w:val="0"/>
              <w:marBottom w:val="0"/>
              <w:divBdr>
                <w:top w:val="none" w:sz="0" w:space="0" w:color="auto"/>
                <w:left w:val="none" w:sz="0" w:space="0" w:color="auto"/>
                <w:bottom w:val="none" w:sz="0" w:space="0" w:color="auto"/>
                <w:right w:val="none" w:sz="0" w:space="0" w:color="auto"/>
              </w:divBdr>
            </w:div>
          </w:divsChild>
        </w:div>
        <w:div w:id="683285477">
          <w:marLeft w:val="0"/>
          <w:marRight w:val="0"/>
          <w:marTop w:val="0"/>
          <w:marBottom w:val="0"/>
          <w:divBdr>
            <w:top w:val="none" w:sz="0" w:space="0" w:color="auto"/>
            <w:left w:val="none" w:sz="0" w:space="0" w:color="auto"/>
            <w:bottom w:val="none" w:sz="0" w:space="0" w:color="auto"/>
            <w:right w:val="none" w:sz="0" w:space="0" w:color="auto"/>
          </w:divBdr>
          <w:divsChild>
            <w:div w:id="278025973">
              <w:marLeft w:val="0"/>
              <w:marRight w:val="0"/>
              <w:marTop w:val="0"/>
              <w:marBottom w:val="0"/>
              <w:divBdr>
                <w:top w:val="none" w:sz="0" w:space="0" w:color="auto"/>
                <w:left w:val="none" w:sz="0" w:space="0" w:color="auto"/>
                <w:bottom w:val="none" w:sz="0" w:space="0" w:color="auto"/>
                <w:right w:val="none" w:sz="0" w:space="0" w:color="auto"/>
              </w:divBdr>
            </w:div>
          </w:divsChild>
        </w:div>
        <w:div w:id="685405134">
          <w:marLeft w:val="0"/>
          <w:marRight w:val="0"/>
          <w:marTop w:val="0"/>
          <w:marBottom w:val="0"/>
          <w:divBdr>
            <w:top w:val="none" w:sz="0" w:space="0" w:color="auto"/>
            <w:left w:val="none" w:sz="0" w:space="0" w:color="auto"/>
            <w:bottom w:val="none" w:sz="0" w:space="0" w:color="auto"/>
            <w:right w:val="none" w:sz="0" w:space="0" w:color="auto"/>
          </w:divBdr>
          <w:divsChild>
            <w:div w:id="2016571107">
              <w:marLeft w:val="0"/>
              <w:marRight w:val="0"/>
              <w:marTop w:val="0"/>
              <w:marBottom w:val="0"/>
              <w:divBdr>
                <w:top w:val="none" w:sz="0" w:space="0" w:color="auto"/>
                <w:left w:val="none" w:sz="0" w:space="0" w:color="auto"/>
                <w:bottom w:val="none" w:sz="0" w:space="0" w:color="auto"/>
                <w:right w:val="none" w:sz="0" w:space="0" w:color="auto"/>
              </w:divBdr>
            </w:div>
          </w:divsChild>
        </w:div>
        <w:div w:id="698629385">
          <w:marLeft w:val="0"/>
          <w:marRight w:val="0"/>
          <w:marTop w:val="0"/>
          <w:marBottom w:val="0"/>
          <w:divBdr>
            <w:top w:val="none" w:sz="0" w:space="0" w:color="auto"/>
            <w:left w:val="none" w:sz="0" w:space="0" w:color="auto"/>
            <w:bottom w:val="none" w:sz="0" w:space="0" w:color="auto"/>
            <w:right w:val="none" w:sz="0" w:space="0" w:color="auto"/>
          </w:divBdr>
          <w:divsChild>
            <w:div w:id="1219245321">
              <w:marLeft w:val="0"/>
              <w:marRight w:val="0"/>
              <w:marTop w:val="0"/>
              <w:marBottom w:val="0"/>
              <w:divBdr>
                <w:top w:val="none" w:sz="0" w:space="0" w:color="auto"/>
                <w:left w:val="none" w:sz="0" w:space="0" w:color="auto"/>
                <w:bottom w:val="none" w:sz="0" w:space="0" w:color="auto"/>
                <w:right w:val="none" w:sz="0" w:space="0" w:color="auto"/>
              </w:divBdr>
            </w:div>
          </w:divsChild>
        </w:div>
        <w:div w:id="708529497">
          <w:marLeft w:val="0"/>
          <w:marRight w:val="0"/>
          <w:marTop w:val="0"/>
          <w:marBottom w:val="0"/>
          <w:divBdr>
            <w:top w:val="none" w:sz="0" w:space="0" w:color="auto"/>
            <w:left w:val="none" w:sz="0" w:space="0" w:color="auto"/>
            <w:bottom w:val="none" w:sz="0" w:space="0" w:color="auto"/>
            <w:right w:val="none" w:sz="0" w:space="0" w:color="auto"/>
          </w:divBdr>
          <w:divsChild>
            <w:div w:id="1900479379">
              <w:marLeft w:val="0"/>
              <w:marRight w:val="0"/>
              <w:marTop w:val="0"/>
              <w:marBottom w:val="0"/>
              <w:divBdr>
                <w:top w:val="none" w:sz="0" w:space="0" w:color="auto"/>
                <w:left w:val="none" w:sz="0" w:space="0" w:color="auto"/>
                <w:bottom w:val="none" w:sz="0" w:space="0" w:color="auto"/>
                <w:right w:val="none" w:sz="0" w:space="0" w:color="auto"/>
              </w:divBdr>
            </w:div>
          </w:divsChild>
        </w:div>
        <w:div w:id="721831876">
          <w:marLeft w:val="0"/>
          <w:marRight w:val="0"/>
          <w:marTop w:val="0"/>
          <w:marBottom w:val="0"/>
          <w:divBdr>
            <w:top w:val="none" w:sz="0" w:space="0" w:color="auto"/>
            <w:left w:val="none" w:sz="0" w:space="0" w:color="auto"/>
            <w:bottom w:val="none" w:sz="0" w:space="0" w:color="auto"/>
            <w:right w:val="none" w:sz="0" w:space="0" w:color="auto"/>
          </w:divBdr>
          <w:divsChild>
            <w:div w:id="755368207">
              <w:marLeft w:val="0"/>
              <w:marRight w:val="0"/>
              <w:marTop w:val="0"/>
              <w:marBottom w:val="0"/>
              <w:divBdr>
                <w:top w:val="none" w:sz="0" w:space="0" w:color="auto"/>
                <w:left w:val="none" w:sz="0" w:space="0" w:color="auto"/>
                <w:bottom w:val="none" w:sz="0" w:space="0" w:color="auto"/>
                <w:right w:val="none" w:sz="0" w:space="0" w:color="auto"/>
              </w:divBdr>
            </w:div>
          </w:divsChild>
        </w:div>
        <w:div w:id="722411219">
          <w:marLeft w:val="0"/>
          <w:marRight w:val="0"/>
          <w:marTop w:val="0"/>
          <w:marBottom w:val="0"/>
          <w:divBdr>
            <w:top w:val="none" w:sz="0" w:space="0" w:color="auto"/>
            <w:left w:val="none" w:sz="0" w:space="0" w:color="auto"/>
            <w:bottom w:val="none" w:sz="0" w:space="0" w:color="auto"/>
            <w:right w:val="none" w:sz="0" w:space="0" w:color="auto"/>
          </w:divBdr>
          <w:divsChild>
            <w:div w:id="89276315">
              <w:marLeft w:val="0"/>
              <w:marRight w:val="0"/>
              <w:marTop w:val="0"/>
              <w:marBottom w:val="0"/>
              <w:divBdr>
                <w:top w:val="none" w:sz="0" w:space="0" w:color="auto"/>
                <w:left w:val="none" w:sz="0" w:space="0" w:color="auto"/>
                <w:bottom w:val="none" w:sz="0" w:space="0" w:color="auto"/>
                <w:right w:val="none" w:sz="0" w:space="0" w:color="auto"/>
              </w:divBdr>
            </w:div>
          </w:divsChild>
        </w:div>
        <w:div w:id="724255838">
          <w:marLeft w:val="0"/>
          <w:marRight w:val="0"/>
          <w:marTop w:val="0"/>
          <w:marBottom w:val="0"/>
          <w:divBdr>
            <w:top w:val="none" w:sz="0" w:space="0" w:color="auto"/>
            <w:left w:val="none" w:sz="0" w:space="0" w:color="auto"/>
            <w:bottom w:val="none" w:sz="0" w:space="0" w:color="auto"/>
            <w:right w:val="none" w:sz="0" w:space="0" w:color="auto"/>
          </w:divBdr>
          <w:divsChild>
            <w:div w:id="1284312536">
              <w:marLeft w:val="0"/>
              <w:marRight w:val="0"/>
              <w:marTop w:val="0"/>
              <w:marBottom w:val="0"/>
              <w:divBdr>
                <w:top w:val="none" w:sz="0" w:space="0" w:color="auto"/>
                <w:left w:val="none" w:sz="0" w:space="0" w:color="auto"/>
                <w:bottom w:val="none" w:sz="0" w:space="0" w:color="auto"/>
                <w:right w:val="none" w:sz="0" w:space="0" w:color="auto"/>
              </w:divBdr>
            </w:div>
          </w:divsChild>
        </w:div>
        <w:div w:id="727412653">
          <w:marLeft w:val="0"/>
          <w:marRight w:val="0"/>
          <w:marTop w:val="0"/>
          <w:marBottom w:val="0"/>
          <w:divBdr>
            <w:top w:val="none" w:sz="0" w:space="0" w:color="auto"/>
            <w:left w:val="none" w:sz="0" w:space="0" w:color="auto"/>
            <w:bottom w:val="none" w:sz="0" w:space="0" w:color="auto"/>
            <w:right w:val="none" w:sz="0" w:space="0" w:color="auto"/>
          </w:divBdr>
          <w:divsChild>
            <w:div w:id="670841494">
              <w:marLeft w:val="0"/>
              <w:marRight w:val="0"/>
              <w:marTop w:val="0"/>
              <w:marBottom w:val="0"/>
              <w:divBdr>
                <w:top w:val="none" w:sz="0" w:space="0" w:color="auto"/>
                <w:left w:val="none" w:sz="0" w:space="0" w:color="auto"/>
                <w:bottom w:val="none" w:sz="0" w:space="0" w:color="auto"/>
                <w:right w:val="none" w:sz="0" w:space="0" w:color="auto"/>
              </w:divBdr>
            </w:div>
          </w:divsChild>
        </w:div>
        <w:div w:id="746457784">
          <w:marLeft w:val="0"/>
          <w:marRight w:val="0"/>
          <w:marTop w:val="0"/>
          <w:marBottom w:val="0"/>
          <w:divBdr>
            <w:top w:val="none" w:sz="0" w:space="0" w:color="auto"/>
            <w:left w:val="none" w:sz="0" w:space="0" w:color="auto"/>
            <w:bottom w:val="none" w:sz="0" w:space="0" w:color="auto"/>
            <w:right w:val="none" w:sz="0" w:space="0" w:color="auto"/>
          </w:divBdr>
          <w:divsChild>
            <w:div w:id="198205658">
              <w:marLeft w:val="0"/>
              <w:marRight w:val="0"/>
              <w:marTop w:val="0"/>
              <w:marBottom w:val="0"/>
              <w:divBdr>
                <w:top w:val="none" w:sz="0" w:space="0" w:color="auto"/>
                <w:left w:val="none" w:sz="0" w:space="0" w:color="auto"/>
                <w:bottom w:val="none" w:sz="0" w:space="0" w:color="auto"/>
                <w:right w:val="none" w:sz="0" w:space="0" w:color="auto"/>
              </w:divBdr>
            </w:div>
          </w:divsChild>
        </w:div>
        <w:div w:id="748386604">
          <w:marLeft w:val="0"/>
          <w:marRight w:val="0"/>
          <w:marTop w:val="0"/>
          <w:marBottom w:val="0"/>
          <w:divBdr>
            <w:top w:val="none" w:sz="0" w:space="0" w:color="auto"/>
            <w:left w:val="none" w:sz="0" w:space="0" w:color="auto"/>
            <w:bottom w:val="none" w:sz="0" w:space="0" w:color="auto"/>
            <w:right w:val="none" w:sz="0" w:space="0" w:color="auto"/>
          </w:divBdr>
          <w:divsChild>
            <w:div w:id="779910728">
              <w:marLeft w:val="0"/>
              <w:marRight w:val="0"/>
              <w:marTop w:val="0"/>
              <w:marBottom w:val="0"/>
              <w:divBdr>
                <w:top w:val="none" w:sz="0" w:space="0" w:color="auto"/>
                <w:left w:val="none" w:sz="0" w:space="0" w:color="auto"/>
                <w:bottom w:val="none" w:sz="0" w:space="0" w:color="auto"/>
                <w:right w:val="none" w:sz="0" w:space="0" w:color="auto"/>
              </w:divBdr>
            </w:div>
          </w:divsChild>
        </w:div>
        <w:div w:id="758452673">
          <w:marLeft w:val="0"/>
          <w:marRight w:val="0"/>
          <w:marTop w:val="0"/>
          <w:marBottom w:val="0"/>
          <w:divBdr>
            <w:top w:val="none" w:sz="0" w:space="0" w:color="auto"/>
            <w:left w:val="none" w:sz="0" w:space="0" w:color="auto"/>
            <w:bottom w:val="none" w:sz="0" w:space="0" w:color="auto"/>
            <w:right w:val="none" w:sz="0" w:space="0" w:color="auto"/>
          </w:divBdr>
          <w:divsChild>
            <w:div w:id="220100334">
              <w:marLeft w:val="0"/>
              <w:marRight w:val="0"/>
              <w:marTop w:val="0"/>
              <w:marBottom w:val="0"/>
              <w:divBdr>
                <w:top w:val="none" w:sz="0" w:space="0" w:color="auto"/>
                <w:left w:val="none" w:sz="0" w:space="0" w:color="auto"/>
                <w:bottom w:val="none" w:sz="0" w:space="0" w:color="auto"/>
                <w:right w:val="none" w:sz="0" w:space="0" w:color="auto"/>
              </w:divBdr>
            </w:div>
          </w:divsChild>
        </w:div>
        <w:div w:id="774666497">
          <w:marLeft w:val="0"/>
          <w:marRight w:val="0"/>
          <w:marTop w:val="0"/>
          <w:marBottom w:val="0"/>
          <w:divBdr>
            <w:top w:val="none" w:sz="0" w:space="0" w:color="auto"/>
            <w:left w:val="none" w:sz="0" w:space="0" w:color="auto"/>
            <w:bottom w:val="none" w:sz="0" w:space="0" w:color="auto"/>
            <w:right w:val="none" w:sz="0" w:space="0" w:color="auto"/>
          </w:divBdr>
          <w:divsChild>
            <w:div w:id="1264144327">
              <w:marLeft w:val="0"/>
              <w:marRight w:val="0"/>
              <w:marTop w:val="0"/>
              <w:marBottom w:val="0"/>
              <w:divBdr>
                <w:top w:val="none" w:sz="0" w:space="0" w:color="auto"/>
                <w:left w:val="none" w:sz="0" w:space="0" w:color="auto"/>
                <w:bottom w:val="none" w:sz="0" w:space="0" w:color="auto"/>
                <w:right w:val="none" w:sz="0" w:space="0" w:color="auto"/>
              </w:divBdr>
            </w:div>
          </w:divsChild>
        </w:div>
        <w:div w:id="779642498">
          <w:marLeft w:val="0"/>
          <w:marRight w:val="0"/>
          <w:marTop w:val="0"/>
          <w:marBottom w:val="0"/>
          <w:divBdr>
            <w:top w:val="none" w:sz="0" w:space="0" w:color="auto"/>
            <w:left w:val="none" w:sz="0" w:space="0" w:color="auto"/>
            <w:bottom w:val="none" w:sz="0" w:space="0" w:color="auto"/>
            <w:right w:val="none" w:sz="0" w:space="0" w:color="auto"/>
          </w:divBdr>
          <w:divsChild>
            <w:div w:id="234053887">
              <w:marLeft w:val="0"/>
              <w:marRight w:val="0"/>
              <w:marTop w:val="0"/>
              <w:marBottom w:val="0"/>
              <w:divBdr>
                <w:top w:val="none" w:sz="0" w:space="0" w:color="auto"/>
                <w:left w:val="none" w:sz="0" w:space="0" w:color="auto"/>
                <w:bottom w:val="none" w:sz="0" w:space="0" w:color="auto"/>
                <w:right w:val="none" w:sz="0" w:space="0" w:color="auto"/>
              </w:divBdr>
            </w:div>
          </w:divsChild>
        </w:div>
        <w:div w:id="781534445">
          <w:marLeft w:val="0"/>
          <w:marRight w:val="0"/>
          <w:marTop w:val="0"/>
          <w:marBottom w:val="0"/>
          <w:divBdr>
            <w:top w:val="none" w:sz="0" w:space="0" w:color="auto"/>
            <w:left w:val="none" w:sz="0" w:space="0" w:color="auto"/>
            <w:bottom w:val="none" w:sz="0" w:space="0" w:color="auto"/>
            <w:right w:val="none" w:sz="0" w:space="0" w:color="auto"/>
          </w:divBdr>
          <w:divsChild>
            <w:div w:id="1237281630">
              <w:marLeft w:val="0"/>
              <w:marRight w:val="0"/>
              <w:marTop w:val="0"/>
              <w:marBottom w:val="0"/>
              <w:divBdr>
                <w:top w:val="none" w:sz="0" w:space="0" w:color="auto"/>
                <w:left w:val="none" w:sz="0" w:space="0" w:color="auto"/>
                <w:bottom w:val="none" w:sz="0" w:space="0" w:color="auto"/>
                <w:right w:val="none" w:sz="0" w:space="0" w:color="auto"/>
              </w:divBdr>
            </w:div>
          </w:divsChild>
        </w:div>
        <w:div w:id="782068189">
          <w:marLeft w:val="0"/>
          <w:marRight w:val="0"/>
          <w:marTop w:val="0"/>
          <w:marBottom w:val="0"/>
          <w:divBdr>
            <w:top w:val="none" w:sz="0" w:space="0" w:color="auto"/>
            <w:left w:val="none" w:sz="0" w:space="0" w:color="auto"/>
            <w:bottom w:val="none" w:sz="0" w:space="0" w:color="auto"/>
            <w:right w:val="none" w:sz="0" w:space="0" w:color="auto"/>
          </w:divBdr>
          <w:divsChild>
            <w:div w:id="1979526749">
              <w:marLeft w:val="0"/>
              <w:marRight w:val="0"/>
              <w:marTop w:val="0"/>
              <w:marBottom w:val="0"/>
              <w:divBdr>
                <w:top w:val="none" w:sz="0" w:space="0" w:color="auto"/>
                <w:left w:val="none" w:sz="0" w:space="0" w:color="auto"/>
                <w:bottom w:val="none" w:sz="0" w:space="0" w:color="auto"/>
                <w:right w:val="none" w:sz="0" w:space="0" w:color="auto"/>
              </w:divBdr>
            </w:div>
          </w:divsChild>
        </w:div>
        <w:div w:id="785083985">
          <w:marLeft w:val="0"/>
          <w:marRight w:val="0"/>
          <w:marTop w:val="0"/>
          <w:marBottom w:val="0"/>
          <w:divBdr>
            <w:top w:val="none" w:sz="0" w:space="0" w:color="auto"/>
            <w:left w:val="none" w:sz="0" w:space="0" w:color="auto"/>
            <w:bottom w:val="none" w:sz="0" w:space="0" w:color="auto"/>
            <w:right w:val="none" w:sz="0" w:space="0" w:color="auto"/>
          </w:divBdr>
          <w:divsChild>
            <w:div w:id="1301230710">
              <w:marLeft w:val="0"/>
              <w:marRight w:val="0"/>
              <w:marTop w:val="0"/>
              <w:marBottom w:val="0"/>
              <w:divBdr>
                <w:top w:val="none" w:sz="0" w:space="0" w:color="auto"/>
                <w:left w:val="none" w:sz="0" w:space="0" w:color="auto"/>
                <w:bottom w:val="none" w:sz="0" w:space="0" w:color="auto"/>
                <w:right w:val="none" w:sz="0" w:space="0" w:color="auto"/>
              </w:divBdr>
            </w:div>
          </w:divsChild>
        </w:div>
        <w:div w:id="793718033">
          <w:marLeft w:val="0"/>
          <w:marRight w:val="0"/>
          <w:marTop w:val="0"/>
          <w:marBottom w:val="0"/>
          <w:divBdr>
            <w:top w:val="none" w:sz="0" w:space="0" w:color="auto"/>
            <w:left w:val="none" w:sz="0" w:space="0" w:color="auto"/>
            <w:bottom w:val="none" w:sz="0" w:space="0" w:color="auto"/>
            <w:right w:val="none" w:sz="0" w:space="0" w:color="auto"/>
          </w:divBdr>
          <w:divsChild>
            <w:div w:id="1374302716">
              <w:marLeft w:val="0"/>
              <w:marRight w:val="0"/>
              <w:marTop w:val="0"/>
              <w:marBottom w:val="0"/>
              <w:divBdr>
                <w:top w:val="none" w:sz="0" w:space="0" w:color="auto"/>
                <w:left w:val="none" w:sz="0" w:space="0" w:color="auto"/>
                <w:bottom w:val="none" w:sz="0" w:space="0" w:color="auto"/>
                <w:right w:val="none" w:sz="0" w:space="0" w:color="auto"/>
              </w:divBdr>
            </w:div>
          </w:divsChild>
        </w:div>
        <w:div w:id="801508961">
          <w:marLeft w:val="0"/>
          <w:marRight w:val="0"/>
          <w:marTop w:val="0"/>
          <w:marBottom w:val="0"/>
          <w:divBdr>
            <w:top w:val="none" w:sz="0" w:space="0" w:color="auto"/>
            <w:left w:val="none" w:sz="0" w:space="0" w:color="auto"/>
            <w:bottom w:val="none" w:sz="0" w:space="0" w:color="auto"/>
            <w:right w:val="none" w:sz="0" w:space="0" w:color="auto"/>
          </w:divBdr>
          <w:divsChild>
            <w:div w:id="938369262">
              <w:marLeft w:val="0"/>
              <w:marRight w:val="0"/>
              <w:marTop w:val="0"/>
              <w:marBottom w:val="0"/>
              <w:divBdr>
                <w:top w:val="none" w:sz="0" w:space="0" w:color="auto"/>
                <w:left w:val="none" w:sz="0" w:space="0" w:color="auto"/>
                <w:bottom w:val="none" w:sz="0" w:space="0" w:color="auto"/>
                <w:right w:val="none" w:sz="0" w:space="0" w:color="auto"/>
              </w:divBdr>
            </w:div>
          </w:divsChild>
        </w:div>
        <w:div w:id="812142558">
          <w:marLeft w:val="0"/>
          <w:marRight w:val="0"/>
          <w:marTop w:val="0"/>
          <w:marBottom w:val="0"/>
          <w:divBdr>
            <w:top w:val="none" w:sz="0" w:space="0" w:color="auto"/>
            <w:left w:val="none" w:sz="0" w:space="0" w:color="auto"/>
            <w:bottom w:val="none" w:sz="0" w:space="0" w:color="auto"/>
            <w:right w:val="none" w:sz="0" w:space="0" w:color="auto"/>
          </w:divBdr>
          <w:divsChild>
            <w:div w:id="1402211046">
              <w:marLeft w:val="0"/>
              <w:marRight w:val="0"/>
              <w:marTop w:val="0"/>
              <w:marBottom w:val="0"/>
              <w:divBdr>
                <w:top w:val="none" w:sz="0" w:space="0" w:color="auto"/>
                <w:left w:val="none" w:sz="0" w:space="0" w:color="auto"/>
                <w:bottom w:val="none" w:sz="0" w:space="0" w:color="auto"/>
                <w:right w:val="none" w:sz="0" w:space="0" w:color="auto"/>
              </w:divBdr>
            </w:div>
          </w:divsChild>
        </w:div>
        <w:div w:id="814300680">
          <w:marLeft w:val="0"/>
          <w:marRight w:val="0"/>
          <w:marTop w:val="0"/>
          <w:marBottom w:val="0"/>
          <w:divBdr>
            <w:top w:val="none" w:sz="0" w:space="0" w:color="auto"/>
            <w:left w:val="none" w:sz="0" w:space="0" w:color="auto"/>
            <w:bottom w:val="none" w:sz="0" w:space="0" w:color="auto"/>
            <w:right w:val="none" w:sz="0" w:space="0" w:color="auto"/>
          </w:divBdr>
          <w:divsChild>
            <w:div w:id="606816302">
              <w:marLeft w:val="0"/>
              <w:marRight w:val="0"/>
              <w:marTop w:val="0"/>
              <w:marBottom w:val="0"/>
              <w:divBdr>
                <w:top w:val="none" w:sz="0" w:space="0" w:color="auto"/>
                <w:left w:val="none" w:sz="0" w:space="0" w:color="auto"/>
                <w:bottom w:val="none" w:sz="0" w:space="0" w:color="auto"/>
                <w:right w:val="none" w:sz="0" w:space="0" w:color="auto"/>
              </w:divBdr>
            </w:div>
          </w:divsChild>
        </w:div>
        <w:div w:id="816991840">
          <w:marLeft w:val="0"/>
          <w:marRight w:val="0"/>
          <w:marTop w:val="0"/>
          <w:marBottom w:val="0"/>
          <w:divBdr>
            <w:top w:val="none" w:sz="0" w:space="0" w:color="auto"/>
            <w:left w:val="none" w:sz="0" w:space="0" w:color="auto"/>
            <w:bottom w:val="none" w:sz="0" w:space="0" w:color="auto"/>
            <w:right w:val="none" w:sz="0" w:space="0" w:color="auto"/>
          </w:divBdr>
          <w:divsChild>
            <w:div w:id="1728723306">
              <w:marLeft w:val="0"/>
              <w:marRight w:val="0"/>
              <w:marTop w:val="0"/>
              <w:marBottom w:val="0"/>
              <w:divBdr>
                <w:top w:val="none" w:sz="0" w:space="0" w:color="auto"/>
                <w:left w:val="none" w:sz="0" w:space="0" w:color="auto"/>
                <w:bottom w:val="none" w:sz="0" w:space="0" w:color="auto"/>
                <w:right w:val="none" w:sz="0" w:space="0" w:color="auto"/>
              </w:divBdr>
            </w:div>
          </w:divsChild>
        </w:div>
        <w:div w:id="825710264">
          <w:marLeft w:val="0"/>
          <w:marRight w:val="0"/>
          <w:marTop w:val="0"/>
          <w:marBottom w:val="0"/>
          <w:divBdr>
            <w:top w:val="none" w:sz="0" w:space="0" w:color="auto"/>
            <w:left w:val="none" w:sz="0" w:space="0" w:color="auto"/>
            <w:bottom w:val="none" w:sz="0" w:space="0" w:color="auto"/>
            <w:right w:val="none" w:sz="0" w:space="0" w:color="auto"/>
          </w:divBdr>
          <w:divsChild>
            <w:div w:id="1776434812">
              <w:marLeft w:val="0"/>
              <w:marRight w:val="0"/>
              <w:marTop w:val="0"/>
              <w:marBottom w:val="0"/>
              <w:divBdr>
                <w:top w:val="none" w:sz="0" w:space="0" w:color="auto"/>
                <w:left w:val="none" w:sz="0" w:space="0" w:color="auto"/>
                <w:bottom w:val="none" w:sz="0" w:space="0" w:color="auto"/>
                <w:right w:val="none" w:sz="0" w:space="0" w:color="auto"/>
              </w:divBdr>
            </w:div>
          </w:divsChild>
        </w:div>
        <w:div w:id="826432249">
          <w:marLeft w:val="0"/>
          <w:marRight w:val="0"/>
          <w:marTop w:val="0"/>
          <w:marBottom w:val="0"/>
          <w:divBdr>
            <w:top w:val="none" w:sz="0" w:space="0" w:color="auto"/>
            <w:left w:val="none" w:sz="0" w:space="0" w:color="auto"/>
            <w:bottom w:val="none" w:sz="0" w:space="0" w:color="auto"/>
            <w:right w:val="none" w:sz="0" w:space="0" w:color="auto"/>
          </w:divBdr>
          <w:divsChild>
            <w:div w:id="2129352635">
              <w:marLeft w:val="0"/>
              <w:marRight w:val="0"/>
              <w:marTop w:val="0"/>
              <w:marBottom w:val="0"/>
              <w:divBdr>
                <w:top w:val="none" w:sz="0" w:space="0" w:color="auto"/>
                <w:left w:val="none" w:sz="0" w:space="0" w:color="auto"/>
                <w:bottom w:val="none" w:sz="0" w:space="0" w:color="auto"/>
                <w:right w:val="none" w:sz="0" w:space="0" w:color="auto"/>
              </w:divBdr>
            </w:div>
          </w:divsChild>
        </w:div>
        <w:div w:id="847403612">
          <w:marLeft w:val="0"/>
          <w:marRight w:val="0"/>
          <w:marTop w:val="0"/>
          <w:marBottom w:val="0"/>
          <w:divBdr>
            <w:top w:val="none" w:sz="0" w:space="0" w:color="auto"/>
            <w:left w:val="none" w:sz="0" w:space="0" w:color="auto"/>
            <w:bottom w:val="none" w:sz="0" w:space="0" w:color="auto"/>
            <w:right w:val="none" w:sz="0" w:space="0" w:color="auto"/>
          </w:divBdr>
          <w:divsChild>
            <w:div w:id="1502810942">
              <w:marLeft w:val="0"/>
              <w:marRight w:val="0"/>
              <w:marTop w:val="0"/>
              <w:marBottom w:val="0"/>
              <w:divBdr>
                <w:top w:val="none" w:sz="0" w:space="0" w:color="auto"/>
                <w:left w:val="none" w:sz="0" w:space="0" w:color="auto"/>
                <w:bottom w:val="none" w:sz="0" w:space="0" w:color="auto"/>
                <w:right w:val="none" w:sz="0" w:space="0" w:color="auto"/>
              </w:divBdr>
            </w:div>
          </w:divsChild>
        </w:div>
        <w:div w:id="854197768">
          <w:marLeft w:val="0"/>
          <w:marRight w:val="0"/>
          <w:marTop w:val="0"/>
          <w:marBottom w:val="0"/>
          <w:divBdr>
            <w:top w:val="none" w:sz="0" w:space="0" w:color="auto"/>
            <w:left w:val="none" w:sz="0" w:space="0" w:color="auto"/>
            <w:bottom w:val="none" w:sz="0" w:space="0" w:color="auto"/>
            <w:right w:val="none" w:sz="0" w:space="0" w:color="auto"/>
          </w:divBdr>
          <w:divsChild>
            <w:div w:id="785194054">
              <w:marLeft w:val="0"/>
              <w:marRight w:val="0"/>
              <w:marTop w:val="0"/>
              <w:marBottom w:val="0"/>
              <w:divBdr>
                <w:top w:val="none" w:sz="0" w:space="0" w:color="auto"/>
                <w:left w:val="none" w:sz="0" w:space="0" w:color="auto"/>
                <w:bottom w:val="none" w:sz="0" w:space="0" w:color="auto"/>
                <w:right w:val="none" w:sz="0" w:space="0" w:color="auto"/>
              </w:divBdr>
            </w:div>
          </w:divsChild>
        </w:div>
        <w:div w:id="860052040">
          <w:marLeft w:val="0"/>
          <w:marRight w:val="0"/>
          <w:marTop w:val="0"/>
          <w:marBottom w:val="0"/>
          <w:divBdr>
            <w:top w:val="none" w:sz="0" w:space="0" w:color="auto"/>
            <w:left w:val="none" w:sz="0" w:space="0" w:color="auto"/>
            <w:bottom w:val="none" w:sz="0" w:space="0" w:color="auto"/>
            <w:right w:val="none" w:sz="0" w:space="0" w:color="auto"/>
          </w:divBdr>
          <w:divsChild>
            <w:div w:id="2014214127">
              <w:marLeft w:val="0"/>
              <w:marRight w:val="0"/>
              <w:marTop w:val="0"/>
              <w:marBottom w:val="0"/>
              <w:divBdr>
                <w:top w:val="none" w:sz="0" w:space="0" w:color="auto"/>
                <w:left w:val="none" w:sz="0" w:space="0" w:color="auto"/>
                <w:bottom w:val="none" w:sz="0" w:space="0" w:color="auto"/>
                <w:right w:val="none" w:sz="0" w:space="0" w:color="auto"/>
              </w:divBdr>
            </w:div>
          </w:divsChild>
        </w:div>
        <w:div w:id="860969345">
          <w:marLeft w:val="0"/>
          <w:marRight w:val="0"/>
          <w:marTop w:val="0"/>
          <w:marBottom w:val="0"/>
          <w:divBdr>
            <w:top w:val="none" w:sz="0" w:space="0" w:color="auto"/>
            <w:left w:val="none" w:sz="0" w:space="0" w:color="auto"/>
            <w:bottom w:val="none" w:sz="0" w:space="0" w:color="auto"/>
            <w:right w:val="none" w:sz="0" w:space="0" w:color="auto"/>
          </w:divBdr>
          <w:divsChild>
            <w:div w:id="1072045309">
              <w:marLeft w:val="0"/>
              <w:marRight w:val="0"/>
              <w:marTop w:val="0"/>
              <w:marBottom w:val="0"/>
              <w:divBdr>
                <w:top w:val="none" w:sz="0" w:space="0" w:color="auto"/>
                <w:left w:val="none" w:sz="0" w:space="0" w:color="auto"/>
                <w:bottom w:val="none" w:sz="0" w:space="0" w:color="auto"/>
                <w:right w:val="none" w:sz="0" w:space="0" w:color="auto"/>
              </w:divBdr>
            </w:div>
          </w:divsChild>
        </w:div>
        <w:div w:id="861747164">
          <w:marLeft w:val="0"/>
          <w:marRight w:val="0"/>
          <w:marTop w:val="0"/>
          <w:marBottom w:val="0"/>
          <w:divBdr>
            <w:top w:val="none" w:sz="0" w:space="0" w:color="auto"/>
            <w:left w:val="none" w:sz="0" w:space="0" w:color="auto"/>
            <w:bottom w:val="none" w:sz="0" w:space="0" w:color="auto"/>
            <w:right w:val="none" w:sz="0" w:space="0" w:color="auto"/>
          </w:divBdr>
          <w:divsChild>
            <w:div w:id="1944413866">
              <w:marLeft w:val="0"/>
              <w:marRight w:val="0"/>
              <w:marTop w:val="0"/>
              <w:marBottom w:val="0"/>
              <w:divBdr>
                <w:top w:val="none" w:sz="0" w:space="0" w:color="auto"/>
                <w:left w:val="none" w:sz="0" w:space="0" w:color="auto"/>
                <w:bottom w:val="none" w:sz="0" w:space="0" w:color="auto"/>
                <w:right w:val="none" w:sz="0" w:space="0" w:color="auto"/>
              </w:divBdr>
            </w:div>
          </w:divsChild>
        </w:div>
        <w:div w:id="866723176">
          <w:marLeft w:val="0"/>
          <w:marRight w:val="0"/>
          <w:marTop w:val="0"/>
          <w:marBottom w:val="0"/>
          <w:divBdr>
            <w:top w:val="none" w:sz="0" w:space="0" w:color="auto"/>
            <w:left w:val="none" w:sz="0" w:space="0" w:color="auto"/>
            <w:bottom w:val="none" w:sz="0" w:space="0" w:color="auto"/>
            <w:right w:val="none" w:sz="0" w:space="0" w:color="auto"/>
          </w:divBdr>
          <w:divsChild>
            <w:div w:id="685523340">
              <w:marLeft w:val="0"/>
              <w:marRight w:val="0"/>
              <w:marTop w:val="0"/>
              <w:marBottom w:val="0"/>
              <w:divBdr>
                <w:top w:val="none" w:sz="0" w:space="0" w:color="auto"/>
                <w:left w:val="none" w:sz="0" w:space="0" w:color="auto"/>
                <w:bottom w:val="none" w:sz="0" w:space="0" w:color="auto"/>
                <w:right w:val="none" w:sz="0" w:space="0" w:color="auto"/>
              </w:divBdr>
            </w:div>
          </w:divsChild>
        </w:div>
        <w:div w:id="877357469">
          <w:marLeft w:val="0"/>
          <w:marRight w:val="0"/>
          <w:marTop w:val="0"/>
          <w:marBottom w:val="0"/>
          <w:divBdr>
            <w:top w:val="none" w:sz="0" w:space="0" w:color="auto"/>
            <w:left w:val="none" w:sz="0" w:space="0" w:color="auto"/>
            <w:bottom w:val="none" w:sz="0" w:space="0" w:color="auto"/>
            <w:right w:val="none" w:sz="0" w:space="0" w:color="auto"/>
          </w:divBdr>
          <w:divsChild>
            <w:div w:id="486169334">
              <w:marLeft w:val="0"/>
              <w:marRight w:val="0"/>
              <w:marTop w:val="0"/>
              <w:marBottom w:val="0"/>
              <w:divBdr>
                <w:top w:val="none" w:sz="0" w:space="0" w:color="auto"/>
                <w:left w:val="none" w:sz="0" w:space="0" w:color="auto"/>
                <w:bottom w:val="none" w:sz="0" w:space="0" w:color="auto"/>
                <w:right w:val="none" w:sz="0" w:space="0" w:color="auto"/>
              </w:divBdr>
            </w:div>
          </w:divsChild>
        </w:div>
        <w:div w:id="879560915">
          <w:marLeft w:val="0"/>
          <w:marRight w:val="0"/>
          <w:marTop w:val="0"/>
          <w:marBottom w:val="0"/>
          <w:divBdr>
            <w:top w:val="none" w:sz="0" w:space="0" w:color="auto"/>
            <w:left w:val="none" w:sz="0" w:space="0" w:color="auto"/>
            <w:bottom w:val="none" w:sz="0" w:space="0" w:color="auto"/>
            <w:right w:val="none" w:sz="0" w:space="0" w:color="auto"/>
          </w:divBdr>
          <w:divsChild>
            <w:div w:id="939726007">
              <w:marLeft w:val="0"/>
              <w:marRight w:val="0"/>
              <w:marTop w:val="0"/>
              <w:marBottom w:val="0"/>
              <w:divBdr>
                <w:top w:val="none" w:sz="0" w:space="0" w:color="auto"/>
                <w:left w:val="none" w:sz="0" w:space="0" w:color="auto"/>
                <w:bottom w:val="none" w:sz="0" w:space="0" w:color="auto"/>
                <w:right w:val="none" w:sz="0" w:space="0" w:color="auto"/>
              </w:divBdr>
            </w:div>
          </w:divsChild>
        </w:div>
        <w:div w:id="881281684">
          <w:marLeft w:val="0"/>
          <w:marRight w:val="0"/>
          <w:marTop w:val="0"/>
          <w:marBottom w:val="0"/>
          <w:divBdr>
            <w:top w:val="none" w:sz="0" w:space="0" w:color="auto"/>
            <w:left w:val="none" w:sz="0" w:space="0" w:color="auto"/>
            <w:bottom w:val="none" w:sz="0" w:space="0" w:color="auto"/>
            <w:right w:val="none" w:sz="0" w:space="0" w:color="auto"/>
          </w:divBdr>
          <w:divsChild>
            <w:div w:id="144401036">
              <w:marLeft w:val="0"/>
              <w:marRight w:val="0"/>
              <w:marTop w:val="0"/>
              <w:marBottom w:val="0"/>
              <w:divBdr>
                <w:top w:val="none" w:sz="0" w:space="0" w:color="auto"/>
                <w:left w:val="none" w:sz="0" w:space="0" w:color="auto"/>
                <w:bottom w:val="none" w:sz="0" w:space="0" w:color="auto"/>
                <w:right w:val="none" w:sz="0" w:space="0" w:color="auto"/>
              </w:divBdr>
            </w:div>
          </w:divsChild>
        </w:div>
        <w:div w:id="882670237">
          <w:marLeft w:val="0"/>
          <w:marRight w:val="0"/>
          <w:marTop w:val="0"/>
          <w:marBottom w:val="0"/>
          <w:divBdr>
            <w:top w:val="none" w:sz="0" w:space="0" w:color="auto"/>
            <w:left w:val="none" w:sz="0" w:space="0" w:color="auto"/>
            <w:bottom w:val="none" w:sz="0" w:space="0" w:color="auto"/>
            <w:right w:val="none" w:sz="0" w:space="0" w:color="auto"/>
          </w:divBdr>
          <w:divsChild>
            <w:div w:id="579946959">
              <w:marLeft w:val="0"/>
              <w:marRight w:val="0"/>
              <w:marTop w:val="0"/>
              <w:marBottom w:val="0"/>
              <w:divBdr>
                <w:top w:val="none" w:sz="0" w:space="0" w:color="auto"/>
                <w:left w:val="none" w:sz="0" w:space="0" w:color="auto"/>
                <w:bottom w:val="none" w:sz="0" w:space="0" w:color="auto"/>
                <w:right w:val="none" w:sz="0" w:space="0" w:color="auto"/>
              </w:divBdr>
            </w:div>
          </w:divsChild>
        </w:div>
        <w:div w:id="883567207">
          <w:marLeft w:val="0"/>
          <w:marRight w:val="0"/>
          <w:marTop w:val="0"/>
          <w:marBottom w:val="0"/>
          <w:divBdr>
            <w:top w:val="none" w:sz="0" w:space="0" w:color="auto"/>
            <w:left w:val="none" w:sz="0" w:space="0" w:color="auto"/>
            <w:bottom w:val="none" w:sz="0" w:space="0" w:color="auto"/>
            <w:right w:val="none" w:sz="0" w:space="0" w:color="auto"/>
          </w:divBdr>
          <w:divsChild>
            <w:div w:id="634524468">
              <w:marLeft w:val="0"/>
              <w:marRight w:val="0"/>
              <w:marTop w:val="0"/>
              <w:marBottom w:val="0"/>
              <w:divBdr>
                <w:top w:val="none" w:sz="0" w:space="0" w:color="auto"/>
                <w:left w:val="none" w:sz="0" w:space="0" w:color="auto"/>
                <w:bottom w:val="none" w:sz="0" w:space="0" w:color="auto"/>
                <w:right w:val="none" w:sz="0" w:space="0" w:color="auto"/>
              </w:divBdr>
            </w:div>
          </w:divsChild>
        </w:div>
        <w:div w:id="885798268">
          <w:marLeft w:val="0"/>
          <w:marRight w:val="0"/>
          <w:marTop w:val="0"/>
          <w:marBottom w:val="0"/>
          <w:divBdr>
            <w:top w:val="none" w:sz="0" w:space="0" w:color="auto"/>
            <w:left w:val="none" w:sz="0" w:space="0" w:color="auto"/>
            <w:bottom w:val="none" w:sz="0" w:space="0" w:color="auto"/>
            <w:right w:val="none" w:sz="0" w:space="0" w:color="auto"/>
          </w:divBdr>
          <w:divsChild>
            <w:div w:id="1399589817">
              <w:marLeft w:val="0"/>
              <w:marRight w:val="0"/>
              <w:marTop w:val="0"/>
              <w:marBottom w:val="0"/>
              <w:divBdr>
                <w:top w:val="none" w:sz="0" w:space="0" w:color="auto"/>
                <w:left w:val="none" w:sz="0" w:space="0" w:color="auto"/>
                <w:bottom w:val="none" w:sz="0" w:space="0" w:color="auto"/>
                <w:right w:val="none" w:sz="0" w:space="0" w:color="auto"/>
              </w:divBdr>
            </w:div>
          </w:divsChild>
        </w:div>
        <w:div w:id="894392828">
          <w:marLeft w:val="0"/>
          <w:marRight w:val="0"/>
          <w:marTop w:val="0"/>
          <w:marBottom w:val="0"/>
          <w:divBdr>
            <w:top w:val="none" w:sz="0" w:space="0" w:color="auto"/>
            <w:left w:val="none" w:sz="0" w:space="0" w:color="auto"/>
            <w:bottom w:val="none" w:sz="0" w:space="0" w:color="auto"/>
            <w:right w:val="none" w:sz="0" w:space="0" w:color="auto"/>
          </w:divBdr>
          <w:divsChild>
            <w:div w:id="728499168">
              <w:marLeft w:val="0"/>
              <w:marRight w:val="0"/>
              <w:marTop w:val="0"/>
              <w:marBottom w:val="0"/>
              <w:divBdr>
                <w:top w:val="none" w:sz="0" w:space="0" w:color="auto"/>
                <w:left w:val="none" w:sz="0" w:space="0" w:color="auto"/>
                <w:bottom w:val="none" w:sz="0" w:space="0" w:color="auto"/>
                <w:right w:val="none" w:sz="0" w:space="0" w:color="auto"/>
              </w:divBdr>
            </w:div>
          </w:divsChild>
        </w:div>
        <w:div w:id="894967186">
          <w:marLeft w:val="0"/>
          <w:marRight w:val="0"/>
          <w:marTop w:val="0"/>
          <w:marBottom w:val="0"/>
          <w:divBdr>
            <w:top w:val="none" w:sz="0" w:space="0" w:color="auto"/>
            <w:left w:val="none" w:sz="0" w:space="0" w:color="auto"/>
            <w:bottom w:val="none" w:sz="0" w:space="0" w:color="auto"/>
            <w:right w:val="none" w:sz="0" w:space="0" w:color="auto"/>
          </w:divBdr>
          <w:divsChild>
            <w:div w:id="1173689981">
              <w:marLeft w:val="0"/>
              <w:marRight w:val="0"/>
              <w:marTop w:val="0"/>
              <w:marBottom w:val="0"/>
              <w:divBdr>
                <w:top w:val="none" w:sz="0" w:space="0" w:color="auto"/>
                <w:left w:val="none" w:sz="0" w:space="0" w:color="auto"/>
                <w:bottom w:val="none" w:sz="0" w:space="0" w:color="auto"/>
                <w:right w:val="none" w:sz="0" w:space="0" w:color="auto"/>
              </w:divBdr>
            </w:div>
          </w:divsChild>
        </w:div>
        <w:div w:id="896280713">
          <w:marLeft w:val="0"/>
          <w:marRight w:val="0"/>
          <w:marTop w:val="0"/>
          <w:marBottom w:val="0"/>
          <w:divBdr>
            <w:top w:val="none" w:sz="0" w:space="0" w:color="auto"/>
            <w:left w:val="none" w:sz="0" w:space="0" w:color="auto"/>
            <w:bottom w:val="none" w:sz="0" w:space="0" w:color="auto"/>
            <w:right w:val="none" w:sz="0" w:space="0" w:color="auto"/>
          </w:divBdr>
          <w:divsChild>
            <w:div w:id="1244798279">
              <w:marLeft w:val="0"/>
              <w:marRight w:val="0"/>
              <w:marTop w:val="0"/>
              <w:marBottom w:val="0"/>
              <w:divBdr>
                <w:top w:val="none" w:sz="0" w:space="0" w:color="auto"/>
                <w:left w:val="none" w:sz="0" w:space="0" w:color="auto"/>
                <w:bottom w:val="none" w:sz="0" w:space="0" w:color="auto"/>
                <w:right w:val="none" w:sz="0" w:space="0" w:color="auto"/>
              </w:divBdr>
            </w:div>
          </w:divsChild>
        </w:div>
        <w:div w:id="902258220">
          <w:marLeft w:val="0"/>
          <w:marRight w:val="0"/>
          <w:marTop w:val="0"/>
          <w:marBottom w:val="0"/>
          <w:divBdr>
            <w:top w:val="none" w:sz="0" w:space="0" w:color="auto"/>
            <w:left w:val="none" w:sz="0" w:space="0" w:color="auto"/>
            <w:bottom w:val="none" w:sz="0" w:space="0" w:color="auto"/>
            <w:right w:val="none" w:sz="0" w:space="0" w:color="auto"/>
          </w:divBdr>
          <w:divsChild>
            <w:div w:id="1298947410">
              <w:marLeft w:val="0"/>
              <w:marRight w:val="0"/>
              <w:marTop w:val="0"/>
              <w:marBottom w:val="0"/>
              <w:divBdr>
                <w:top w:val="none" w:sz="0" w:space="0" w:color="auto"/>
                <w:left w:val="none" w:sz="0" w:space="0" w:color="auto"/>
                <w:bottom w:val="none" w:sz="0" w:space="0" w:color="auto"/>
                <w:right w:val="none" w:sz="0" w:space="0" w:color="auto"/>
              </w:divBdr>
            </w:div>
          </w:divsChild>
        </w:div>
        <w:div w:id="903445955">
          <w:marLeft w:val="0"/>
          <w:marRight w:val="0"/>
          <w:marTop w:val="0"/>
          <w:marBottom w:val="0"/>
          <w:divBdr>
            <w:top w:val="none" w:sz="0" w:space="0" w:color="auto"/>
            <w:left w:val="none" w:sz="0" w:space="0" w:color="auto"/>
            <w:bottom w:val="none" w:sz="0" w:space="0" w:color="auto"/>
            <w:right w:val="none" w:sz="0" w:space="0" w:color="auto"/>
          </w:divBdr>
          <w:divsChild>
            <w:div w:id="17120338">
              <w:marLeft w:val="0"/>
              <w:marRight w:val="0"/>
              <w:marTop w:val="0"/>
              <w:marBottom w:val="0"/>
              <w:divBdr>
                <w:top w:val="none" w:sz="0" w:space="0" w:color="auto"/>
                <w:left w:val="none" w:sz="0" w:space="0" w:color="auto"/>
                <w:bottom w:val="none" w:sz="0" w:space="0" w:color="auto"/>
                <w:right w:val="none" w:sz="0" w:space="0" w:color="auto"/>
              </w:divBdr>
            </w:div>
          </w:divsChild>
        </w:div>
        <w:div w:id="904535961">
          <w:marLeft w:val="0"/>
          <w:marRight w:val="0"/>
          <w:marTop w:val="0"/>
          <w:marBottom w:val="0"/>
          <w:divBdr>
            <w:top w:val="none" w:sz="0" w:space="0" w:color="auto"/>
            <w:left w:val="none" w:sz="0" w:space="0" w:color="auto"/>
            <w:bottom w:val="none" w:sz="0" w:space="0" w:color="auto"/>
            <w:right w:val="none" w:sz="0" w:space="0" w:color="auto"/>
          </w:divBdr>
          <w:divsChild>
            <w:div w:id="1688559827">
              <w:marLeft w:val="0"/>
              <w:marRight w:val="0"/>
              <w:marTop w:val="0"/>
              <w:marBottom w:val="0"/>
              <w:divBdr>
                <w:top w:val="none" w:sz="0" w:space="0" w:color="auto"/>
                <w:left w:val="none" w:sz="0" w:space="0" w:color="auto"/>
                <w:bottom w:val="none" w:sz="0" w:space="0" w:color="auto"/>
                <w:right w:val="none" w:sz="0" w:space="0" w:color="auto"/>
              </w:divBdr>
            </w:div>
          </w:divsChild>
        </w:div>
        <w:div w:id="907571555">
          <w:marLeft w:val="0"/>
          <w:marRight w:val="0"/>
          <w:marTop w:val="0"/>
          <w:marBottom w:val="0"/>
          <w:divBdr>
            <w:top w:val="none" w:sz="0" w:space="0" w:color="auto"/>
            <w:left w:val="none" w:sz="0" w:space="0" w:color="auto"/>
            <w:bottom w:val="none" w:sz="0" w:space="0" w:color="auto"/>
            <w:right w:val="none" w:sz="0" w:space="0" w:color="auto"/>
          </w:divBdr>
          <w:divsChild>
            <w:div w:id="1087465053">
              <w:marLeft w:val="0"/>
              <w:marRight w:val="0"/>
              <w:marTop w:val="0"/>
              <w:marBottom w:val="0"/>
              <w:divBdr>
                <w:top w:val="none" w:sz="0" w:space="0" w:color="auto"/>
                <w:left w:val="none" w:sz="0" w:space="0" w:color="auto"/>
                <w:bottom w:val="none" w:sz="0" w:space="0" w:color="auto"/>
                <w:right w:val="none" w:sz="0" w:space="0" w:color="auto"/>
              </w:divBdr>
            </w:div>
          </w:divsChild>
        </w:div>
        <w:div w:id="915938746">
          <w:marLeft w:val="0"/>
          <w:marRight w:val="0"/>
          <w:marTop w:val="0"/>
          <w:marBottom w:val="0"/>
          <w:divBdr>
            <w:top w:val="none" w:sz="0" w:space="0" w:color="auto"/>
            <w:left w:val="none" w:sz="0" w:space="0" w:color="auto"/>
            <w:bottom w:val="none" w:sz="0" w:space="0" w:color="auto"/>
            <w:right w:val="none" w:sz="0" w:space="0" w:color="auto"/>
          </w:divBdr>
          <w:divsChild>
            <w:div w:id="2034839166">
              <w:marLeft w:val="0"/>
              <w:marRight w:val="0"/>
              <w:marTop w:val="0"/>
              <w:marBottom w:val="0"/>
              <w:divBdr>
                <w:top w:val="none" w:sz="0" w:space="0" w:color="auto"/>
                <w:left w:val="none" w:sz="0" w:space="0" w:color="auto"/>
                <w:bottom w:val="none" w:sz="0" w:space="0" w:color="auto"/>
                <w:right w:val="none" w:sz="0" w:space="0" w:color="auto"/>
              </w:divBdr>
            </w:div>
          </w:divsChild>
        </w:div>
        <w:div w:id="917442964">
          <w:marLeft w:val="0"/>
          <w:marRight w:val="0"/>
          <w:marTop w:val="0"/>
          <w:marBottom w:val="0"/>
          <w:divBdr>
            <w:top w:val="none" w:sz="0" w:space="0" w:color="auto"/>
            <w:left w:val="none" w:sz="0" w:space="0" w:color="auto"/>
            <w:bottom w:val="none" w:sz="0" w:space="0" w:color="auto"/>
            <w:right w:val="none" w:sz="0" w:space="0" w:color="auto"/>
          </w:divBdr>
          <w:divsChild>
            <w:div w:id="485821542">
              <w:marLeft w:val="0"/>
              <w:marRight w:val="0"/>
              <w:marTop w:val="0"/>
              <w:marBottom w:val="0"/>
              <w:divBdr>
                <w:top w:val="none" w:sz="0" w:space="0" w:color="auto"/>
                <w:left w:val="none" w:sz="0" w:space="0" w:color="auto"/>
                <w:bottom w:val="none" w:sz="0" w:space="0" w:color="auto"/>
                <w:right w:val="none" w:sz="0" w:space="0" w:color="auto"/>
              </w:divBdr>
            </w:div>
          </w:divsChild>
        </w:div>
        <w:div w:id="923614006">
          <w:marLeft w:val="0"/>
          <w:marRight w:val="0"/>
          <w:marTop w:val="0"/>
          <w:marBottom w:val="0"/>
          <w:divBdr>
            <w:top w:val="none" w:sz="0" w:space="0" w:color="auto"/>
            <w:left w:val="none" w:sz="0" w:space="0" w:color="auto"/>
            <w:bottom w:val="none" w:sz="0" w:space="0" w:color="auto"/>
            <w:right w:val="none" w:sz="0" w:space="0" w:color="auto"/>
          </w:divBdr>
          <w:divsChild>
            <w:div w:id="888108845">
              <w:marLeft w:val="0"/>
              <w:marRight w:val="0"/>
              <w:marTop w:val="0"/>
              <w:marBottom w:val="0"/>
              <w:divBdr>
                <w:top w:val="none" w:sz="0" w:space="0" w:color="auto"/>
                <w:left w:val="none" w:sz="0" w:space="0" w:color="auto"/>
                <w:bottom w:val="none" w:sz="0" w:space="0" w:color="auto"/>
                <w:right w:val="none" w:sz="0" w:space="0" w:color="auto"/>
              </w:divBdr>
            </w:div>
          </w:divsChild>
        </w:div>
        <w:div w:id="928001930">
          <w:marLeft w:val="0"/>
          <w:marRight w:val="0"/>
          <w:marTop w:val="0"/>
          <w:marBottom w:val="0"/>
          <w:divBdr>
            <w:top w:val="none" w:sz="0" w:space="0" w:color="auto"/>
            <w:left w:val="none" w:sz="0" w:space="0" w:color="auto"/>
            <w:bottom w:val="none" w:sz="0" w:space="0" w:color="auto"/>
            <w:right w:val="none" w:sz="0" w:space="0" w:color="auto"/>
          </w:divBdr>
          <w:divsChild>
            <w:div w:id="1383017563">
              <w:marLeft w:val="0"/>
              <w:marRight w:val="0"/>
              <w:marTop w:val="0"/>
              <w:marBottom w:val="0"/>
              <w:divBdr>
                <w:top w:val="none" w:sz="0" w:space="0" w:color="auto"/>
                <w:left w:val="none" w:sz="0" w:space="0" w:color="auto"/>
                <w:bottom w:val="none" w:sz="0" w:space="0" w:color="auto"/>
                <w:right w:val="none" w:sz="0" w:space="0" w:color="auto"/>
              </w:divBdr>
            </w:div>
          </w:divsChild>
        </w:div>
        <w:div w:id="933973151">
          <w:marLeft w:val="0"/>
          <w:marRight w:val="0"/>
          <w:marTop w:val="0"/>
          <w:marBottom w:val="0"/>
          <w:divBdr>
            <w:top w:val="none" w:sz="0" w:space="0" w:color="auto"/>
            <w:left w:val="none" w:sz="0" w:space="0" w:color="auto"/>
            <w:bottom w:val="none" w:sz="0" w:space="0" w:color="auto"/>
            <w:right w:val="none" w:sz="0" w:space="0" w:color="auto"/>
          </w:divBdr>
          <w:divsChild>
            <w:div w:id="1637757970">
              <w:marLeft w:val="0"/>
              <w:marRight w:val="0"/>
              <w:marTop w:val="0"/>
              <w:marBottom w:val="0"/>
              <w:divBdr>
                <w:top w:val="none" w:sz="0" w:space="0" w:color="auto"/>
                <w:left w:val="none" w:sz="0" w:space="0" w:color="auto"/>
                <w:bottom w:val="none" w:sz="0" w:space="0" w:color="auto"/>
                <w:right w:val="none" w:sz="0" w:space="0" w:color="auto"/>
              </w:divBdr>
            </w:div>
          </w:divsChild>
        </w:div>
        <w:div w:id="936013484">
          <w:marLeft w:val="0"/>
          <w:marRight w:val="0"/>
          <w:marTop w:val="0"/>
          <w:marBottom w:val="0"/>
          <w:divBdr>
            <w:top w:val="none" w:sz="0" w:space="0" w:color="auto"/>
            <w:left w:val="none" w:sz="0" w:space="0" w:color="auto"/>
            <w:bottom w:val="none" w:sz="0" w:space="0" w:color="auto"/>
            <w:right w:val="none" w:sz="0" w:space="0" w:color="auto"/>
          </w:divBdr>
          <w:divsChild>
            <w:div w:id="1138573161">
              <w:marLeft w:val="0"/>
              <w:marRight w:val="0"/>
              <w:marTop w:val="0"/>
              <w:marBottom w:val="0"/>
              <w:divBdr>
                <w:top w:val="none" w:sz="0" w:space="0" w:color="auto"/>
                <w:left w:val="none" w:sz="0" w:space="0" w:color="auto"/>
                <w:bottom w:val="none" w:sz="0" w:space="0" w:color="auto"/>
                <w:right w:val="none" w:sz="0" w:space="0" w:color="auto"/>
              </w:divBdr>
            </w:div>
          </w:divsChild>
        </w:div>
        <w:div w:id="939678297">
          <w:marLeft w:val="0"/>
          <w:marRight w:val="0"/>
          <w:marTop w:val="0"/>
          <w:marBottom w:val="0"/>
          <w:divBdr>
            <w:top w:val="none" w:sz="0" w:space="0" w:color="auto"/>
            <w:left w:val="none" w:sz="0" w:space="0" w:color="auto"/>
            <w:bottom w:val="none" w:sz="0" w:space="0" w:color="auto"/>
            <w:right w:val="none" w:sz="0" w:space="0" w:color="auto"/>
          </w:divBdr>
          <w:divsChild>
            <w:div w:id="1687561877">
              <w:marLeft w:val="0"/>
              <w:marRight w:val="0"/>
              <w:marTop w:val="0"/>
              <w:marBottom w:val="0"/>
              <w:divBdr>
                <w:top w:val="none" w:sz="0" w:space="0" w:color="auto"/>
                <w:left w:val="none" w:sz="0" w:space="0" w:color="auto"/>
                <w:bottom w:val="none" w:sz="0" w:space="0" w:color="auto"/>
                <w:right w:val="none" w:sz="0" w:space="0" w:color="auto"/>
              </w:divBdr>
            </w:div>
          </w:divsChild>
        </w:div>
        <w:div w:id="946734986">
          <w:marLeft w:val="0"/>
          <w:marRight w:val="0"/>
          <w:marTop w:val="0"/>
          <w:marBottom w:val="0"/>
          <w:divBdr>
            <w:top w:val="none" w:sz="0" w:space="0" w:color="auto"/>
            <w:left w:val="none" w:sz="0" w:space="0" w:color="auto"/>
            <w:bottom w:val="none" w:sz="0" w:space="0" w:color="auto"/>
            <w:right w:val="none" w:sz="0" w:space="0" w:color="auto"/>
          </w:divBdr>
          <w:divsChild>
            <w:div w:id="1975330463">
              <w:marLeft w:val="0"/>
              <w:marRight w:val="0"/>
              <w:marTop w:val="0"/>
              <w:marBottom w:val="0"/>
              <w:divBdr>
                <w:top w:val="none" w:sz="0" w:space="0" w:color="auto"/>
                <w:left w:val="none" w:sz="0" w:space="0" w:color="auto"/>
                <w:bottom w:val="none" w:sz="0" w:space="0" w:color="auto"/>
                <w:right w:val="none" w:sz="0" w:space="0" w:color="auto"/>
              </w:divBdr>
            </w:div>
          </w:divsChild>
        </w:div>
        <w:div w:id="950237096">
          <w:marLeft w:val="0"/>
          <w:marRight w:val="0"/>
          <w:marTop w:val="0"/>
          <w:marBottom w:val="0"/>
          <w:divBdr>
            <w:top w:val="none" w:sz="0" w:space="0" w:color="auto"/>
            <w:left w:val="none" w:sz="0" w:space="0" w:color="auto"/>
            <w:bottom w:val="none" w:sz="0" w:space="0" w:color="auto"/>
            <w:right w:val="none" w:sz="0" w:space="0" w:color="auto"/>
          </w:divBdr>
          <w:divsChild>
            <w:div w:id="358313323">
              <w:marLeft w:val="0"/>
              <w:marRight w:val="0"/>
              <w:marTop w:val="0"/>
              <w:marBottom w:val="0"/>
              <w:divBdr>
                <w:top w:val="none" w:sz="0" w:space="0" w:color="auto"/>
                <w:left w:val="none" w:sz="0" w:space="0" w:color="auto"/>
                <w:bottom w:val="none" w:sz="0" w:space="0" w:color="auto"/>
                <w:right w:val="none" w:sz="0" w:space="0" w:color="auto"/>
              </w:divBdr>
            </w:div>
          </w:divsChild>
        </w:div>
        <w:div w:id="958339368">
          <w:marLeft w:val="0"/>
          <w:marRight w:val="0"/>
          <w:marTop w:val="0"/>
          <w:marBottom w:val="0"/>
          <w:divBdr>
            <w:top w:val="none" w:sz="0" w:space="0" w:color="auto"/>
            <w:left w:val="none" w:sz="0" w:space="0" w:color="auto"/>
            <w:bottom w:val="none" w:sz="0" w:space="0" w:color="auto"/>
            <w:right w:val="none" w:sz="0" w:space="0" w:color="auto"/>
          </w:divBdr>
          <w:divsChild>
            <w:div w:id="1540627950">
              <w:marLeft w:val="0"/>
              <w:marRight w:val="0"/>
              <w:marTop w:val="0"/>
              <w:marBottom w:val="0"/>
              <w:divBdr>
                <w:top w:val="none" w:sz="0" w:space="0" w:color="auto"/>
                <w:left w:val="none" w:sz="0" w:space="0" w:color="auto"/>
                <w:bottom w:val="none" w:sz="0" w:space="0" w:color="auto"/>
                <w:right w:val="none" w:sz="0" w:space="0" w:color="auto"/>
              </w:divBdr>
            </w:div>
          </w:divsChild>
        </w:div>
        <w:div w:id="960190245">
          <w:marLeft w:val="0"/>
          <w:marRight w:val="0"/>
          <w:marTop w:val="0"/>
          <w:marBottom w:val="0"/>
          <w:divBdr>
            <w:top w:val="none" w:sz="0" w:space="0" w:color="auto"/>
            <w:left w:val="none" w:sz="0" w:space="0" w:color="auto"/>
            <w:bottom w:val="none" w:sz="0" w:space="0" w:color="auto"/>
            <w:right w:val="none" w:sz="0" w:space="0" w:color="auto"/>
          </w:divBdr>
          <w:divsChild>
            <w:div w:id="1166700633">
              <w:marLeft w:val="0"/>
              <w:marRight w:val="0"/>
              <w:marTop w:val="0"/>
              <w:marBottom w:val="0"/>
              <w:divBdr>
                <w:top w:val="none" w:sz="0" w:space="0" w:color="auto"/>
                <w:left w:val="none" w:sz="0" w:space="0" w:color="auto"/>
                <w:bottom w:val="none" w:sz="0" w:space="0" w:color="auto"/>
                <w:right w:val="none" w:sz="0" w:space="0" w:color="auto"/>
              </w:divBdr>
            </w:div>
          </w:divsChild>
        </w:div>
        <w:div w:id="962034161">
          <w:marLeft w:val="0"/>
          <w:marRight w:val="0"/>
          <w:marTop w:val="0"/>
          <w:marBottom w:val="0"/>
          <w:divBdr>
            <w:top w:val="none" w:sz="0" w:space="0" w:color="auto"/>
            <w:left w:val="none" w:sz="0" w:space="0" w:color="auto"/>
            <w:bottom w:val="none" w:sz="0" w:space="0" w:color="auto"/>
            <w:right w:val="none" w:sz="0" w:space="0" w:color="auto"/>
          </w:divBdr>
          <w:divsChild>
            <w:div w:id="2121218617">
              <w:marLeft w:val="0"/>
              <w:marRight w:val="0"/>
              <w:marTop w:val="0"/>
              <w:marBottom w:val="0"/>
              <w:divBdr>
                <w:top w:val="none" w:sz="0" w:space="0" w:color="auto"/>
                <w:left w:val="none" w:sz="0" w:space="0" w:color="auto"/>
                <w:bottom w:val="none" w:sz="0" w:space="0" w:color="auto"/>
                <w:right w:val="none" w:sz="0" w:space="0" w:color="auto"/>
              </w:divBdr>
            </w:div>
          </w:divsChild>
        </w:div>
        <w:div w:id="984312600">
          <w:marLeft w:val="0"/>
          <w:marRight w:val="0"/>
          <w:marTop w:val="0"/>
          <w:marBottom w:val="0"/>
          <w:divBdr>
            <w:top w:val="none" w:sz="0" w:space="0" w:color="auto"/>
            <w:left w:val="none" w:sz="0" w:space="0" w:color="auto"/>
            <w:bottom w:val="none" w:sz="0" w:space="0" w:color="auto"/>
            <w:right w:val="none" w:sz="0" w:space="0" w:color="auto"/>
          </w:divBdr>
          <w:divsChild>
            <w:div w:id="1515802080">
              <w:marLeft w:val="0"/>
              <w:marRight w:val="0"/>
              <w:marTop w:val="0"/>
              <w:marBottom w:val="0"/>
              <w:divBdr>
                <w:top w:val="none" w:sz="0" w:space="0" w:color="auto"/>
                <w:left w:val="none" w:sz="0" w:space="0" w:color="auto"/>
                <w:bottom w:val="none" w:sz="0" w:space="0" w:color="auto"/>
                <w:right w:val="none" w:sz="0" w:space="0" w:color="auto"/>
              </w:divBdr>
            </w:div>
          </w:divsChild>
        </w:div>
        <w:div w:id="986399456">
          <w:marLeft w:val="0"/>
          <w:marRight w:val="0"/>
          <w:marTop w:val="0"/>
          <w:marBottom w:val="0"/>
          <w:divBdr>
            <w:top w:val="none" w:sz="0" w:space="0" w:color="auto"/>
            <w:left w:val="none" w:sz="0" w:space="0" w:color="auto"/>
            <w:bottom w:val="none" w:sz="0" w:space="0" w:color="auto"/>
            <w:right w:val="none" w:sz="0" w:space="0" w:color="auto"/>
          </w:divBdr>
          <w:divsChild>
            <w:div w:id="158692178">
              <w:marLeft w:val="0"/>
              <w:marRight w:val="0"/>
              <w:marTop w:val="0"/>
              <w:marBottom w:val="0"/>
              <w:divBdr>
                <w:top w:val="none" w:sz="0" w:space="0" w:color="auto"/>
                <w:left w:val="none" w:sz="0" w:space="0" w:color="auto"/>
                <w:bottom w:val="none" w:sz="0" w:space="0" w:color="auto"/>
                <w:right w:val="none" w:sz="0" w:space="0" w:color="auto"/>
              </w:divBdr>
            </w:div>
          </w:divsChild>
        </w:div>
        <w:div w:id="997465086">
          <w:marLeft w:val="0"/>
          <w:marRight w:val="0"/>
          <w:marTop w:val="0"/>
          <w:marBottom w:val="0"/>
          <w:divBdr>
            <w:top w:val="none" w:sz="0" w:space="0" w:color="auto"/>
            <w:left w:val="none" w:sz="0" w:space="0" w:color="auto"/>
            <w:bottom w:val="none" w:sz="0" w:space="0" w:color="auto"/>
            <w:right w:val="none" w:sz="0" w:space="0" w:color="auto"/>
          </w:divBdr>
          <w:divsChild>
            <w:div w:id="245114377">
              <w:marLeft w:val="0"/>
              <w:marRight w:val="0"/>
              <w:marTop w:val="0"/>
              <w:marBottom w:val="0"/>
              <w:divBdr>
                <w:top w:val="none" w:sz="0" w:space="0" w:color="auto"/>
                <w:left w:val="none" w:sz="0" w:space="0" w:color="auto"/>
                <w:bottom w:val="none" w:sz="0" w:space="0" w:color="auto"/>
                <w:right w:val="none" w:sz="0" w:space="0" w:color="auto"/>
              </w:divBdr>
            </w:div>
          </w:divsChild>
        </w:div>
        <w:div w:id="1005403956">
          <w:marLeft w:val="0"/>
          <w:marRight w:val="0"/>
          <w:marTop w:val="0"/>
          <w:marBottom w:val="0"/>
          <w:divBdr>
            <w:top w:val="none" w:sz="0" w:space="0" w:color="auto"/>
            <w:left w:val="none" w:sz="0" w:space="0" w:color="auto"/>
            <w:bottom w:val="none" w:sz="0" w:space="0" w:color="auto"/>
            <w:right w:val="none" w:sz="0" w:space="0" w:color="auto"/>
          </w:divBdr>
          <w:divsChild>
            <w:div w:id="1683631352">
              <w:marLeft w:val="0"/>
              <w:marRight w:val="0"/>
              <w:marTop w:val="0"/>
              <w:marBottom w:val="0"/>
              <w:divBdr>
                <w:top w:val="none" w:sz="0" w:space="0" w:color="auto"/>
                <w:left w:val="none" w:sz="0" w:space="0" w:color="auto"/>
                <w:bottom w:val="none" w:sz="0" w:space="0" w:color="auto"/>
                <w:right w:val="none" w:sz="0" w:space="0" w:color="auto"/>
              </w:divBdr>
            </w:div>
          </w:divsChild>
        </w:div>
        <w:div w:id="1009874182">
          <w:marLeft w:val="0"/>
          <w:marRight w:val="0"/>
          <w:marTop w:val="0"/>
          <w:marBottom w:val="0"/>
          <w:divBdr>
            <w:top w:val="none" w:sz="0" w:space="0" w:color="auto"/>
            <w:left w:val="none" w:sz="0" w:space="0" w:color="auto"/>
            <w:bottom w:val="none" w:sz="0" w:space="0" w:color="auto"/>
            <w:right w:val="none" w:sz="0" w:space="0" w:color="auto"/>
          </w:divBdr>
          <w:divsChild>
            <w:div w:id="1822698260">
              <w:marLeft w:val="0"/>
              <w:marRight w:val="0"/>
              <w:marTop w:val="0"/>
              <w:marBottom w:val="0"/>
              <w:divBdr>
                <w:top w:val="none" w:sz="0" w:space="0" w:color="auto"/>
                <w:left w:val="none" w:sz="0" w:space="0" w:color="auto"/>
                <w:bottom w:val="none" w:sz="0" w:space="0" w:color="auto"/>
                <w:right w:val="none" w:sz="0" w:space="0" w:color="auto"/>
              </w:divBdr>
            </w:div>
          </w:divsChild>
        </w:div>
        <w:div w:id="1012292783">
          <w:marLeft w:val="0"/>
          <w:marRight w:val="0"/>
          <w:marTop w:val="0"/>
          <w:marBottom w:val="0"/>
          <w:divBdr>
            <w:top w:val="none" w:sz="0" w:space="0" w:color="auto"/>
            <w:left w:val="none" w:sz="0" w:space="0" w:color="auto"/>
            <w:bottom w:val="none" w:sz="0" w:space="0" w:color="auto"/>
            <w:right w:val="none" w:sz="0" w:space="0" w:color="auto"/>
          </w:divBdr>
          <w:divsChild>
            <w:div w:id="158236215">
              <w:marLeft w:val="0"/>
              <w:marRight w:val="0"/>
              <w:marTop w:val="0"/>
              <w:marBottom w:val="0"/>
              <w:divBdr>
                <w:top w:val="none" w:sz="0" w:space="0" w:color="auto"/>
                <w:left w:val="none" w:sz="0" w:space="0" w:color="auto"/>
                <w:bottom w:val="none" w:sz="0" w:space="0" w:color="auto"/>
                <w:right w:val="none" w:sz="0" w:space="0" w:color="auto"/>
              </w:divBdr>
            </w:div>
          </w:divsChild>
        </w:div>
        <w:div w:id="1023555862">
          <w:marLeft w:val="0"/>
          <w:marRight w:val="0"/>
          <w:marTop w:val="0"/>
          <w:marBottom w:val="0"/>
          <w:divBdr>
            <w:top w:val="none" w:sz="0" w:space="0" w:color="auto"/>
            <w:left w:val="none" w:sz="0" w:space="0" w:color="auto"/>
            <w:bottom w:val="none" w:sz="0" w:space="0" w:color="auto"/>
            <w:right w:val="none" w:sz="0" w:space="0" w:color="auto"/>
          </w:divBdr>
          <w:divsChild>
            <w:div w:id="59406419">
              <w:marLeft w:val="0"/>
              <w:marRight w:val="0"/>
              <w:marTop w:val="0"/>
              <w:marBottom w:val="0"/>
              <w:divBdr>
                <w:top w:val="none" w:sz="0" w:space="0" w:color="auto"/>
                <w:left w:val="none" w:sz="0" w:space="0" w:color="auto"/>
                <w:bottom w:val="none" w:sz="0" w:space="0" w:color="auto"/>
                <w:right w:val="none" w:sz="0" w:space="0" w:color="auto"/>
              </w:divBdr>
            </w:div>
          </w:divsChild>
        </w:div>
        <w:div w:id="1024983334">
          <w:marLeft w:val="0"/>
          <w:marRight w:val="0"/>
          <w:marTop w:val="0"/>
          <w:marBottom w:val="0"/>
          <w:divBdr>
            <w:top w:val="none" w:sz="0" w:space="0" w:color="auto"/>
            <w:left w:val="none" w:sz="0" w:space="0" w:color="auto"/>
            <w:bottom w:val="none" w:sz="0" w:space="0" w:color="auto"/>
            <w:right w:val="none" w:sz="0" w:space="0" w:color="auto"/>
          </w:divBdr>
          <w:divsChild>
            <w:div w:id="758404133">
              <w:marLeft w:val="0"/>
              <w:marRight w:val="0"/>
              <w:marTop w:val="0"/>
              <w:marBottom w:val="0"/>
              <w:divBdr>
                <w:top w:val="none" w:sz="0" w:space="0" w:color="auto"/>
                <w:left w:val="none" w:sz="0" w:space="0" w:color="auto"/>
                <w:bottom w:val="none" w:sz="0" w:space="0" w:color="auto"/>
                <w:right w:val="none" w:sz="0" w:space="0" w:color="auto"/>
              </w:divBdr>
            </w:div>
          </w:divsChild>
        </w:div>
        <w:div w:id="1033070844">
          <w:marLeft w:val="0"/>
          <w:marRight w:val="0"/>
          <w:marTop w:val="0"/>
          <w:marBottom w:val="0"/>
          <w:divBdr>
            <w:top w:val="none" w:sz="0" w:space="0" w:color="auto"/>
            <w:left w:val="none" w:sz="0" w:space="0" w:color="auto"/>
            <w:bottom w:val="none" w:sz="0" w:space="0" w:color="auto"/>
            <w:right w:val="none" w:sz="0" w:space="0" w:color="auto"/>
          </w:divBdr>
          <w:divsChild>
            <w:div w:id="564535430">
              <w:marLeft w:val="0"/>
              <w:marRight w:val="0"/>
              <w:marTop w:val="0"/>
              <w:marBottom w:val="0"/>
              <w:divBdr>
                <w:top w:val="none" w:sz="0" w:space="0" w:color="auto"/>
                <w:left w:val="none" w:sz="0" w:space="0" w:color="auto"/>
                <w:bottom w:val="none" w:sz="0" w:space="0" w:color="auto"/>
                <w:right w:val="none" w:sz="0" w:space="0" w:color="auto"/>
              </w:divBdr>
            </w:div>
          </w:divsChild>
        </w:div>
        <w:div w:id="1034886051">
          <w:marLeft w:val="0"/>
          <w:marRight w:val="0"/>
          <w:marTop w:val="0"/>
          <w:marBottom w:val="0"/>
          <w:divBdr>
            <w:top w:val="none" w:sz="0" w:space="0" w:color="auto"/>
            <w:left w:val="none" w:sz="0" w:space="0" w:color="auto"/>
            <w:bottom w:val="none" w:sz="0" w:space="0" w:color="auto"/>
            <w:right w:val="none" w:sz="0" w:space="0" w:color="auto"/>
          </w:divBdr>
          <w:divsChild>
            <w:div w:id="1083604399">
              <w:marLeft w:val="0"/>
              <w:marRight w:val="0"/>
              <w:marTop w:val="0"/>
              <w:marBottom w:val="0"/>
              <w:divBdr>
                <w:top w:val="none" w:sz="0" w:space="0" w:color="auto"/>
                <w:left w:val="none" w:sz="0" w:space="0" w:color="auto"/>
                <w:bottom w:val="none" w:sz="0" w:space="0" w:color="auto"/>
                <w:right w:val="none" w:sz="0" w:space="0" w:color="auto"/>
              </w:divBdr>
            </w:div>
          </w:divsChild>
        </w:div>
        <w:div w:id="1039940673">
          <w:marLeft w:val="0"/>
          <w:marRight w:val="0"/>
          <w:marTop w:val="0"/>
          <w:marBottom w:val="0"/>
          <w:divBdr>
            <w:top w:val="none" w:sz="0" w:space="0" w:color="auto"/>
            <w:left w:val="none" w:sz="0" w:space="0" w:color="auto"/>
            <w:bottom w:val="none" w:sz="0" w:space="0" w:color="auto"/>
            <w:right w:val="none" w:sz="0" w:space="0" w:color="auto"/>
          </w:divBdr>
          <w:divsChild>
            <w:div w:id="1481382859">
              <w:marLeft w:val="0"/>
              <w:marRight w:val="0"/>
              <w:marTop w:val="0"/>
              <w:marBottom w:val="0"/>
              <w:divBdr>
                <w:top w:val="none" w:sz="0" w:space="0" w:color="auto"/>
                <w:left w:val="none" w:sz="0" w:space="0" w:color="auto"/>
                <w:bottom w:val="none" w:sz="0" w:space="0" w:color="auto"/>
                <w:right w:val="none" w:sz="0" w:space="0" w:color="auto"/>
              </w:divBdr>
            </w:div>
          </w:divsChild>
        </w:div>
        <w:div w:id="1046298476">
          <w:marLeft w:val="0"/>
          <w:marRight w:val="0"/>
          <w:marTop w:val="0"/>
          <w:marBottom w:val="0"/>
          <w:divBdr>
            <w:top w:val="none" w:sz="0" w:space="0" w:color="auto"/>
            <w:left w:val="none" w:sz="0" w:space="0" w:color="auto"/>
            <w:bottom w:val="none" w:sz="0" w:space="0" w:color="auto"/>
            <w:right w:val="none" w:sz="0" w:space="0" w:color="auto"/>
          </w:divBdr>
          <w:divsChild>
            <w:div w:id="1898932970">
              <w:marLeft w:val="0"/>
              <w:marRight w:val="0"/>
              <w:marTop w:val="0"/>
              <w:marBottom w:val="0"/>
              <w:divBdr>
                <w:top w:val="none" w:sz="0" w:space="0" w:color="auto"/>
                <w:left w:val="none" w:sz="0" w:space="0" w:color="auto"/>
                <w:bottom w:val="none" w:sz="0" w:space="0" w:color="auto"/>
                <w:right w:val="none" w:sz="0" w:space="0" w:color="auto"/>
              </w:divBdr>
            </w:div>
          </w:divsChild>
        </w:div>
        <w:div w:id="1063674444">
          <w:marLeft w:val="0"/>
          <w:marRight w:val="0"/>
          <w:marTop w:val="0"/>
          <w:marBottom w:val="0"/>
          <w:divBdr>
            <w:top w:val="none" w:sz="0" w:space="0" w:color="auto"/>
            <w:left w:val="none" w:sz="0" w:space="0" w:color="auto"/>
            <w:bottom w:val="none" w:sz="0" w:space="0" w:color="auto"/>
            <w:right w:val="none" w:sz="0" w:space="0" w:color="auto"/>
          </w:divBdr>
          <w:divsChild>
            <w:div w:id="2137524093">
              <w:marLeft w:val="0"/>
              <w:marRight w:val="0"/>
              <w:marTop w:val="0"/>
              <w:marBottom w:val="0"/>
              <w:divBdr>
                <w:top w:val="none" w:sz="0" w:space="0" w:color="auto"/>
                <w:left w:val="none" w:sz="0" w:space="0" w:color="auto"/>
                <w:bottom w:val="none" w:sz="0" w:space="0" w:color="auto"/>
                <w:right w:val="none" w:sz="0" w:space="0" w:color="auto"/>
              </w:divBdr>
            </w:div>
          </w:divsChild>
        </w:div>
        <w:div w:id="1084647512">
          <w:marLeft w:val="0"/>
          <w:marRight w:val="0"/>
          <w:marTop w:val="0"/>
          <w:marBottom w:val="0"/>
          <w:divBdr>
            <w:top w:val="none" w:sz="0" w:space="0" w:color="auto"/>
            <w:left w:val="none" w:sz="0" w:space="0" w:color="auto"/>
            <w:bottom w:val="none" w:sz="0" w:space="0" w:color="auto"/>
            <w:right w:val="none" w:sz="0" w:space="0" w:color="auto"/>
          </w:divBdr>
          <w:divsChild>
            <w:div w:id="367292872">
              <w:marLeft w:val="0"/>
              <w:marRight w:val="0"/>
              <w:marTop w:val="0"/>
              <w:marBottom w:val="0"/>
              <w:divBdr>
                <w:top w:val="none" w:sz="0" w:space="0" w:color="auto"/>
                <w:left w:val="none" w:sz="0" w:space="0" w:color="auto"/>
                <w:bottom w:val="none" w:sz="0" w:space="0" w:color="auto"/>
                <w:right w:val="none" w:sz="0" w:space="0" w:color="auto"/>
              </w:divBdr>
            </w:div>
          </w:divsChild>
        </w:div>
        <w:div w:id="1089621378">
          <w:marLeft w:val="0"/>
          <w:marRight w:val="0"/>
          <w:marTop w:val="0"/>
          <w:marBottom w:val="0"/>
          <w:divBdr>
            <w:top w:val="none" w:sz="0" w:space="0" w:color="auto"/>
            <w:left w:val="none" w:sz="0" w:space="0" w:color="auto"/>
            <w:bottom w:val="none" w:sz="0" w:space="0" w:color="auto"/>
            <w:right w:val="none" w:sz="0" w:space="0" w:color="auto"/>
          </w:divBdr>
          <w:divsChild>
            <w:div w:id="759373794">
              <w:marLeft w:val="0"/>
              <w:marRight w:val="0"/>
              <w:marTop w:val="0"/>
              <w:marBottom w:val="0"/>
              <w:divBdr>
                <w:top w:val="none" w:sz="0" w:space="0" w:color="auto"/>
                <w:left w:val="none" w:sz="0" w:space="0" w:color="auto"/>
                <w:bottom w:val="none" w:sz="0" w:space="0" w:color="auto"/>
                <w:right w:val="none" w:sz="0" w:space="0" w:color="auto"/>
              </w:divBdr>
            </w:div>
          </w:divsChild>
        </w:div>
        <w:div w:id="1091656124">
          <w:marLeft w:val="0"/>
          <w:marRight w:val="0"/>
          <w:marTop w:val="0"/>
          <w:marBottom w:val="0"/>
          <w:divBdr>
            <w:top w:val="none" w:sz="0" w:space="0" w:color="auto"/>
            <w:left w:val="none" w:sz="0" w:space="0" w:color="auto"/>
            <w:bottom w:val="none" w:sz="0" w:space="0" w:color="auto"/>
            <w:right w:val="none" w:sz="0" w:space="0" w:color="auto"/>
          </w:divBdr>
          <w:divsChild>
            <w:div w:id="974143274">
              <w:marLeft w:val="0"/>
              <w:marRight w:val="0"/>
              <w:marTop w:val="0"/>
              <w:marBottom w:val="0"/>
              <w:divBdr>
                <w:top w:val="none" w:sz="0" w:space="0" w:color="auto"/>
                <w:left w:val="none" w:sz="0" w:space="0" w:color="auto"/>
                <w:bottom w:val="none" w:sz="0" w:space="0" w:color="auto"/>
                <w:right w:val="none" w:sz="0" w:space="0" w:color="auto"/>
              </w:divBdr>
            </w:div>
          </w:divsChild>
        </w:div>
        <w:div w:id="1097553416">
          <w:marLeft w:val="0"/>
          <w:marRight w:val="0"/>
          <w:marTop w:val="0"/>
          <w:marBottom w:val="0"/>
          <w:divBdr>
            <w:top w:val="none" w:sz="0" w:space="0" w:color="auto"/>
            <w:left w:val="none" w:sz="0" w:space="0" w:color="auto"/>
            <w:bottom w:val="none" w:sz="0" w:space="0" w:color="auto"/>
            <w:right w:val="none" w:sz="0" w:space="0" w:color="auto"/>
          </w:divBdr>
          <w:divsChild>
            <w:div w:id="1137604665">
              <w:marLeft w:val="0"/>
              <w:marRight w:val="0"/>
              <w:marTop w:val="0"/>
              <w:marBottom w:val="0"/>
              <w:divBdr>
                <w:top w:val="none" w:sz="0" w:space="0" w:color="auto"/>
                <w:left w:val="none" w:sz="0" w:space="0" w:color="auto"/>
                <w:bottom w:val="none" w:sz="0" w:space="0" w:color="auto"/>
                <w:right w:val="none" w:sz="0" w:space="0" w:color="auto"/>
              </w:divBdr>
            </w:div>
          </w:divsChild>
        </w:div>
        <w:div w:id="1102798263">
          <w:marLeft w:val="0"/>
          <w:marRight w:val="0"/>
          <w:marTop w:val="0"/>
          <w:marBottom w:val="0"/>
          <w:divBdr>
            <w:top w:val="none" w:sz="0" w:space="0" w:color="auto"/>
            <w:left w:val="none" w:sz="0" w:space="0" w:color="auto"/>
            <w:bottom w:val="none" w:sz="0" w:space="0" w:color="auto"/>
            <w:right w:val="none" w:sz="0" w:space="0" w:color="auto"/>
          </w:divBdr>
          <w:divsChild>
            <w:div w:id="1392926748">
              <w:marLeft w:val="0"/>
              <w:marRight w:val="0"/>
              <w:marTop w:val="0"/>
              <w:marBottom w:val="0"/>
              <w:divBdr>
                <w:top w:val="none" w:sz="0" w:space="0" w:color="auto"/>
                <w:left w:val="none" w:sz="0" w:space="0" w:color="auto"/>
                <w:bottom w:val="none" w:sz="0" w:space="0" w:color="auto"/>
                <w:right w:val="none" w:sz="0" w:space="0" w:color="auto"/>
              </w:divBdr>
            </w:div>
          </w:divsChild>
        </w:div>
        <w:div w:id="1129400001">
          <w:marLeft w:val="0"/>
          <w:marRight w:val="0"/>
          <w:marTop w:val="0"/>
          <w:marBottom w:val="0"/>
          <w:divBdr>
            <w:top w:val="none" w:sz="0" w:space="0" w:color="auto"/>
            <w:left w:val="none" w:sz="0" w:space="0" w:color="auto"/>
            <w:bottom w:val="none" w:sz="0" w:space="0" w:color="auto"/>
            <w:right w:val="none" w:sz="0" w:space="0" w:color="auto"/>
          </w:divBdr>
          <w:divsChild>
            <w:div w:id="1347757410">
              <w:marLeft w:val="0"/>
              <w:marRight w:val="0"/>
              <w:marTop w:val="0"/>
              <w:marBottom w:val="0"/>
              <w:divBdr>
                <w:top w:val="none" w:sz="0" w:space="0" w:color="auto"/>
                <w:left w:val="none" w:sz="0" w:space="0" w:color="auto"/>
                <w:bottom w:val="none" w:sz="0" w:space="0" w:color="auto"/>
                <w:right w:val="none" w:sz="0" w:space="0" w:color="auto"/>
              </w:divBdr>
            </w:div>
          </w:divsChild>
        </w:div>
        <w:div w:id="1132476597">
          <w:marLeft w:val="0"/>
          <w:marRight w:val="0"/>
          <w:marTop w:val="0"/>
          <w:marBottom w:val="0"/>
          <w:divBdr>
            <w:top w:val="none" w:sz="0" w:space="0" w:color="auto"/>
            <w:left w:val="none" w:sz="0" w:space="0" w:color="auto"/>
            <w:bottom w:val="none" w:sz="0" w:space="0" w:color="auto"/>
            <w:right w:val="none" w:sz="0" w:space="0" w:color="auto"/>
          </w:divBdr>
          <w:divsChild>
            <w:div w:id="2133548334">
              <w:marLeft w:val="0"/>
              <w:marRight w:val="0"/>
              <w:marTop w:val="0"/>
              <w:marBottom w:val="0"/>
              <w:divBdr>
                <w:top w:val="none" w:sz="0" w:space="0" w:color="auto"/>
                <w:left w:val="none" w:sz="0" w:space="0" w:color="auto"/>
                <w:bottom w:val="none" w:sz="0" w:space="0" w:color="auto"/>
                <w:right w:val="none" w:sz="0" w:space="0" w:color="auto"/>
              </w:divBdr>
            </w:div>
          </w:divsChild>
        </w:div>
        <w:div w:id="1144273634">
          <w:marLeft w:val="0"/>
          <w:marRight w:val="0"/>
          <w:marTop w:val="0"/>
          <w:marBottom w:val="0"/>
          <w:divBdr>
            <w:top w:val="none" w:sz="0" w:space="0" w:color="auto"/>
            <w:left w:val="none" w:sz="0" w:space="0" w:color="auto"/>
            <w:bottom w:val="none" w:sz="0" w:space="0" w:color="auto"/>
            <w:right w:val="none" w:sz="0" w:space="0" w:color="auto"/>
          </w:divBdr>
          <w:divsChild>
            <w:div w:id="364870343">
              <w:marLeft w:val="0"/>
              <w:marRight w:val="0"/>
              <w:marTop w:val="0"/>
              <w:marBottom w:val="0"/>
              <w:divBdr>
                <w:top w:val="none" w:sz="0" w:space="0" w:color="auto"/>
                <w:left w:val="none" w:sz="0" w:space="0" w:color="auto"/>
                <w:bottom w:val="none" w:sz="0" w:space="0" w:color="auto"/>
                <w:right w:val="none" w:sz="0" w:space="0" w:color="auto"/>
              </w:divBdr>
            </w:div>
          </w:divsChild>
        </w:div>
        <w:div w:id="1148089572">
          <w:marLeft w:val="0"/>
          <w:marRight w:val="0"/>
          <w:marTop w:val="0"/>
          <w:marBottom w:val="0"/>
          <w:divBdr>
            <w:top w:val="none" w:sz="0" w:space="0" w:color="auto"/>
            <w:left w:val="none" w:sz="0" w:space="0" w:color="auto"/>
            <w:bottom w:val="none" w:sz="0" w:space="0" w:color="auto"/>
            <w:right w:val="none" w:sz="0" w:space="0" w:color="auto"/>
          </w:divBdr>
          <w:divsChild>
            <w:div w:id="224998752">
              <w:marLeft w:val="0"/>
              <w:marRight w:val="0"/>
              <w:marTop w:val="0"/>
              <w:marBottom w:val="0"/>
              <w:divBdr>
                <w:top w:val="none" w:sz="0" w:space="0" w:color="auto"/>
                <w:left w:val="none" w:sz="0" w:space="0" w:color="auto"/>
                <w:bottom w:val="none" w:sz="0" w:space="0" w:color="auto"/>
                <w:right w:val="none" w:sz="0" w:space="0" w:color="auto"/>
              </w:divBdr>
            </w:div>
          </w:divsChild>
        </w:div>
        <w:div w:id="1153181796">
          <w:marLeft w:val="0"/>
          <w:marRight w:val="0"/>
          <w:marTop w:val="0"/>
          <w:marBottom w:val="0"/>
          <w:divBdr>
            <w:top w:val="none" w:sz="0" w:space="0" w:color="auto"/>
            <w:left w:val="none" w:sz="0" w:space="0" w:color="auto"/>
            <w:bottom w:val="none" w:sz="0" w:space="0" w:color="auto"/>
            <w:right w:val="none" w:sz="0" w:space="0" w:color="auto"/>
          </w:divBdr>
          <w:divsChild>
            <w:div w:id="370569426">
              <w:marLeft w:val="0"/>
              <w:marRight w:val="0"/>
              <w:marTop w:val="0"/>
              <w:marBottom w:val="0"/>
              <w:divBdr>
                <w:top w:val="none" w:sz="0" w:space="0" w:color="auto"/>
                <w:left w:val="none" w:sz="0" w:space="0" w:color="auto"/>
                <w:bottom w:val="none" w:sz="0" w:space="0" w:color="auto"/>
                <w:right w:val="none" w:sz="0" w:space="0" w:color="auto"/>
              </w:divBdr>
            </w:div>
          </w:divsChild>
        </w:div>
        <w:div w:id="1169904958">
          <w:marLeft w:val="0"/>
          <w:marRight w:val="0"/>
          <w:marTop w:val="0"/>
          <w:marBottom w:val="0"/>
          <w:divBdr>
            <w:top w:val="none" w:sz="0" w:space="0" w:color="auto"/>
            <w:left w:val="none" w:sz="0" w:space="0" w:color="auto"/>
            <w:bottom w:val="none" w:sz="0" w:space="0" w:color="auto"/>
            <w:right w:val="none" w:sz="0" w:space="0" w:color="auto"/>
          </w:divBdr>
          <w:divsChild>
            <w:div w:id="1987322350">
              <w:marLeft w:val="0"/>
              <w:marRight w:val="0"/>
              <w:marTop w:val="0"/>
              <w:marBottom w:val="0"/>
              <w:divBdr>
                <w:top w:val="none" w:sz="0" w:space="0" w:color="auto"/>
                <w:left w:val="none" w:sz="0" w:space="0" w:color="auto"/>
                <w:bottom w:val="none" w:sz="0" w:space="0" w:color="auto"/>
                <w:right w:val="none" w:sz="0" w:space="0" w:color="auto"/>
              </w:divBdr>
            </w:div>
          </w:divsChild>
        </w:div>
        <w:div w:id="1180852296">
          <w:marLeft w:val="0"/>
          <w:marRight w:val="0"/>
          <w:marTop w:val="0"/>
          <w:marBottom w:val="0"/>
          <w:divBdr>
            <w:top w:val="none" w:sz="0" w:space="0" w:color="auto"/>
            <w:left w:val="none" w:sz="0" w:space="0" w:color="auto"/>
            <w:bottom w:val="none" w:sz="0" w:space="0" w:color="auto"/>
            <w:right w:val="none" w:sz="0" w:space="0" w:color="auto"/>
          </w:divBdr>
          <w:divsChild>
            <w:div w:id="439959194">
              <w:marLeft w:val="0"/>
              <w:marRight w:val="0"/>
              <w:marTop w:val="0"/>
              <w:marBottom w:val="0"/>
              <w:divBdr>
                <w:top w:val="none" w:sz="0" w:space="0" w:color="auto"/>
                <w:left w:val="none" w:sz="0" w:space="0" w:color="auto"/>
                <w:bottom w:val="none" w:sz="0" w:space="0" w:color="auto"/>
                <w:right w:val="none" w:sz="0" w:space="0" w:color="auto"/>
              </w:divBdr>
            </w:div>
          </w:divsChild>
        </w:div>
        <w:div w:id="1198666135">
          <w:marLeft w:val="0"/>
          <w:marRight w:val="0"/>
          <w:marTop w:val="0"/>
          <w:marBottom w:val="0"/>
          <w:divBdr>
            <w:top w:val="none" w:sz="0" w:space="0" w:color="auto"/>
            <w:left w:val="none" w:sz="0" w:space="0" w:color="auto"/>
            <w:bottom w:val="none" w:sz="0" w:space="0" w:color="auto"/>
            <w:right w:val="none" w:sz="0" w:space="0" w:color="auto"/>
          </w:divBdr>
          <w:divsChild>
            <w:div w:id="778257184">
              <w:marLeft w:val="0"/>
              <w:marRight w:val="0"/>
              <w:marTop w:val="0"/>
              <w:marBottom w:val="0"/>
              <w:divBdr>
                <w:top w:val="none" w:sz="0" w:space="0" w:color="auto"/>
                <w:left w:val="none" w:sz="0" w:space="0" w:color="auto"/>
                <w:bottom w:val="none" w:sz="0" w:space="0" w:color="auto"/>
                <w:right w:val="none" w:sz="0" w:space="0" w:color="auto"/>
              </w:divBdr>
            </w:div>
          </w:divsChild>
        </w:div>
        <w:div w:id="1199968728">
          <w:marLeft w:val="0"/>
          <w:marRight w:val="0"/>
          <w:marTop w:val="0"/>
          <w:marBottom w:val="0"/>
          <w:divBdr>
            <w:top w:val="none" w:sz="0" w:space="0" w:color="auto"/>
            <w:left w:val="none" w:sz="0" w:space="0" w:color="auto"/>
            <w:bottom w:val="none" w:sz="0" w:space="0" w:color="auto"/>
            <w:right w:val="none" w:sz="0" w:space="0" w:color="auto"/>
          </w:divBdr>
          <w:divsChild>
            <w:div w:id="1514413050">
              <w:marLeft w:val="0"/>
              <w:marRight w:val="0"/>
              <w:marTop w:val="0"/>
              <w:marBottom w:val="0"/>
              <w:divBdr>
                <w:top w:val="none" w:sz="0" w:space="0" w:color="auto"/>
                <w:left w:val="none" w:sz="0" w:space="0" w:color="auto"/>
                <w:bottom w:val="none" w:sz="0" w:space="0" w:color="auto"/>
                <w:right w:val="none" w:sz="0" w:space="0" w:color="auto"/>
              </w:divBdr>
            </w:div>
          </w:divsChild>
        </w:div>
        <w:div w:id="1201935656">
          <w:marLeft w:val="0"/>
          <w:marRight w:val="0"/>
          <w:marTop w:val="0"/>
          <w:marBottom w:val="0"/>
          <w:divBdr>
            <w:top w:val="none" w:sz="0" w:space="0" w:color="auto"/>
            <w:left w:val="none" w:sz="0" w:space="0" w:color="auto"/>
            <w:bottom w:val="none" w:sz="0" w:space="0" w:color="auto"/>
            <w:right w:val="none" w:sz="0" w:space="0" w:color="auto"/>
          </w:divBdr>
          <w:divsChild>
            <w:div w:id="1844278389">
              <w:marLeft w:val="0"/>
              <w:marRight w:val="0"/>
              <w:marTop w:val="0"/>
              <w:marBottom w:val="0"/>
              <w:divBdr>
                <w:top w:val="none" w:sz="0" w:space="0" w:color="auto"/>
                <w:left w:val="none" w:sz="0" w:space="0" w:color="auto"/>
                <w:bottom w:val="none" w:sz="0" w:space="0" w:color="auto"/>
                <w:right w:val="none" w:sz="0" w:space="0" w:color="auto"/>
              </w:divBdr>
            </w:div>
          </w:divsChild>
        </w:div>
        <w:div w:id="1217623445">
          <w:marLeft w:val="0"/>
          <w:marRight w:val="0"/>
          <w:marTop w:val="0"/>
          <w:marBottom w:val="0"/>
          <w:divBdr>
            <w:top w:val="none" w:sz="0" w:space="0" w:color="auto"/>
            <w:left w:val="none" w:sz="0" w:space="0" w:color="auto"/>
            <w:bottom w:val="none" w:sz="0" w:space="0" w:color="auto"/>
            <w:right w:val="none" w:sz="0" w:space="0" w:color="auto"/>
          </w:divBdr>
          <w:divsChild>
            <w:div w:id="645429281">
              <w:marLeft w:val="0"/>
              <w:marRight w:val="0"/>
              <w:marTop w:val="0"/>
              <w:marBottom w:val="0"/>
              <w:divBdr>
                <w:top w:val="none" w:sz="0" w:space="0" w:color="auto"/>
                <w:left w:val="none" w:sz="0" w:space="0" w:color="auto"/>
                <w:bottom w:val="none" w:sz="0" w:space="0" w:color="auto"/>
                <w:right w:val="none" w:sz="0" w:space="0" w:color="auto"/>
              </w:divBdr>
            </w:div>
          </w:divsChild>
        </w:div>
        <w:div w:id="1236672033">
          <w:marLeft w:val="0"/>
          <w:marRight w:val="0"/>
          <w:marTop w:val="0"/>
          <w:marBottom w:val="0"/>
          <w:divBdr>
            <w:top w:val="none" w:sz="0" w:space="0" w:color="auto"/>
            <w:left w:val="none" w:sz="0" w:space="0" w:color="auto"/>
            <w:bottom w:val="none" w:sz="0" w:space="0" w:color="auto"/>
            <w:right w:val="none" w:sz="0" w:space="0" w:color="auto"/>
          </w:divBdr>
          <w:divsChild>
            <w:div w:id="517502105">
              <w:marLeft w:val="0"/>
              <w:marRight w:val="0"/>
              <w:marTop w:val="0"/>
              <w:marBottom w:val="0"/>
              <w:divBdr>
                <w:top w:val="none" w:sz="0" w:space="0" w:color="auto"/>
                <w:left w:val="none" w:sz="0" w:space="0" w:color="auto"/>
                <w:bottom w:val="none" w:sz="0" w:space="0" w:color="auto"/>
                <w:right w:val="none" w:sz="0" w:space="0" w:color="auto"/>
              </w:divBdr>
            </w:div>
          </w:divsChild>
        </w:div>
        <w:div w:id="1237936850">
          <w:marLeft w:val="0"/>
          <w:marRight w:val="0"/>
          <w:marTop w:val="0"/>
          <w:marBottom w:val="0"/>
          <w:divBdr>
            <w:top w:val="none" w:sz="0" w:space="0" w:color="auto"/>
            <w:left w:val="none" w:sz="0" w:space="0" w:color="auto"/>
            <w:bottom w:val="none" w:sz="0" w:space="0" w:color="auto"/>
            <w:right w:val="none" w:sz="0" w:space="0" w:color="auto"/>
          </w:divBdr>
          <w:divsChild>
            <w:div w:id="1665233790">
              <w:marLeft w:val="0"/>
              <w:marRight w:val="0"/>
              <w:marTop w:val="0"/>
              <w:marBottom w:val="0"/>
              <w:divBdr>
                <w:top w:val="none" w:sz="0" w:space="0" w:color="auto"/>
                <w:left w:val="none" w:sz="0" w:space="0" w:color="auto"/>
                <w:bottom w:val="none" w:sz="0" w:space="0" w:color="auto"/>
                <w:right w:val="none" w:sz="0" w:space="0" w:color="auto"/>
              </w:divBdr>
            </w:div>
          </w:divsChild>
        </w:div>
        <w:div w:id="1243299156">
          <w:marLeft w:val="0"/>
          <w:marRight w:val="0"/>
          <w:marTop w:val="0"/>
          <w:marBottom w:val="0"/>
          <w:divBdr>
            <w:top w:val="none" w:sz="0" w:space="0" w:color="auto"/>
            <w:left w:val="none" w:sz="0" w:space="0" w:color="auto"/>
            <w:bottom w:val="none" w:sz="0" w:space="0" w:color="auto"/>
            <w:right w:val="none" w:sz="0" w:space="0" w:color="auto"/>
          </w:divBdr>
          <w:divsChild>
            <w:div w:id="126046953">
              <w:marLeft w:val="0"/>
              <w:marRight w:val="0"/>
              <w:marTop w:val="0"/>
              <w:marBottom w:val="0"/>
              <w:divBdr>
                <w:top w:val="none" w:sz="0" w:space="0" w:color="auto"/>
                <w:left w:val="none" w:sz="0" w:space="0" w:color="auto"/>
                <w:bottom w:val="none" w:sz="0" w:space="0" w:color="auto"/>
                <w:right w:val="none" w:sz="0" w:space="0" w:color="auto"/>
              </w:divBdr>
            </w:div>
          </w:divsChild>
        </w:div>
        <w:div w:id="1252549277">
          <w:marLeft w:val="0"/>
          <w:marRight w:val="0"/>
          <w:marTop w:val="0"/>
          <w:marBottom w:val="0"/>
          <w:divBdr>
            <w:top w:val="none" w:sz="0" w:space="0" w:color="auto"/>
            <w:left w:val="none" w:sz="0" w:space="0" w:color="auto"/>
            <w:bottom w:val="none" w:sz="0" w:space="0" w:color="auto"/>
            <w:right w:val="none" w:sz="0" w:space="0" w:color="auto"/>
          </w:divBdr>
          <w:divsChild>
            <w:div w:id="227692671">
              <w:marLeft w:val="0"/>
              <w:marRight w:val="0"/>
              <w:marTop w:val="0"/>
              <w:marBottom w:val="0"/>
              <w:divBdr>
                <w:top w:val="none" w:sz="0" w:space="0" w:color="auto"/>
                <w:left w:val="none" w:sz="0" w:space="0" w:color="auto"/>
                <w:bottom w:val="none" w:sz="0" w:space="0" w:color="auto"/>
                <w:right w:val="none" w:sz="0" w:space="0" w:color="auto"/>
              </w:divBdr>
            </w:div>
          </w:divsChild>
        </w:div>
        <w:div w:id="1253975320">
          <w:marLeft w:val="0"/>
          <w:marRight w:val="0"/>
          <w:marTop w:val="0"/>
          <w:marBottom w:val="0"/>
          <w:divBdr>
            <w:top w:val="none" w:sz="0" w:space="0" w:color="auto"/>
            <w:left w:val="none" w:sz="0" w:space="0" w:color="auto"/>
            <w:bottom w:val="none" w:sz="0" w:space="0" w:color="auto"/>
            <w:right w:val="none" w:sz="0" w:space="0" w:color="auto"/>
          </w:divBdr>
          <w:divsChild>
            <w:div w:id="320692489">
              <w:marLeft w:val="0"/>
              <w:marRight w:val="0"/>
              <w:marTop w:val="0"/>
              <w:marBottom w:val="0"/>
              <w:divBdr>
                <w:top w:val="none" w:sz="0" w:space="0" w:color="auto"/>
                <w:left w:val="none" w:sz="0" w:space="0" w:color="auto"/>
                <w:bottom w:val="none" w:sz="0" w:space="0" w:color="auto"/>
                <w:right w:val="none" w:sz="0" w:space="0" w:color="auto"/>
              </w:divBdr>
            </w:div>
          </w:divsChild>
        </w:div>
        <w:div w:id="1261912431">
          <w:marLeft w:val="0"/>
          <w:marRight w:val="0"/>
          <w:marTop w:val="0"/>
          <w:marBottom w:val="0"/>
          <w:divBdr>
            <w:top w:val="none" w:sz="0" w:space="0" w:color="auto"/>
            <w:left w:val="none" w:sz="0" w:space="0" w:color="auto"/>
            <w:bottom w:val="none" w:sz="0" w:space="0" w:color="auto"/>
            <w:right w:val="none" w:sz="0" w:space="0" w:color="auto"/>
          </w:divBdr>
          <w:divsChild>
            <w:div w:id="1212883986">
              <w:marLeft w:val="0"/>
              <w:marRight w:val="0"/>
              <w:marTop w:val="0"/>
              <w:marBottom w:val="0"/>
              <w:divBdr>
                <w:top w:val="none" w:sz="0" w:space="0" w:color="auto"/>
                <w:left w:val="none" w:sz="0" w:space="0" w:color="auto"/>
                <w:bottom w:val="none" w:sz="0" w:space="0" w:color="auto"/>
                <w:right w:val="none" w:sz="0" w:space="0" w:color="auto"/>
              </w:divBdr>
            </w:div>
          </w:divsChild>
        </w:div>
        <w:div w:id="1261987097">
          <w:marLeft w:val="0"/>
          <w:marRight w:val="0"/>
          <w:marTop w:val="0"/>
          <w:marBottom w:val="0"/>
          <w:divBdr>
            <w:top w:val="none" w:sz="0" w:space="0" w:color="auto"/>
            <w:left w:val="none" w:sz="0" w:space="0" w:color="auto"/>
            <w:bottom w:val="none" w:sz="0" w:space="0" w:color="auto"/>
            <w:right w:val="none" w:sz="0" w:space="0" w:color="auto"/>
          </w:divBdr>
          <w:divsChild>
            <w:div w:id="1961260349">
              <w:marLeft w:val="0"/>
              <w:marRight w:val="0"/>
              <w:marTop w:val="0"/>
              <w:marBottom w:val="0"/>
              <w:divBdr>
                <w:top w:val="none" w:sz="0" w:space="0" w:color="auto"/>
                <w:left w:val="none" w:sz="0" w:space="0" w:color="auto"/>
                <w:bottom w:val="none" w:sz="0" w:space="0" w:color="auto"/>
                <w:right w:val="none" w:sz="0" w:space="0" w:color="auto"/>
              </w:divBdr>
            </w:div>
          </w:divsChild>
        </w:div>
        <w:div w:id="1279023062">
          <w:marLeft w:val="0"/>
          <w:marRight w:val="0"/>
          <w:marTop w:val="0"/>
          <w:marBottom w:val="0"/>
          <w:divBdr>
            <w:top w:val="none" w:sz="0" w:space="0" w:color="auto"/>
            <w:left w:val="none" w:sz="0" w:space="0" w:color="auto"/>
            <w:bottom w:val="none" w:sz="0" w:space="0" w:color="auto"/>
            <w:right w:val="none" w:sz="0" w:space="0" w:color="auto"/>
          </w:divBdr>
          <w:divsChild>
            <w:div w:id="1588803656">
              <w:marLeft w:val="0"/>
              <w:marRight w:val="0"/>
              <w:marTop w:val="0"/>
              <w:marBottom w:val="0"/>
              <w:divBdr>
                <w:top w:val="none" w:sz="0" w:space="0" w:color="auto"/>
                <w:left w:val="none" w:sz="0" w:space="0" w:color="auto"/>
                <w:bottom w:val="none" w:sz="0" w:space="0" w:color="auto"/>
                <w:right w:val="none" w:sz="0" w:space="0" w:color="auto"/>
              </w:divBdr>
            </w:div>
          </w:divsChild>
        </w:div>
        <w:div w:id="1299921956">
          <w:marLeft w:val="0"/>
          <w:marRight w:val="0"/>
          <w:marTop w:val="0"/>
          <w:marBottom w:val="0"/>
          <w:divBdr>
            <w:top w:val="none" w:sz="0" w:space="0" w:color="auto"/>
            <w:left w:val="none" w:sz="0" w:space="0" w:color="auto"/>
            <w:bottom w:val="none" w:sz="0" w:space="0" w:color="auto"/>
            <w:right w:val="none" w:sz="0" w:space="0" w:color="auto"/>
          </w:divBdr>
          <w:divsChild>
            <w:div w:id="838429876">
              <w:marLeft w:val="0"/>
              <w:marRight w:val="0"/>
              <w:marTop w:val="0"/>
              <w:marBottom w:val="0"/>
              <w:divBdr>
                <w:top w:val="none" w:sz="0" w:space="0" w:color="auto"/>
                <w:left w:val="none" w:sz="0" w:space="0" w:color="auto"/>
                <w:bottom w:val="none" w:sz="0" w:space="0" w:color="auto"/>
                <w:right w:val="none" w:sz="0" w:space="0" w:color="auto"/>
              </w:divBdr>
            </w:div>
          </w:divsChild>
        </w:div>
        <w:div w:id="1301960954">
          <w:marLeft w:val="0"/>
          <w:marRight w:val="0"/>
          <w:marTop w:val="0"/>
          <w:marBottom w:val="0"/>
          <w:divBdr>
            <w:top w:val="none" w:sz="0" w:space="0" w:color="auto"/>
            <w:left w:val="none" w:sz="0" w:space="0" w:color="auto"/>
            <w:bottom w:val="none" w:sz="0" w:space="0" w:color="auto"/>
            <w:right w:val="none" w:sz="0" w:space="0" w:color="auto"/>
          </w:divBdr>
          <w:divsChild>
            <w:div w:id="1047027140">
              <w:marLeft w:val="0"/>
              <w:marRight w:val="0"/>
              <w:marTop w:val="0"/>
              <w:marBottom w:val="0"/>
              <w:divBdr>
                <w:top w:val="none" w:sz="0" w:space="0" w:color="auto"/>
                <w:left w:val="none" w:sz="0" w:space="0" w:color="auto"/>
                <w:bottom w:val="none" w:sz="0" w:space="0" w:color="auto"/>
                <w:right w:val="none" w:sz="0" w:space="0" w:color="auto"/>
              </w:divBdr>
            </w:div>
          </w:divsChild>
        </w:div>
        <w:div w:id="1322923058">
          <w:marLeft w:val="0"/>
          <w:marRight w:val="0"/>
          <w:marTop w:val="0"/>
          <w:marBottom w:val="0"/>
          <w:divBdr>
            <w:top w:val="none" w:sz="0" w:space="0" w:color="auto"/>
            <w:left w:val="none" w:sz="0" w:space="0" w:color="auto"/>
            <w:bottom w:val="none" w:sz="0" w:space="0" w:color="auto"/>
            <w:right w:val="none" w:sz="0" w:space="0" w:color="auto"/>
          </w:divBdr>
          <w:divsChild>
            <w:div w:id="1964462351">
              <w:marLeft w:val="0"/>
              <w:marRight w:val="0"/>
              <w:marTop w:val="0"/>
              <w:marBottom w:val="0"/>
              <w:divBdr>
                <w:top w:val="none" w:sz="0" w:space="0" w:color="auto"/>
                <w:left w:val="none" w:sz="0" w:space="0" w:color="auto"/>
                <w:bottom w:val="none" w:sz="0" w:space="0" w:color="auto"/>
                <w:right w:val="none" w:sz="0" w:space="0" w:color="auto"/>
              </w:divBdr>
            </w:div>
          </w:divsChild>
        </w:div>
        <w:div w:id="1328440554">
          <w:marLeft w:val="0"/>
          <w:marRight w:val="0"/>
          <w:marTop w:val="0"/>
          <w:marBottom w:val="0"/>
          <w:divBdr>
            <w:top w:val="none" w:sz="0" w:space="0" w:color="auto"/>
            <w:left w:val="none" w:sz="0" w:space="0" w:color="auto"/>
            <w:bottom w:val="none" w:sz="0" w:space="0" w:color="auto"/>
            <w:right w:val="none" w:sz="0" w:space="0" w:color="auto"/>
          </w:divBdr>
          <w:divsChild>
            <w:div w:id="2058772632">
              <w:marLeft w:val="0"/>
              <w:marRight w:val="0"/>
              <w:marTop w:val="0"/>
              <w:marBottom w:val="0"/>
              <w:divBdr>
                <w:top w:val="none" w:sz="0" w:space="0" w:color="auto"/>
                <w:left w:val="none" w:sz="0" w:space="0" w:color="auto"/>
                <w:bottom w:val="none" w:sz="0" w:space="0" w:color="auto"/>
                <w:right w:val="none" w:sz="0" w:space="0" w:color="auto"/>
              </w:divBdr>
            </w:div>
          </w:divsChild>
        </w:div>
        <w:div w:id="1332682369">
          <w:marLeft w:val="0"/>
          <w:marRight w:val="0"/>
          <w:marTop w:val="0"/>
          <w:marBottom w:val="0"/>
          <w:divBdr>
            <w:top w:val="none" w:sz="0" w:space="0" w:color="auto"/>
            <w:left w:val="none" w:sz="0" w:space="0" w:color="auto"/>
            <w:bottom w:val="none" w:sz="0" w:space="0" w:color="auto"/>
            <w:right w:val="none" w:sz="0" w:space="0" w:color="auto"/>
          </w:divBdr>
          <w:divsChild>
            <w:div w:id="1138835616">
              <w:marLeft w:val="0"/>
              <w:marRight w:val="0"/>
              <w:marTop w:val="0"/>
              <w:marBottom w:val="0"/>
              <w:divBdr>
                <w:top w:val="none" w:sz="0" w:space="0" w:color="auto"/>
                <w:left w:val="none" w:sz="0" w:space="0" w:color="auto"/>
                <w:bottom w:val="none" w:sz="0" w:space="0" w:color="auto"/>
                <w:right w:val="none" w:sz="0" w:space="0" w:color="auto"/>
              </w:divBdr>
            </w:div>
          </w:divsChild>
        </w:div>
        <w:div w:id="1342853226">
          <w:marLeft w:val="0"/>
          <w:marRight w:val="0"/>
          <w:marTop w:val="0"/>
          <w:marBottom w:val="0"/>
          <w:divBdr>
            <w:top w:val="none" w:sz="0" w:space="0" w:color="auto"/>
            <w:left w:val="none" w:sz="0" w:space="0" w:color="auto"/>
            <w:bottom w:val="none" w:sz="0" w:space="0" w:color="auto"/>
            <w:right w:val="none" w:sz="0" w:space="0" w:color="auto"/>
          </w:divBdr>
          <w:divsChild>
            <w:div w:id="980039339">
              <w:marLeft w:val="0"/>
              <w:marRight w:val="0"/>
              <w:marTop w:val="0"/>
              <w:marBottom w:val="0"/>
              <w:divBdr>
                <w:top w:val="none" w:sz="0" w:space="0" w:color="auto"/>
                <w:left w:val="none" w:sz="0" w:space="0" w:color="auto"/>
                <w:bottom w:val="none" w:sz="0" w:space="0" w:color="auto"/>
                <w:right w:val="none" w:sz="0" w:space="0" w:color="auto"/>
              </w:divBdr>
            </w:div>
          </w:divsChild>
        </w:div>
        <w:div w:id="1351293585">
          <w:marLeft w:val="0"/>
          <w:marRight w:val="0"/>
          <w:marTop w:val="0"/>
          <w:marBottom w:val="0"/>
          <w:divBdr>
            <w:top w:val="none" w:sz="0" w:space="0" w:color="auto"/>
            <w:left w:val="none" w:sz="0" w:space="0" w:color="auto"/>
            <w:bottom w:val="none" w:sz="0" w:space="0" w:color="auto"/>
            <w:right w:val="none" w:sz="0" w:space="0" w:color="auto"/>
          </w:divBdr>
          <w:divsChild>
            <w:div w:id="1361316807">
              <w:marLeft w:val="0"/>
              <w:marRight w:val="0"/>
              <w:marTop w:val="0"/>
              <w:marBottom w:val="0"/>
              <w:divBdr>
                <w:top w:val="none" w:sz="0" w:space="0" w:color="auto"/>
                <w:left w:val="none" w:sz="0" w:space="0" w:color="auto"/>
                <w:bottom w:val="none" w:sz="0" w:space="0" w:color="auto"/>
                <w:right w:val="none" w:sz="0" w:space="0" w:color="auto"/>
              </w:divBdr>
            </w:div>
          </w:divsChild>
        </w:div>
        <w:div w:id="1351681796">
          <w:marLeft w:val="0"/>
          <w:marRight w:val="0"/>
          <w:marTop w:val="0"/>
          <w:marBottom w:val="0"/>
          <w:divBdr>
            <w:top w:val="none" w:sz="0" w:space="0" w:color="auto"/>
            <w:left w:val="none" w:sz="0" w:space="0" w:color="auto"/>
            <w:bottom w:val="none" w:sz="0" w:space="0" w:color="auto"/>
            <w:right w:val="none" w:sz="0" w:space="0" w:color="auto"/>
          </w:divBdr>
          <w:divsChild>
            <w:div w:id="407070255">
              <w:marLeft w:val="0"/>
              <w:marRight w:val="0"/>
              <w:marTop w:val="0"/>
              <w:marBottom w:val="0"/>
              <w:divBdr>
                <w:top w:val="none" w:sz="0" w:space="0" w:color="auto"/>
                <w:left w:val="none" w:sz="0" w:space="0" w:color="auto"/>
                <w:bottom w:val="none" w:sz="0" w:space="0" w:color="auto"/>
                <w:right w:val="none" w:sz="0" w:space="0" w:color="auto"/>
              </w:divBdr>
            </w:div>
          </w:divsChild>
        </w:div>
        <w:div w:id="1356157523">
          <w:marLeft w:val="0"/>
          <w:marRight w:val="0"/>
          <w:marTop w:val="0"/>
          <w:marBottom w:val="0"/>
          <w:divBdr>
            <w:top w:val="none" w:sz="0" w:space="0" w:color="auto"/>
            <w:left w:val="none" w:sz="0" w:space="0" w:color="auto"/>
            <w:bottom w:val="none" w:sz="0" w:space="0" w:color="auto"/>
            <w:right w:val="none" w:sz="0" w:space="0" w:color="auto"/>
          </w:divBdr>
          <w:divsChild>
            <w:div w:id="1706253544">
              <w:marLeft w:val="0"/>
              <w:marRight w:val="0"/>
              <w:marTop w:val="0"/>
              <w:marBottom w:val="0"/>
              <w:divBdr>
                <w:top w:val="none" w:sz="0" w:space="0" w:color="auto"/>
                <w:left w:val="none" w:sz="0" w:space="0" w:color="auto"/>
                <w:bottom w:val="none" w:sz="0" w:space="0" w:color="auto"/>
                <w:right w:val="none" w:sz="0" w:space="0" w:color="auto"/>
              </w:divBdr>
            </w:div>
          </w:divsChild>
        </w:div>
        <w:div w:id="1359090240">
          <w:marLeft w:val="0"/>
          <w:marRight w:val="0"/>
          <w:marTop w:val="0"/>
          <w:marBottom w:val="0"/>
          <w:divBdr>
            <w:top w:val="none" w:sz="0" w:space="0" w:color="auto"/>
            <w:left w:val="none" w:sz="0" w:space="0" w:color="auto"/>
            <w:bottom w:val="none" w:sz="0" w:space="0" w:color="auto"/>
            <w:right w:val="none" w:sz="0" w:space="0" w:color="auto"/>
          </w:divBdr>
          <w:divsChild>
            <w:div w:id="1022243799">
              <w:marLeft w:val="0"/>
              <w:marRight w:val="0"/>
              <w:marTop w:val="0"/>
              <w:marBottom w:val="0"/>
              <w:divBdr>
                <w:top w:val="none" w:sz="0" w:space="0" w:color="auto"/>
                <w:left w:val="none" w:sz="0" w:space="0" w:color="auto"/>
                <w:bottom w:val="none" w:sz="0" w:space="0" w:color="auto"/>
                <w:right w:val="none" w:sz="0" w:space="0" w:color="auto"/>
              </w:divBdr>
            </w:div>
          </w:divsChild>
        </w:div>
        <w:div w:id="1359308476">
          <w:marLeft w:val="0"/>
          <w:marRight w:val="0"/>
          <w:marTop w:val="0"/>
          <w:marBottom w:val="0"/>
          <w:divBdr>
            <w:top w:val="none" w:sz="0" w:space="0" w:color="auto"/>
            <w:left w:val="none" w:sz="0" w:space="0" w:color="auto"/>
            <w:bottom w:val="none" w:sz="0" w:space="0" w:color="auto"/>
            <w:right w:val="none" w:sz="0" w:space="0" w:color="auto"/>
          </w:divBdr>
          <w:divsChild>
            <w:div w:id="153886120">
              <w:marLeft w:val="0"/>
              <w:marRight w:val="0"/>
              <w:marTop w:val="0"/>
              <w:marBottom w:val="0"/>
              <w:divBdr>
                <w:top w:val="none" w:sz="0" w:space="0" w:color="auto"/>
                <w:left w:val="none" w:sz="0" w:space="0" w:color="auto"/>
                <w:bottom w:val="none" w:sz="0" w:space="0" w:color="auto"/>
                <w:right w:val="none" w:sz="0" w:space="0" w:color="auto"/>
              </w:divBdr>
            </w:div>
          </w:divsChild>
        </w:div>
        <w:div w:id="1372732110">
          <w:marLeft w:val="0"/>
          <w:marRight w:val="0"/>
          <w:marTop w:val="0"/>
          <w:marBottom w:val="0"/>
          <w:divBdr>
            <w:top w:val="none" w:sz="0" w:space="0" w:color="auto"/>
            <w:left w:val="none" w:sz="0" w:space="0" w:color="auto"/>
            <w:bottom w:val="none" w:sz="0" w:space="0" w:color="auto"/>
            <w:right w:val="none" w:sz="0" w:space="0" w:color="auto"/>
          </w:divBdr>
          <w:divsChild>
            <w:div w:id="2033602965">
              <w:marLeft w:val="0"/>
              <w:marRight w:val="0"/>
              <w:marTop w:val="0"/>
              <w:marBottom w:val="0"/>
              <w:divBdr>
                <w:top w:val="none" w:sz="0" w:space="0" w:color="auto"/>
                <w:left w:val="none" w:sz="0" w:space="0" w:color="auto"/>
                <w:bottom w:val="none" w:sz="0" w:space="0" w:color="auto"/>
                <w:right w:val="none" w:sz="0" w:space="0" w:color="auto"/>
              </w:divBdr>
            </w:div>
          </w:divsChild>
        </w:div>
        <w:div w:id="1373312645">
          <w:marLeft w:val="0"/>
          <w:marRight w:val="0"/>
          <w:marTop w:val="0"/>
          <w:marBottom w:val="0"/>
          <w:divBdr>
            <w:top w:val="none" w:sz="0" w:space="0" w:color="auto"/>
            <w:left w:val="none" w:sz="0" w:space="0" w:color="auto"/>
            <w:bottom w:val="none" w:sz="0" w:space="0" w:color="auto"/>
            <w:right w:val="none" w:sz="0" w:space="0" w:color="auto"/>
          </w:divBdr>
          <w:divsChild>
            <w:div w:id="475952428">
              <w:marLeft w:val="0"/>
              <w:marRight w:val="0"/>
              <w:marTop w:val="0"/>
              <w:marBottom w:val="0"/>
              <w:divBdr>
                <w:top w:val="none" w:sz="0" w:space="0" w:color="auto"/>
                <w:left w:val="none" w:sz="0" w:space="0" w:color="auto"/>
                <w:bottom w:val="none" w:sz="0" w:space="0" w:color="auto"/>
                <w:right w:val="none" w:sz="0" w:space="0" w:color="auto"/>
              </w:divBdr>
            </w:div>
          </w:divsChild>
        </w:div>
        <w:div w:id="1375235662">
          <w:marLeft w:val="0"/>
          <w:marRight w:val="0"/>
          <w:marTop w:val="0"/>
          <w:marBottom w:val="0"/>
          <w:divBdr>
            <w:top w:val="none" w:sz="0" w:space="0" w:color="auto"/>
            <w:left w:val="none" w:sz="0" w:space="0" w:color="auto"/>
            <w:bottom w:val="none" w:sz="0" w:space="0" w:color="auto"/>
            <w:right w:val="none" w:sz="0" w:space="0" w:color="auto"/>
          </w:divBdr>
          <w:divsChild>
            <w:div w:id="525796151">
              <w:marLeft w:val="0"/>
              <w:marRight w:val="0"/>
              <w:marTop w:val="0"/>
              <w:marBottom w:val="0"/>
              <w:divBdr>
                <w:top w:val="none" w:sz="0" w:space="0" w:color="auto"/>
                <w:left w:val="none" w:sz="0" w:space="0" w:color="auto"/>
                <w:bottom w:val="none" w:sz="0" w:space="0" w:color="auto"/>
                <w:right w:val="none" w:sz="0" w:space="0" w:color="auto"/>
              </w:divBdr>
            </w:div>
          </w:divsChild>
        </w:div>
        <w:div w:id="1389763810">
          <w:marLeft w:val="0"/>
          <w:marRight w:val="0"/>
          <w:marTop w:val="0"/>
          <w:marBottom w:val="0"/>
          <w:divBdr>
            <w:top w:val="none" w:sz="0" w:space="0" w:color="auto"/>
            <w:left w:val="none" w:sz="0" w:space="0" w:color="auto"/>
            <w:bottom w:val="none" w:sz="0" w:space="0" w:color="auto"/>
            <w:right w:val="none" w:sz="0" w:space="0" w:color="auto"/>
          </w:divBdr>
          <w:divsChild>
            <w:div w:id="1735160549">
              <w:marLeft w:val="0"/>
              <w:marRight w:val="0"/>
              <w:marTop w:val="0"/>
              <w:marBottom w:val="0"/>
              <w:divBdr>
                <w:top w:val="none" w:sz="0" w:space="0" w:color="auto"/>
                <w:left w:val="none" w:sz="0" w:space="0" w:color="auto"/>
                <w:bottom w:val="none" w:sz="0" w:space="0" w:color="auto"/>
                <w:right w:val="none" w:sz="0" w:space="0" w:color="auto"/>
              </w:divBdr>
            </w:div>
          </w:divsChild>
        </w:div>
        <w:div w:id="1395663814">
          <w:marLeft w:val="0"/>
          <w:marRight w:val="0"/>
          <w:marTop w:val="0"/>
          <w:marBottom w:val="0"/>
          <w:divBdr>
            <w:top w:val="none" w:sz="0" w:space="0" w:color="auto"/>
            <w:left w:val="none" w:sz="0" w:space="0" w:color="auto"/>
            <w:bottom w:val="none" w:sz="0" w:space="0" w:color="auto"/>
            <w:right w:val="none" w:sz="0" w:space="0" w:color="auto"/>
          </w:divBdr>
          <w:divsChild>
            <w:div w:id="702554710">
              <w:marLeft w:val="0"/>
              <w:marRight w:val="0"/>
              <w:marTop w:val="0"/>
              <w:marBottom w:val="0"/>
              <w:divBdr>
                <w:top w:val="none" w:sz="0" w:space="0" w:color="auto"/>
                <w:left w:val="none" w:sz="0" w:space="0" w:color="auto"/>
                <w:bottom w:val="none" w:sz="0" w:space="0" w:color="auto"/>
                <w:right w:val="none" w:sz="0" w:space="0" w:color="auto"/>
              </w:divBdr>
            </w:div>
          </w:divsChild>
        </w:div>
        <w:div w:id="1400399782">
          <w:marLeft w:val="0"/>
          <w:marRight w:val="0"/>
          <w:marTop w:val="0"/>
          <w:marBottom w:val="0"/>
          <w:divBdr>
            <w:top w:val="none" w:sz="0" w:space="0" w:color="auto"/>
            <w:left w:val="none" w:sz="0" w:space="0" w:color="auto"/>
            <w:bottom w:val="none" w:sz="0" w:space="0" w:color="auto"/>
            <w:right w:val="none" w:sz="0" w:space="0" w:color="auto"/>
          </w:divBdr>
          <w:divsChild>
            <w:div w:id="1848060196">
              <w:marLeft w:val="0"/>
              <w:marRight w:val="0"/>
              <w:marTop w:val="0"/>
              <w:marBottom w:val="0"/>
              <w:divBdr>
                <w:top w:val="none" w:sz="0" w:space="0" w:color="auto"/>
                <w:left w:val="none" w:sz="0" w:space="0" w:color="auto"/>
                <w:bottom w:val="none" w:sz="0" w:space="0" w:color="auto"/>
                <w:right w:val="none" w:sz="0" w:space="0" w:color="auto"/>
              </w:divBdr>
            </w:div>
          </w:divsChild>
        </w:div>
        <w:div w:id="1409769648">
          <w:marLeft w:val="0"/>
          <w:marRight w:val="0"/>
          <w:marTop w:val="0"/>
          <w:marBottom w:val="0"/>
          <w:divBdr>
            <w:top w:val="none" w:sz="0" w:space="0" w:color="auto"/>
            <w:left w:val="none" w:sz="0" w:space="0" w:color="auto"/>
            <w:bottom w:val="none" w:sz="0" w:space="0" w:color="auto"/>
            <w:right w:val="none" w:sz="0" w:space="0" w:color="auto"/>
          </w:divBdr>
          <w:divsChild>
            <w:div w:id="618293361">
              <w:marLeft w:val="0"/>
              <w:marRight w:val="0"/>
              <w:marTop w:val="0"/>
              <w:marBottom w:val="0"/>
              <w:divBdr>
                <w:top w:val="none" w:sz="0" w:space="0" w:color="auto"/>
                <w:left w:val="none" w:sz="0" w:space="0" w:color="auto"/>
                <w:bottom w:val="none" w:sz="0" w:space="0" w:color="auto"/>
                <w:right w:val="none" w:sz="0" w:space="0" w:color="auto"/>
              </w:divBdr>
            </w:div>
          </w:divsChild>
        </w:div>
        <w:div w:id="1428580232">
          <w:marLeft w:val="0"/>
          <w:marRight w:val="0"/>
          <w:marTop w:val="0"/>
          <w:marBottom w:val="0"/>
          <w:divBdr>
            <w:top w:val="none" w:sz="0" w:space="0" w:color="auto"/>
            <w:left w:val="none" w:sz="0" w:space="0" w:color="auto"/>
            <w:bottom w:val="none" w:sz="0" w:space="0" w:color="auto"/>
            <w:right w:val="none" w:sz="0" w:space="0" w:color="auto"/>
          </w:divBdr>
          <w:divsChild>
            <w:div w:id="1831864983">
              <w:marLeft w:val="0"/>
              <w:marRight w:val="0"/>
              <w:marTop w:val="0"/>
              <w:marBottom w:val="0"/>
              <w:divBdr>
                <w:top w:val="none" w:sz="0" w:space="0" w:color="auto"/>
                <w:left w:val="none" w:sz="0" w:space="0" w:color="auto"/>
                <w:bottom w:val="none" w:sz="0" w:space="0" w:color="auto"/>
                <w:right w:val="none" w:sz="0" w:space="0" w:color="auto"/>
              </w:divBdr>
            </w:div>
          </w:divsChild>
        </w:div>
        <w:div w:id="1446727439">
          <w:marLeft w:val="0"/>
          <w:marRight w:val="0"/>
          <w:marTop w:val="0"/>
          <w:marBottom w:val="0"/>
          <w:divBdr>
            <w:top w:val="none" w:sz="0" w:space="0" w:color="auto"/>
            <w:left w:val="none" w:sz="0" w:space="0" w:color="auto"/>
            <w:bottom w:val="none" w:sz="0" w:space="0" w:color="auto"/>
            <w:right w:val="none" w:sz="0" w:space="0" w:color="auto"/>
          </w:divBdr>
          <w:divsChild>
            <w:div w:id="1220241451">
              <w:marLeft w:val="0"/>
              <w:marRight w:val="0"/>
              <w:marTop w:val="0"/>
              <w:marBottom w:val="0"/>
              <w:divBdr>
                <w:top w:val="none" w:sz="0" w:space="0" w:color="auto"/>
                <w:left w:val="none" w:sz="0" w:space="0" w:color="auto"/>
                <w:bottom w:val="none" w:sz="0" w:space="0" w:color="auto"/>
                <w:right w:val="none" w:sz="0" w:space="0" w:color="auto"/>
              </w:divBdr>
            </w:div>
          </w:divsChild>
        </w:div>
        <w:div w:id="1446971720">
          <w:marLeft w:val="0"/>
          <w:marRight w:val="0"/>
          <w:marTop w:val="0"/>
          <w:marBottom w:val="0"/>
          <w:divBdr>
            <w:top w:val="none" w:sz="0" w:space="0" w:color="auto"/>
            <w:left w:val="none" w:sz="0" w:space="0" w:color="auto"/>
            <w:bottom w:val="none" w:sz="0" w:space="0" w:color="auto"/>
            <w:right w:val="none" w:sz="0" w:space="0" w:color="auto"/>
          </w:divBdr>
          <w:divsChild>
            <w:div w:id="2101676709">
              <w:marLeft w:val="0"/>
              <w:marRight w:val="0"/>
              <w:marTop w:val="0"/>
              <w:marBottom w:val="0"/>
              <w:divBdr>
                <w:top w:val="none" w:sz="0" w:space="0" w:color="auto"/>
                <w:left w:val="none" w:sz="0" w:space="0" w:color="auto"/>
                <w:bottom w:val="none" w:sz="0" w:space="0" w:color="auto"/>
                <w:right w:val="none" w:sz="0" w:space="0" w:color="auto"/>
              </w:divBdr>
            </w:div>
          </w:divsChild>
        </w:div>
        <w:div w:id="1453329553">
          <w:marLeft w:val="0"/>
          <w:marRight w:val="0"/>
          <w:marTop w:val="0"/>
          <w:marBottom w:val="0"/>
          <w:divBdr>
            <w:top w:val="none" w:sz="0" w:space="0" w:color="auto"/>
            <w:left w:val="none" w:sz="0" w:space="0" w:color="auto"/>
            <w:bottom w:val="none" w:sz="0" w:space="0" w:color="auto"/>
            <w:right w:val="none" w:sz="0" w:space="0" w:color="auto"/>
          </w:divBdr>
          <w:divsChild>
            <w:div w:id="316691214">
              <w:marLeft w:val="0"/>
              <w:marRight w:val="0"/>
              <w:marTop w:val="0"/>
              <w:marBottom w:val="0"/>
              <w:divBdr>
                <w:top w:val="none" w:sz="0" w:space="0" w:color="auto"/>
                <w:left w:val="none" w:sz="0" w:space="0" w:color="auto"/>
                <w:bottom w:val="none" w:sz="0" w:space="0" w:color="auto"/>
                <w:right w:val="none" w:sz="0" w:space="0" w:color="auto"/>
              </w:divBdr>
            </w:div>
          </w:divsChild>
        </w:div>
        <w:div w:id="1458523164">
          <w:marLeft w:val="0"/>
          <w:marRight w:val="0"/>
          <w:marTop w:val="0"/>
          <w:marBottom w:val="0"/>
          <w:divBdr>
            <w:top w:val="none" w:sz="0" w:space="0" w:color="auto"/>
            <w:left w:val="none" w:sz="0" w:space="0" w:color="auto"/>
            <w:bottom w:val="none" w:sz="0" w:space="0" w:color="auto"/>
            <w:right w:val="none" w:sz="0" w:space="0" w:color="auto"/>
          </w:divBdr>
          <w:divsChild>
            <w:div w:id="1059474476">
              <w:marLeft w:val="0"/>
              <w:marRight w:val="0"/>
              <w:marTop w:val="0"/>
              <w:marBottom w:val="0"/>
              <w:divBdr>
                <w:top w:val="none" w:sz="0" w:space="0" w:color="auto"/>
                <w:left w:val="none" w:sz="0" w:space="0" w:color="auto"/>
                <w:bottom w:val="none" w:sz="0" w:space="0" w:color="auto"/>
                <w:right w:val="none" w:sz="0" w:space="0" w:color="auto"/>
              </w:divBdr>
            </w:div>
          </w:divsChild>
        </w:div>
        <w:div w:id="1463765610">
          <w:marLeft w:val="0"/>
          <w:marRight w:val="0"/>
          <w:marTop w:val="0"/>
          <w:marBottom w:val="0"/>
          <w:divBdr>
            <w:top w:val="none" w:sz="0" w:space="0" w:color="auto"/>
            <w:left w:val="none" w:sz="0" w:space="0" w:color="auto"/>
            <w:bottom w:val="none" w:sz="0" w:space="0" w:color="auto"/>
            <w:right w:val="none" w:sz="0" w:space="0" w:color="auto"/>
          </w:divBdr>
          <w:divsChild>
            <w:div w:id="696467616">
              <w:marLeft w:val="0"/>
              <w:marRight w:val="0"/>
              <w:marTop w:val="0"/>
              <w:marBottom w:val="0"/>
              <w:divBdr>
                <w:top w:val="none" w:sz="0" w:space="0" w:color="auto"/>
                <w:left w:val="none" w:sz="0" w:space="0" w:color="auto"/>
                <w:bottom w:val="none" w:sz="0" w:space="0" w:color="auto"/>
                <w:right w:val="none" w:sz="0" w:space="0" w:color="auto"/>
              </w:divBdr>
            </w:div>
          </w:divsChild>
        </w:div>
        <w:div w:id="1483229382">
          <w:marLeft w:val="0"/>
          <w:marRight w:val="0"/>
          <w:marTop w:val="0"/>
          <w:marBottom w:val="0"/>
          <w:divBdr>
            <w:top w:val="none" w:sz="0" w:space="0" w:color="auto"/>
            <w:left w:val="none" w:sz="0" w:space="0" w:color="auto"/>
            <w:bottom w:val="none" w:sz="0" w:space="0" w:color="auto"/>
            <w:right w:val="none" w:sz="0" w:space="0" w:color="auto"/>
          </w:divBdr>
          <w:divsChild>
            <w:div w:id="1371606539">
              <w:marLeft w:val="0"/>
              <w:marRight w:val="0"/>
              <w:marTop w:val="0"/>
              <w:marBottom w:val="0"/>
              <w:divBdr>
                <w:top w:val="none" w:sz="0" w:space="0" w:color="auto"/>
                <w:left w:val="none" w:sz="0" w:space="0" w:color="auto"/>
                <w:bottom w:val="none" w:sz="0" w:space="0" w:color="auto"/>
                <w:right w:val="none" w:sz="0" w:space="0" w:color="auto"/>
              </w:divBdr>
            </w:div>
          </w:divsChild>
        </w:div>
        <w:div w:id="1489786069">
          <w:marLeft w:val="0"/>
          <w:marRight w:val="0"/>
          <w:marTop w:val="0"/>
          <w:marBottom w:val="0"/>
          <w:divBdr>
            <w:top w:val="none" w:sz="0" w:space="0" w:color="auto"/>
            <w:left w:val="none" w:sz="0" w:space="0" w:color="auto"/>
            <w:bottom w:val="none" w:sz="0" w:space="0" w:color="auto"/>
            <w:right w:val="none" w:sz="0" w:space="0" w:color="auto"/>
          </w:divBdr>
          <w:divsChild>
            <w:div w:id="1864049412">
              <w:marLeft w:val="0"/>
              <w:marRight w:val="0"/>
              <w:marTop w:val="0"/>
              <w:marBottom w:val="0"/>
              <w:divBdr>
                <w:top w:val="none" w:sz="0" w:space="0" w:color="auto"/>
                <w:left w:val="none" w:sz="0" w:space="0" w:color="auto"/>
                <w:bottom w:val="none" w:sz="0" w:space="0" w:color="auto"/>
                <w:right w:val="none" w:sz="0" w:space="0" w:color="auto"/>
              </w:divBdr>
            </w:div>
          </w:divsChild>
        </w:div>
        <w:div w:id="1503231957">
          <w:marLeft w:val="0"/>
          <w:marRight w:val="0"/>
          <w:marTop w:val="0"/>
          <w:marBottom w:val="0"/>
          <w:divBdr>
            <w:top w:val="none" w:sz="0" w:space="0" w:color="auto"/>
            <w:left w:val="none" w:sz="0" w:space="0" w:color="auto"/>
            <w:bottom w:val="none" w:sz="0" w:space="0" w:color="auto"/>
            <w:right w:val="none" w:sz="0" w:space="0" w:color="auto"/>
          </w:divBdr>
          <w:divsChild>
            <w:div w:id="651299963">
              <w:marLeft w:val="0"/>
              <w:marRight w:val="0"/>
              <w:marTop w:val="0"/>
              <w:marBottom w:val="0"/>
              <w:divBdr>
                <w:top w:val="none" w:sz="0" w:space="0" w:color="auto"/>
                <w:left w:val="none" w:sz="0" w:space="0" w:color="auto"/>
                <w:bottom w:val="none" w:sz="0" w:space="0" w:color="auto"/>
                <w:right w:val="none" w:sz="0" w:space="0" w:color="auto"/>
              </w:divBdr>
            </w:div>
          </w:divsChild>
        </w:div>
        <w:div w:id="1508983239">
          <w:marLeft w:val="0"/>
          <w:marRight w:val="0"/>
          <w:marTop w:val="0"/>
          <w:marBottom w:val="0"/>
          <w:divBdr>
            <w:top w:val="none" w:sz="0" w:space="0" w:color="auto"/>
            <w:left w:val="none" w:sz="0" w:space="0" w:color="auto"/>
            <w:bottom w:val="none" w:sz="0" w:space="0" w:color="auto"/>
            <w:right w:val="none" w:sz="0" w:space="0" w:color="auto"/>
          </w:divBdr>
          <w:divsChild>
            <w:div w:id="973097511">
              <w:marLeft w:val="0"/>
              <w:marRight w:val="0"/>
              <w:marTop w:val="0"/>
              <w:marBottom w:val="0"/>
              <w:divBdr>
                <w:top w:val="none" w:sz="0" w:space="0" w:color="auto"/>
                <w:left w:val="none" w:sz="0" w:space="0" w:color="auto"/>
                <w:bottom w:val="none" w:sz="0" w:space="0" w:color="auto"/>
                <w:right w:val="none" w:sz="0" w:space="0" w:color="auto"/>
              </w:divBdr>
            </w:div>
          </w:divsChild>
        </w:div>
        <w:div w:id="1552376081">
          <w:marLeft w:val="0"/>
          <w:marRight w:val="0"/>
          <w:marTop w:val="0"/>
          <w:marBottom w:val="0"/>
          <w:divBdr>
            <w:top w:val="none" w:sz="0" w:space="0" w:color="auto"/>
            <w:left w:val="none" w:sz="0" w:space="0" w:color="auto"/>
            <w:bottom w:val="none" w:sz="0" w:space="0" w:color="auto"/>
            <w:right w:val="none" w:sz="0" w:space="0" w:color="auto"/>
          </w:divBdr>
          <w:divsChild>
            <w:div w:id="1117913397">
              <w:marLeft w:val="0"/>
              <w:marRight w:val="0"/>
              <w:marTop w:val="0"/>
              <w:marBottom w:val="0"/>
              <w:divBdr>
                <w:top w:val="none" w:sz="0" w:space="0" w:color="auto"/>
                <w:left w:val="none" w:sz="0" w:space="0" w:color="auto"/>
                <w:bottom w:val="none" w:sz="0" w:space="0" w:color="auto"/>
                <w:right w:val="none" w:sz="0" w:space="0" w:color="auto"/>
              </w:divBdr>
            </w:div>
          </w:divsChild>
        </w:div>
        <w:div w:id="1576893573">
          <w:marLeft w:val="0"/>
          <w:marRight w:val="0"/>
          <w:marTop w:val="0"/>
          <w:marBottom w:val="0"/>
          <w:divBdr>
            <w:top w:val="none" w:sz="0" w:space="0" w:color="auto"/>
            <w:left w:val="none" w:sz="0" w:space="0" w:color="auto"/>
            <w:bottom w:val="none" w:sz="0" w:space="0" w:color="auto"/>
            <w:right w:val="none" w:sz="0" w:space="0" w:color="auto"/>
          </w:divBdr>
          <w:divsChild>
            <w:div w:id="1508205807">
              <w:marLeft w:val="0"/>
              <w:marRight w:val="0"/>
              <w:marTop w:val="0"/>
              <w:marBottom w:val="0"/>
              <w:divBdr>
                <w:top w:val="none" w:sz="0" w:space="0" w:color="auto"/>
                <w:left w:val="none" w:sz="0" w:space="0" w:color="auto"/>
                <w:bottom w:val="none" w:sz="0" w:space="0" w:color="auto"/>
                <w:right w:val="none" w:sz="0" w:space="0" w:color="auto"/>
              </w:divBdr>
            </w:div>
          </w:divsChild>
        </w:div>
        <w:div w:id="1577591182">
          <w:marLeft w:val="0"/>
          <w:marRight w:val="0"/>
          <w:marTop w:val="0"/>
          <w:marBottom w:val="0"/>
          <w:divBdr>
            <w:top w:val="none" w:sz="0" w:space="0" w:color="auto"/>
            <w:left w:val="none" w:sz="0" w:space="0" w:color="auto"/>
            <w:bottom w:val="none" w:sz="0" w:space="0" w:color="auto"/>
            <w:right w:val="none" w:sz="0" w:space="0" w:color="auto"/>
          </w:divBdr>
          <w:divsChild>
            <w:div w:id="912786141">
              <w:marLeft w:val="0"/>
              <w:marRight w:val="0"/>
              <w:marTop w:val="0"/>
              <w:marBottom w:val="0"/>
              <w:divBdr>
                <w:top w:val="none" w:sz="0" w:space="0" w:color="auto"/>
                <w:left w:val="none" w:sz="0" w:space="0" w:color="auto"/>
                <w:bottom w:val="none" w:sz="0" w:space="0" w:color="auto"/>
                <w:right w:val="none" w:sz="0" w:space="0" w:color="auto"/>
              </w:divBdr>
            </w:div>
          </w:divsChild>
        </w:div>
        <w:div w:id="1591695465">
          <w:marLeft w:val="0"/>
          <w:marRight w:val="0"/>
          <w:marTop w:val="0"/>
          <w:marBottom w:val="0"/>
          <w:divBdr>
            <w:top w:val="none" w:sz="0" w:space="0" w:color="auto"/>
            <w:left w:val="none" w:sz="0" w:space="0" w:color="auto"/>
            <w:bottom w:val="none" w:sz="0" w:space="0" w:color="auto"/>
            <w:right w:val="none" w:sz="0" w:space="0" w:color="auto"/>
          </w:divBdr>
          <w:divsChild>
            <w:div w:id="1604193033">
              <w:marLeft w:val="0"/>
              <w:marRight w:val="0"/>
              <w:marTop w:val="0"/>
              <w:marBottom w:val="0"/>
              <w:divBdr>
                <w:top w:val="none" w:sz="0" w:space="0" w:color="auto"/>
                <w:left w:val="none" w:sz="0" w:space="0" w:color="auto"/>
                <w:bottom w:val="none" w:sz="0" w:space="0" w:color="auto"/>
                <w:right w:val="none" w:sz="0" w:space="0" w:color="auto"/>
              </w:divBdr>
            </w:div>
          </w:divsChild>
        </w:div>
        <w:div w:id="1597323158">
          <w:marLeft w:val="0"/>
          <w:marRight w:val="0"/>
          <w:marTop w:val="0"/>
          <w:marBottom w:val="0"/>
          <w:divBdr>
            <w:top w:val="none" w:sz="0" w:space="0" w:color="auto"/>
            <w:left w:val="none" w:sz="0" w:space="0" w:color="auto"/>
            <w:bottom w:val="none" w:sz="0" w:space="0" w:color="auto"/>
            <w:right w:val="none" w:sz="0" w:space="0" w:color="auto"/>
          </w:divBdr>
          <w:divsChild>
            <w:div w:id="1258758319">
              <w:marLeft w:val="0"/>
              <w:marRight w:val="0"/>
              <w:marTop w:val="0"/>
              <w:marBottom w:val="0"/>
              <w:divBdr>
                <w:top w:val="none" w:sz="0" w:space="0" w:color="auto"/>
                <w:left w:val="none" w:sz="0" w:space="0" w:color="auto"/>
                <w:bottom w:val="none" w:sz="0" w:space="0" w:color="auto"/>
                <w:right w:val="none" w:sz="0" w:space="0" w:color="auto"/>
              </w:divBdr>
            </w:div>
          </w:divsChild>
        </w:div>
        <w:div w:id="1615209997">
          <w:marLeft w:val="0"/>
          <w:marRight w:val="0"/>
          <w:marTop w:val="0"/>
          <w:marBottom w:val="0"/>
          <w:divBdr>
            <w:top w:val="none" w:sz="0" w:space="0" w:color="auto"/>
            <w:left w:val="none" w:sz="0" w:space="0" w:color="auto"/>
            <w:bottom w:val="none" w:sz="0" w:space="0" w:color="auto"/>
            <w:right w:val="none" w:sz="0" w:space="0" w:color="auto"/>
          </w:divBdr>
          <w:divsChild>
            <w:div w:id="461702110">
              <w:marLeft w:val="0"/>
              <w:marRight w:val="0"/>
              <w:marTop w:val="0"/>
              <w:marBottom w:val="0"/>
              <w:divBdr>
                <w:top w:val="none" w:sz="0" w:space="0" w:color="auto"/>
                <w:left w:val="none" w:sz="0" w:space="0" w:color="auto"/>
                <w:bottom w:val="none" w:sz="0" w:space="0" w:color="auto"/>
                <w:right w:val="none" w:sz="0" w:space="0" w:color="auto"/>
              </w:divBdr>
            </w:div>
          </w:divsChild>
        </w:div>
        <w:div w:id="1616400673">
          <w:marLeft w:val="0"/>
          <w:marRight w:val="0"/>
          <w:marTop w:val="0"/>
          <w:marBottom w:val="0"/>
          <w:divBdr>
            <w:top w:val="none" w:sz="0" w:space="0" w:color="auto"/>
            <w:left w:val="none" w:sz="0" w:space="0" w:color="auto"/>
            <w:bottom w:val="none" w:sz="0" w:space="0" w:color="auto"/>
            <w:right w:val="none" w:sz="0" w:space="0" w:color="auto"/>
          </w:divBdr>
          <w:divsChild>
            <w:div w:id="1206024787">
              <w:marLeft w:val="0"/>
              <w:marRight w:val="0"/>
              <w:marTop w:val="0"/>
              <w:marBottom w:val="0"/>
              <w:divBdr>
                <w:top w:val="none" w:sz="0" w:space="0" w:color="auto"/>
                <w:left w:val="none" w:sz="0" w:space="0" w:color="auto"/>
                <w:bottom w:val="none" w:sz="0" w:space="0" w:color="auto"/>
                <w:right w:val="none" w:sz="0" w:space="0" w:color="auto"/>
              </w:divBdr>
            </w:div>
          </w:divsChild>
        </w:div>
        <w:div w:id="1617255927">
          <w:marLeft w:val="0"/>
          <w:marRight w:val="0"/>
          <w:marTop w:val="0"/>
          <w:marBottom w:val="0"/>
          <w:divBdr>
            <w:top w:val="none" w:sz="0" w:space="0" w:color="auto"/>
            <w:left w:val="none" w:sz="0" w:space="0" w:color="auto"/>
            <w:bottom w:val="none" w:sz="0" w:space="0" w:color="auto"/>
            <w:right w:val="none" w:sz="0" w:space="0" w:color="auto"/>
          </w:divBdr>
          <w:divsChild>
            <w:div w:id="308095004">
              <w:marLeft w:val="0"/>
              <w:marRight w:val="0"/>
              <w:marTop w:val="0"/>
              <w:marBottom w:val="0"/>
              <w:divBdr>
                <w:top w:val="none" w:sz="0" w:space="0" w:color="auto"/>
                <w:left w:val="none" w:sz="0" w:space="0" w:color="auto"/>
                <w:bottom w:val="none" w:sz="0" w:space="0" w:color="auto"/>
                <w:right w:val="none" w:sz="0" w:space="0" w:color="auto"/>
              </w:divBdr>
            </w:div>
          </w:divsChild>
        </w:div>
        <w:div w:id="1622616774">
          <w:marLeft w:val="0"/>
          <w:marRight w:val="0"/>
          <w:marTop w:val="0"/>
          <w:marBottom w:val="0"/>
          <w:divBdr>
            <w:top w:val="none" w:sz="0" w:space="0" w:color="auto"/>
            <w:left w:val="none" w:sz="0" w:space="0" w:color="auto"/>
            <w:bottom w:val="none" w:sz="0" w:space="0" w:color="auto"/>
            <w:right w:val="none" w:sz="0" w:space="0" w:color="auto"/>
          </w:divBdr>
          <w:divsChild>
            <w:div w:id="1139569671">
              <w:marLeft w:val="0"/>
              <w:marRight w:val="0"/>
              <w:marTop w:val="0"/>
              <w:marBottom w:val="0"/>
              <w:divBdr>
                <w:top w:val="none" w:sz="0" w:space="0" w:color="auto"/>
                <w:left w:val="none" w:sz="0" w:space="0" w:color="auto"/>
                <w:bottom w:val="none" w:sz="0" w:space="0" w:color="auto"/>
                <w:right w:val="none" w:sz="0" w:space="0" w:color="auto"/>
              </w:divBdr>
            </w:div>
          </w:divsChild>
        </w:div>
        <w:div w:id="1628970458">
          <w:marLeft w:val="0"/>
          <w:marRight w:val="0"/>
          <w:marTop w:val="0"/>
          <w:marBottom w:val="0"/>
          <w:divBdr>
            <w:top w:val="none" w:sz="0" w:space="0" w:color="auto"/>
            <w:left w:val="none" w:sz="0" w:space="0" w:color="auto"/>
            <w:bottom w:val="none" w:sz="0" w:space="0" w:color="auto"/>
            <w:right w:val="none" w:sz="0" w:space="0" w:color="auto"/>
          </w:divBdr>
          <w:divsChild>
            <w:div w:id="1836871400">
              <w:marLeft w:val="0"/>
              <w:marRight w:val="0"/>
              <w:marTop w:val="0"/>
              <w:marBottom w:val="0"/>
              <w:divBdr>
                <w:top w:val="none" w:sz="0" w:space="0" w:color="auto"/>
                <w:left w:val="none" w:sz="0" w:space="0" w:color="auto"/>
                <w:bottom w:val="none" w:sz="0" w:space="0" w:color="auto"/>
                <w:right w:val="none" w:sz="0" w:space="0" w:color="auto"/>
              </w:divBdr>
            </w:div>
          </w:divsChild>
        </w:div>
        <w:div w:id="1662386644">
          <w:marLeft w:val="0"/>
          <w:marRight w:val="0"/>
          <w:marTop w:val="0"/>
          <w:marBottom w:val="0"/>
          <w:divBdr>
            <w:top w:val="none" w:sz="0" w:space="0" w:color="auto"/>
            <w:left w:val="none" w:sz="0" w:space="0" w:color="auto"/>
            <w:bottom w:val="none" w:sz="0" w:space="0" w:color="auto"/>
            <w:right w:val="none" w:sz="0" w:space="0" w:color="auto"/>
          </w:divBdr>
          <w:divsChild>
            <w:div w:id="1694458082">
              <w:marLeft w:val="0"/>
              <w:marRight w:val="0"/>
              <w:marTop w:val="0"/>
              <w:marBottom w:val="0"/>
              <w:divBdr>
                <w:top w:val="none" w:sz="0" w:space="0" w:color="auto"/>
                <w:left w:val="none" w:sz="0" w:space="0" w:color="auto"/>
                <w:bottom w:val="none" w:sz="0" w:space="0" w:color="auto"/>
                <w:right w:val="none" w:sz="0" w:space="0" w:color="auto"/>
              </w:divBdr>
            </w:div>
          </w:divsChild>
        </w:div>
        <w:div w:id="1671833777">
          <w:marLeft w:val="0"/>
          <w:marRight w:val="0"/>
          <w:marTop w:val="0"/>
          <w:marBottom w:val="0"/>
          <w:divBdr>
            <w:top w:val="none" w:sz="0" w:space="0" w:color="auto"/>
            <w:left w:val="none" w:sz="0" w:space="0" w:color="auto"/>
            <w:bottom w:val="none" w:sz="0" w:space="0" w:color="auto"/>
            <w:right w:val="none" w:sz="0" w:space="0" w:color="auto"/>
          </w:divBdr>
          <w:divsChild>
            <w:div w:id="1763406318">
              <w:marLeft w:val="0"/>
              <w:marRight w:val="0"/>
              <w:marTop w:val="0"/>
              <w:marBottom w:val="0"/>
              <w:divBdr>
                <w:top w:val="none" w:sz="0" w:space="0" w:color="auto"/>
                <w:left w:val="none" w:sz="0" w:space="0" w:color="auto"/>
                <w:bottom w:val="none" w:sz="0" w:space="0" w:color="auto"/>
                <w:right w:val="none" w:sz="0" w:space="0" w:color="auto"/>
              </w:divBdr>
            </w:div>
          </w:divsChild>
        </w:div>
        <w:div w:id="1675914268">
          <w:marLeft w:val="0"/>
          <w:marRight w:val="0"/>
          <w:marTop w:val="0"/>
          <w:marBottom w:val="0"/>
          <w:divBdr>
            <w:top w:val="none" w:sz="0" w:space="0" w:color="auto"/>
            <w:left w:val="none" w:sz="0" w:space="0" w:color="auto"/>
            <w:bottom w:val="none" w:sz="0" w:space="0" w:color="auto"/>
            <w:right w:val="none" w:sz="0" w:space="0" w:color="auto"/>
          </w:divBdr>
          <w:divsChild>
            <w:div w:id="342053252">
              <w:marLeft w:val="0"/>
              <w:marRight w:val="0"/>
              <w:marTop w:val="0"/>
              <w:marBottom w:val="0"/>
              <w:divBdr>
                <w:top w:val="none" w:sz="0" w:space="0" w:color="auto"/>
                <w:left w:val="none" w:sz="0" w:space="0" w:color="auto"/>
                <w:bottom w:val="none" w:sz="0" w:space="0" w:color="auto"/>
                <w:right w:val="none" w:sz="0" w:space="0" w:color="auto"/>
              </w:divBdr>
            </w:div>
          </w:divsChild>
        </w:div>
        <w:div w:id="1679040532">
          <w:marLeft w:val="0"/>
          <w:marRight w:val="0"/>
          <w:marTop w:val="0"/>
          <w:marBottom w:val="0"/>
          <w:divBdr>
            <w:top w:val="none" w:sz="0" w:space="0" w:color="auto"/>
            <w:left w:val="none" w:sz="0" w:space="0" w:color="auto"/>
            <w:bottom w:val="none" w:sz="0" w:space="0" w:color="auto"/>
            <w:right w:val="none" w:sz="0" w:space="0" w:color="auto"/>
          </w:divBdr>
          <w:divsChild>
            <w:div w:id="1102989063">
              <w:marLeft w:val="0"/>
              <w:marRight w:val="0"/>
              <w:marTop w:val="0"/>
              <w:marBottom w:val="0"/>
              <w:divBdr>
                <w:top w:val="none" w:sz="0" w:space="0" w:color="auto"/>
                <w:left w:val="none" w:sz="0" w:space="0" w:color="auto"/>
                <w:bottom w:val="none" w:sz="0" w:space="0" w:color="auto"/>
                <w:right w:val="none" w:sz="0" w:space="0" w:color="auto"/>
              </w:divBdr>
            </w:div>
          </w:divsChild>
        </w:div>
        <w:div w:id="1683774518">
          <w:marLeft w:val="0"/>
          <w:marRight w:val="0"/>
          <w:marTop w:val="0"/>
          <w:marBottom w:val="0"/>
          <w:divBdr>
            <w:top w:val="none" w:sz="0" w:space="0" w:color="auto"/>
            <w:left w:val="none" w:sz="0" w:space="0" w:color="auto"/>
            <w:bottom w:val="none" w:sz="0" w:space="0" w:color="auto"/>
            <w:right w:val="none" w:sz="0" w:space="0" w:color="auto"/>
          </w:divBdr>
          <w:divsChild>
            <w:div w:id="1649356869">
              <w:marLeft w:val="0"/>
              <w:marRight w:val="0"/>
              <w:marTop w:val="0"/>
              <w:marBottom w:val="0"/>
              <w:divBdr>
                <w:top w:val="none" w:sz="0" w:space="0" w:color="auto"/>
                <w:left w:val="none" w:sz="0" w:space="0" w:color="auto"/>
                <w:bottom w:val="none" w:sz="0" w:space="0" w:color="auto"/>
                <w:right w:val="none" w:sz="0" w:space="0" w:color="auto"/>
              </w:divBdr>
            </w:div>
          </w:divsChild>
        </w:div>
        <w:div w:id="1690597966">
          <w:marLeft w:val="0"/>
          <w:marRight w:val="0"/>
          <w:marTop w:val="0"/>
          <w:marBottom w:val="0"/>
          <w:divBdr>
            <w:top w:val="none" w:sz="0" w:space="0" w:color="auto"/>
            <w:left w:val="none" w:sz="0" w:space="0" w:color="auto"/>
            <w:bottom w:val="none" w:sz="0" w:space="0" w:color="auto"/>
            <w:right w:val="none" w:sz="0" w:space="0" w:color="auto"/>
          </w:divBdr>
          <w:divsChild>
            <w:div w:id="1307052979">
              <w:marLeft w:val="0"/>
              <w:marRight w:val="0"/>
              <w:marTop w:val="0"/>
              <w:marBottom w:val="0"/>
              <w:divBdr>
                <w:top w:val="none" w:sz="0" w:space="0" w:color="auto"/>
                <w:left w:val="none" w:sz="0" w:space="0" w:color="auto"/>
                <w:bottom w:val="none" w:sz="0" w:space="0" w:color="auto"/>
                <w:right w:val="none" w:sz="0" w:space="0" w:color="auto"/>
              </w:divBdr>
            </w:div>
          </w:divsChild>
        </w:div>
        <w:div w:id="1706174882">
          <w:marLeft w:val="0"/>
          <w:marRight w:val="0"/>
          <w:marTop w:val="0"/>
          <w:marBottom w:val="0"/>
          <w:divBdr>
            <w:top w:val="none" w:sz="0" w:space="0" w:color="auto"/>
            <w:left w:val="none" w:sz="0" w:space="0" w:color="auto"/>
            <w:bottom w:val="none" w:sz="0" w:space="0" w:color="auto"/>
            <w:right w:val="none" w:sz="0" w:space="0" w:color="auto"/>
          </w:divBdr>
          <w:divsChild>
            <w:div w:id="1141188623">
              <w:marLeft w:val="0"/>
              <w:marRight w:val="0"/>
              <w:marTop w:val="0"/>
              <w:marBottom w:val="0"/>
              <w:divBdr>
                <w:top w:val="none" w:sz="0" w:space="0" w:color="auto"/>
                <w:left w:val="none" w:sz="0" w:space="0" w:color="auto"/>
                <w:bottom w:val="none" w:sz="0" w:space="0" w:color="auto"/>
                <w:right w:val="none" w:sz="0" w:space="0" w:color="auto"/>
              </w:divBdr>
            </w:div>
          </w:divsChild>
        </w:div>
        <w:div w:id="1712150150">
          <w:marLeft w:val="0"/>
          <w:marRight w:val="0"/>
          <w:marTop w:val="0"/>
          <w:marBottom w:val="0"/>
          <w:divBdr>
            <w:top w:val="none" w:sz="0" w:space="0" w:color="auto"/>
            <w:left w:val="none" w:sz="0" w:space="0" w:color="auto"/>
            <w:bottom w:val="none" w:sz="0" w:space="0" w:color="auto"/>
            <w:right w:val="none" w:sz="0" w:space="0" w:color="auto"/>
          </w:divBdr>
          <w:divsChild>
            <w:div w:id="1936282589">
              <w:marLeft w:val="0"/>
              <w:marRight w:val="0"/>
              <w:marTop w:val="0"/>
              <w:marBottom w:val="0"/>
              <w:divBdr>
                <w:top w:val="none" w:sz="0" w:space="0" w:color="auto"/>
                <w:left w:val="none" w:sz="0" w:space="0" w:color="auto"/>
                <w:bottom w:val="none" w:sz="0" w:space="0" w:color="auto"/>
                <w:right w:val="none" w:sz="0" w:space="0" w:color="auto"/>
              </w:divBdr>
            </w:div>
          </w:divsChild>
        </w:div>
        <w:div w:id="1713655764">
          <w:marLeft w:val="0"/>
          <w:marRight w:val="0"/>
          <w:marTop w:val="0"/>
          <w:marBottom w:val="0"/>
          <w:divBdr>
            <w:top w:val="none" w:sz="0" w:space="0" w:color="auto"/>
            <w:left w:val="none" w:sz="0" w:space="0" w:color="auto"/>
            <w:bottom w:val="none" w:sz="0" w:space="0" w:color="auto"/>
            <w:right w:val="none" w:sz="0" w:space="0" w:color="auto"/>
          </w:divBdr>
          <w:divsChild>
            <w:div w:id="119810731">
              <w:marLeft w:val="0"/>
              <w:marRight w:val="0"/>
              <w:marTop w:val="0"/>
              <w:marBottom w:val="0"/>
              <w:divBdr>
                <w:top w:val="none" w:sz="0" w:space="0" w:color="auto"/>
                <w:left w:val="none" w:sz="0" w:space="0" w:color="auto"/>
                <w:bottom w:val="none" w:sz="0" w:space="0" w:color="auto"/>
                <w:right w:val="none" w:sz="0" w:space="0" w:color="auto"/>
              </w:divBdr>
            </w:div>
          </w:divsChild>
        </w:div>
        <w:div w:id="1715420980">
          <w:marLeft w:val="0"/>
          <w:marRight w:val="0"/>
          <w:marTop w:val="0"/>
          <w:marBottom w:val="0"/>
          <w:divBdr>
            <w:top w:val="none" w:sz="0" w:space="0" w:color="auto"/>
            <w:left w:val="none" w:sz="0" w:space="0" w:color="auto"/>
            <w:bottom w:val="none" w:sz="0" w:space="0" w:color="auto"/>
            <w:right w:val="none" w:sz="0" w:space="0" w:color="auto"/>
          </w:divBdr>
          <w:divsChild>
            <w:div w:id="1171798913">
              <w:marLeft w:val="0"/>
              <w:marRight w:val="0"/>
              <w:marTop w:val="0"/>
              <w:marBottom w:val="0"/>
              <w:divBdr>
                <w:top w:val="none" w:sz="0" w:space="0" w:color="auto"/>
                <w:left w:val="none" w:sz="0" w:space="0" w:color="auto"/>
                <w:bottom w:val="none" w:sz="0" w:space="0" w:color="auto"/>
                <w:right w:val="none" w:sz="0" w:space="0" w:color="auto"/>
              </w:divBdr>
            </w:div>
          </w:divsChild>
        </w:div>
        <w:div w:id="1747920100">
          <w:marLeft w:val="0"/>
          <w:marRight w:val="0"/>
          <w:marTop w:val="0"/>
          <w:marBottom w:val="0"/>
          <w:divBdr>
            <w:top w:val="none" w:sz="0" w:space="0" w:color="auto"/>
            <w:left w:val="none" w:sz="0" w:space="0" w:color="auto"/>
            <w:bottom w:val="none" w:sz="0" w:space="0" w:color="auto"/>
            <w:right w:val="none" w:sz="0" w:space="0" w:color="auto"/>
          </w:divBdr>
          <w:divsChild>
            <w:div w:id="591014250">
              <w:marLeft w:val="0"/>
              <w:marRight w:val="0"/>
              <w:marTop w:val="0"/>
              <w:marBottom w:val="0"/>
              <w:divBdr>
                <w:top w:val="none" w:sz="0" w:space="0" w:color="auto"/>
                <w:left w:val="none" w:sz="0" w:space="0" w:color="auto"/>
                <w:bottom w:val="none" w:sz="0" w:space="0" w:color="auto"/>
                <w:right w:val="none" w:sz="0" w:space="0" w:color="auto"/>
              </w:divBdr>
            </w:div>
          </w:divsChild>
        </w:div>
        <w:div w:id="1753352756">
          <w:marLeft w:val="0"/>
          <w:marRight w:val="0"/>
          <w:marTop w:val="0"/>
          <w:marBottom w:val="0"/>
          <w:divBdr>
            <w:top w:val="none" w:sz="0" w:space="0" w:color="auto"/>
            <w:left w:val="none" w:sz="0" w:space="0" w:color="auto"/>
            <w:bottom w:val="none" w:sz="0" w:space="0" w:color="auto"/>
            <w:right w:val="none" w:sz="0" w:space="0" w:color="auto"/>
          </w:divBdr>
          <w:divsChild>
            <w:div w:id="1158881945">
              <w:marLeft w:val="0"/>
              <w:marRight w:val="0"/>
              <w:marTop w:val="0"/>
              <w:marBottom w:val="0"/>
              <w:divBdr>
                <w:top w:val="none" w:sz="0" w:space="0" w:color="auto"/>
                <w:left w:val="none" w:sz="0" w:space="0" w:color="auto"/>
                <w:bottom w:val="none" w:sz="0" w:space="0" w:color="auto"/>
                <w:right w:val="none" w:sz="0" w:space="0" w:color="auto"/>
              </w:divBdr>
            </w:div>
          </w:divsChild>
        </w:div>
        <w:div w:id="1761096729">
          <w:marLeft w:val="0"/>
          <w:marRight w:val="0"/>
          <w:marTop w:val="0"/>
          <w:marBottom w:val="0"/>
          <w:divBdr>
            <w:top w:val="none" w:sz="0" w:space="0" w:color="auto"/>
            <w:left w:val="none" w:sz="0" w:space="0" w:color="auto"/>
            <w:bottom w:val="none" w:sz="0" w:space="0" w:color="auto"/>
            <w:right w:val="none" w:sz="0" w:space="0" w:color="auto"/>
          </w:divBdr>
          <w:divsChild>
            <w:div w:id="52698233">
              <w:marLeft w:val="0"/>
              <w:marRight w:val="0"/>
              <w:marTop w:val="0"/>
              <w:marBottom w:val="0"/>
              <w:divBdr>
                <w:top w:val="none" w:sz="0" w:space="0" w:color="auto"/>
                <w:left w:val="none" w:sz="0" w:space="0" w:color="auto"/>
                <w:bottom w:val="none" w:sz="0" w:space="0" w:color="auto"/>
                <w:right w:val="none" w:sz="0" w:space="0" w:color="auto"/>
              </w:divBdr>
            </w:div>
          </w:divsChild>
        </w:div>
        <w:div w:id="1767580170">
          <w:marLeft w:val="0"/>
          <w:marRight w:val="0"/>
          <w:marTop w:val="0"/>
          <w:marBottom w:val="0"/>
          <w:divBdr>
            <w:top w:val="none" w:sz="0" w:space="0" w:color="auto"/>
            <w:left w:val="none" w:sz="0" w:space="0" w:color="auto"/>
            <w:bottom w:val="none" w:sz="0" w:space="0" w:color="auto"/>
            <w:right w:val="none" w:sz="0" w:space="0" w:color="auto"/>
          </w:divBdr>
          <w:divsChild>
            <w:div w:id="1631590334">
              <w:marLeft w:val="0"/>
              <w:marRight w:val="0"/>
              <w:marTop w:val="0"/>
              <w:marBottom w:val="0"/>
              <w:divBdr>
                <w:top w:val="none" w:sz="0" w:space="0" w:color="auto"/>
                <w:left w:val="none" w:sz="0" w:space="0" w:color="auto"/>
                <w:bottom w:val="none" w:sz="0" w:space="0" w:color="auto"/>
                <w:right w:val="none" w:sz="0" w:space="0" w:color="auto"/>
              </w:divBdr>
            </w:div>
          </w:divsChild>
        </w:div>
        <w:div w:id="1779979765">
          <w:marLeft w:val="0"/>
          <w:marRight w:val="0"/>
          <w:marTop w:val="0"/>
          <w:marBottom w:val="0"/>
          <w:divBdr>
            <w:top w:val="none" w:sz="0" w:space="0" w:color="auto"/>
            <w:left w:val="none" w:sz="0" w:space="0" w:color="auto"/>
            <w:bottom w:val="none" w:sz="0" w:space="0" w:color="auto"/>
            <w:right w:val="none" w:sz="0" w:space="0" w:color="auto"/>
          </w:divBdr>
          <w:divsChild>
            <w:div w:id="309136851">
              <w:marLeft w:val="0"/>
              <w:marRight w:val="0"/>
              <w:marTop w:val="0"/>
              <w:marBottom w:val="0"/>
              <w:divBdr>
                <w:top w:val="none" w:sz="0" w:space="0" w:color="auto"/>
                <w:left w:val="none" w:sz="0" w:space="0" w:color="auto"/>
                <w:bottom w:val="none" w:sz="0" w:space="0" w:color="auto"/>
                <w:right w:val="none" w:sz="0" w:space="0" w:color="auto"/>
              </w:divBdr>
            </w:div>
          </w:divsChild>
        </w:div>
        <w:div w:id="1783913339">
          <w:marLeft w:val="0"/>
          <w:marRight w:val="0"/>
          <w:marTop w:val="0"/>
          <w:marBottom w:val="0"/>
          <w:divBdr>
            <w:top w:val="none" w:sz="0" w:space="0" w:color="auto"/>
            <w:left w:val="none" w:sz="0" w:space="0" w:color="auto"/>
            <w:bottom w:val="none" w:sz="0" w:space="0" w:color="auto"/>
            <w:right w:val="none" w:sz="0" w:space="0" w:color="auto"/>
          </w:divBdr>
          <w:divsChild>
            <w:div w:id="1042824309">
              <w:marLeft w:val="0"/>
              <w:marRight w:val="0"/>
              <w:marTop w:val="0"/>
              <w:marBottom w:val="0"/>
              <w:divBdr>
                <w:top w:val="none" w:sz="0" w:space="0" w:color="auto"/>
                <w:left w:val="none" w:sz="0" w:space="0" w:color="auto"/>
                <w:bottom w:val="none" w:sz="0" w:space="0" w:color="auto"/>
                <w:right w:val="none" w:sz="0" w:space="0" w:color="auto"/>
              </w:divBdr>
            </w:div>
          </w:divsChild>
        </w:div>
        <w:div w:id="1805655329">
          <w:marLeft w:val="0"/>
          <w:marRight w:val="0"/>
          <w:marTop w:val="0"/>
          <w:marBottom w:val="0"/>
          <w:divBdr>
            <w:top w:val="none" w:sz="0" w:space="0" w:color="auto"/>
            <w:left w:val="none" w:sz="0" w:space="0" w:color="auto"/>
            <w:bottom w:val="none" w:sz="0" w:space="0" w:color="auto"/>
            <w:right w:val="none" w:sz="0" w:space="0" w:color="auto"/>
          </w:divBdr>
          <w:divsChild>
            <w:div w:id="2022270002">
              <w:marLeft w:val="0"/>
              <w:marRight w:val="0"/>
              <w:marTop w:val="0"/>
              <w:marBottom w:val="0"/>
              <w:divBdr>
                <w:top w:val="none" w:sz="0" w:space="0" w:color="auto"/>
                <w:left w:val="none" w:sz="0" w:space="0" w:color="auto"/>
                <w:bottom w:val="none" w:sz="0" w:space="0" w:color="auto"/>
                <w:right w:val="none" w:sz="0" w:space="0" w:color="auto"/>
              </w:divBdr>
            </w:div>
          </w:divsChild>
        </w:div>
        <w:div w:id="1811285996">
          <w:marLeft w:val="0"/>
          <w:marRight w:val="0"/>
          <w:marTop w:val="0"/>
          <w:marBottom w:val="0"/>
          <w:divBdr>
            <w:top w:val="none" w:sz="0" w:space="0" w:color="auto"/>
            <w:left w:val="none" w:sz="0" w:space="0" w:color="auto"/>
            <w:bottom w:val="none" w:sz="0" w:space="0" w:color="auto"/>
            <w:right w:val="none" w:sz="0" w:space="0" w:color="auto"/>
          </w:divBdr>
          <w:divsChild>
            <w:div w:id="1051419511">
              <w:marLeft w:val="0"/>
              <w:marRight w:val="0"/>
              <w:marTop w:val="0"/>
              <w:marBottom w:val="0"/>
              <w:divBdr>
                <w:top w:val="none" w:sz="0" w:space="0" w:color="auto"/>
                <w:left w:val="none" w:sz="0" w:space="0" w:color="auto"/>
                <w:bottom w:val="none" w:sz="0" w:space="0" w:color="auto"/>
                <w:right w:val="none" w:sz="0" w:space="0" w:color="auto"/>
              </w:divBdr>
            </w:div>
          </w:divsChild>
        </w:div>
        <w:div w:id="1812358892">
          <w:marLeft w:val="0"/>
          <w:marRight w:val="0"/>
          <w:marTop w:val="0"/>
          <w:marBottom w:val="0"/>
          <w:divBdr>
            <w:top w:val="none" w:sz="0" w:space="0" w:color="auto"/>
            <w:left w:val="none" w:sz="0" w:space="0" w:color="auto"/>
            <w:bottom w:val="none" w:sz="0" w:space="0" w:color="auto"/>
            <w:right w:val="none" w:sz="0" w:space="0" w:color="auto"/>
          </w:divBdr>
          <w:divsChild>
            <w:div w:id="1546260230">
              <w:marLeft w:val="0"/>
              <w:marRight w:val="0"/>
              <w:marTop w:val="0"/>
              <w:marBottom w:val="0"/>
              <w:divBdr>
                <w:top w:val="none" w:sz="0" w:space="0" w:color="auto"/>
                <w:left w:val="none" w:sz="0" w:space="0" w:color="auto"/>
                <w:bottom w:val="none" w:sz="0" w:space="0" w:color="auto"/>
                <w:right w:val="none" w:sz="0" w:space="0" w:color="auto"/>
              </w:divBdr>
            </w:div>
          </w:divsChild>
        </w:div>
        <w:div w:id="1815676547">
          <w:marLeft w:val="0"/>
          <w:marRight w:val="0"/>
          <w:marTop w:val="0"/>
          <w:marBottom w:val="0"/>
          <w:divBdr>
            <w:top w:val="none" w:sz="0" w:space="0" w:color="auto"/>
            <w:left w:val="none" w:sz="0" w:space="0" w:color="auto"/>
            <w:bottom w:val="none" w:sz="0" w:space="0" w:color="auto"/>
            <w:right w:val="none" w:sz="0" w:space="0" w:color="auto"/>
          </w:divBdr>
          <w:divsChild>
            <w:div w:id="623002678">
              <w:marLeft w:val="0"/>
              <w:marRight w:val="0"/>
              <w:marTop w:val="0"/>
              <w:marBottom w:val="0"/>
              <w:divBdr>
                <w:top w:val="none" w:sz="0" w:space="0" w:color="auto"/>
                <w:left w:val="none" w:sz="0" w:space="0" w:color="auto"/>
                <w:bottom w:val="none" w:sz="0" w:space="0" w:color="auto"/>
                <w:right w:val="none" w:sz="0" w:space="0" w:color="auto"/>
              </w:divBdr>
            </w:div>
          </w:divsChild>
        </w:div>
        <w:div w:id="1816292765">
          <w:marLeft w:val="0"/>
          <w:marRight w:val="0"/>
          <w:marTop w:val="0"/>
          <w:marBottom w:val="0"/>
          <w:divBdr>
            <w:top w:val="none" w:sz="0" w:space="0" w:color="auto"/>
            <w:left w:val="none" w:sz="0" w:space="0" w:color="auto"/>
            <w:bottom w:val="none" w:sz="0" w:space="0" w:color="auto"/>
            <w:right w:val="none" w:sz="0" w:space="0" w:color="auto"/>
          </w:divBdr>
          <w:divsChild>
            <w:div w:id="1165435015">
              <w:marLeft w:val="0"/>
              <w:marRight w:val="0"/>
              <w:marTop w:val="0"/>
              <w:marBottom w:val="0"/>
              <w:divBdr>
                <w:top w:val="none" w:sz="0" w:space="0" w:color="auto"/>
                <w:left w:val="none" w:sz="0" w:space="0" w:color="auto"/>
                <w:bottom w:val="none" w:sz="0" w:space="0" w:color="auto"/>
                <w:right w:val="none" w:sz="0" w:space="0" w:color="auto"/>
              </w:divBdr>
            </w:div>
          </w:divsChild>
        </w:div>
        <w:div w:id="1826438074">
          <w:marLeft w:val="0"/>
          <w:marRight w:val="0"/>
          <w:marTop w:val="0"/>
          <w:marBottom w:val="0"/>
          <w:divBdr>
            <w:top w:val="none" w:sz="0" w:space="0" w:color="auto"/>
            <w:left w:val="none" w:sz="0" w:space="0" w:color="auto"/>
            <w:bottom w:val="none" w:sz="0" w:space="0" w:color="auto"/>
            <w:right w:val="none" w:sz="0" w:space="0" w:color="auto"/>
          </w:divBdr>
          <w:divsChild>
            <w:div w:id="576675332">
              <w:marLeft w:val="0"/>
              <w:marRight w:val="0"/>
              <w:marTop w:val="0"/>
              <w:marBottom w:val="0"/>
              <w:divBdr>
                <w:top w:val="none" w:sz="0" w:space="0" w:color="auto"/>
                <w:left w:val="none" w:sz="0" w:space="0" w:color="auto"/>
                <w:bottom w:val="none" w:sz="0" w:space="0" w:color="auto"/>
                <w:right w:val="none" w:sz="0" w:space="0" w:color="auto"/>
              </w:divBdr>
            </w:div>
          </w:divsChild>
        </w:div>
        <w:div w:id="1828550945">
          <w:marLeft w:val="0"/>
          <w:marRight w:val="0"/>
          <w:marTop w:val="0"/>
          <w:marBottom w:val="0"/>
          <w:divBdr>
            <w:top w:val="none" w:sz="0" w:space="0" w:color="auto"/>
            <w:left w:val="none" w:sz="0" w:space="0" w:color="auto"/>
            <w:bottom w:val="none" w:sz="0" w:space="0" w:color="auto"/>
            <w:right w:val="none" w:sz="0" w:space="0" w:color="auto"/>
          </w:divBdr>
          <w:divsChild>
            <w:div w:id="1956255235">
              <w:marLeft w:val="0"/>
              <w:marRight w:val="0"/>
              <w:marTop w:val="0"/>
              <w:marBottom w:val="0"/>
              <w:divBdr>
                <w:top w:val="none" w:sz="0" w:space="0" w:color="auto"/>
                <w:left w:val="none" w:sz="0" w:space="0" w:color="auto"/>
                <w:bottom w:val="none" w:sz="0" w:space="0" w:color="auto"/>
                <w:right w:val="none" w:sz="0" w:space="0" w:color="auto"/>
              </w:divBdr>
            </w:div>
          </w:divsChild>
        </w:div>
        <w:div w:id="1830096763">
          <w:marLeft w:val="0"/>
          <w:marRight w:val="0"/>
          <w:marTop w:val="0"/>
          <w:marBottom w:val="0"/>
          <w:divBdr>
            <w:top w:val="none" w:sz="0" w:space="0" w:color="auto"/>
            <w:left w:val="none" w:sz="0" w:space="0" w:color="auto"/>
            <w:bottom w:val="none" w:sz="0" w:space="0" w:color="auto"/>
            <w:right w:val="none" w:sz="0" w:space="0" w:color="auto"/>
          </w:divBdr>
          <w:divsChild>
            <w:div w:id="1734423595">
              <w:marLeft w:val="0"/>
              <w:marRight w:val="0"/>
              <w:marTop w:val="0"/>
              <w:marBottom w:val="0"/>
              <w:divBdr>
                <w:top w:val="none" w:sz="0" w:space="0" w:color="auto"/>
                <w:left w:val="none" w:sz="0" w:space="0" w:color="auto"/>
                <w:bottom w:val="none" w:sz="0" w:space="0" w:color="auto"/>
                <w:right w:val="none" w:sz="0" w:space="0" w:color="auto"/>
              </w:divBdr>
            </w:div>
          </w:divsChild>
        </w:div>
        <w:div w:id="1831289757">
          <w:marLeft w:val="0"/>
          <w:marRight w:val="0"/>
          <w:marTop w:val="0"/>
          <w:marBottom w:val="0"/>
          <w:divBdr>
            <w:top w:val="none" w:sz="0" w:space="0" w:color="auto"/>
            <w:left w:val="none" w:sz="0" w:space="0" w:color="auto"/>
            <w:bottom w:val="none" w:sz="0" w:space="0" w:color="auto"/>
            <w:right w:val="none" w:sz="0" w:space="0" w:color="auto"/>
          </w:divBdr>
          <w:divsChild>
            <w:div w:id="96023672">
              <w:marLeft w:val="0"/>
              <w:marRight w:val="0"/>
              <w:marTop w:val="0"/>
              <w:marBottom w:val="0"/>
              <w:divBdr>
                <w:top w:val="none" w:sz="0" w:space="0" w:color="auto"/>
                <w:left w:val="none" w:sz="0" w:space="0" w:color="auto"/>
                <w:bottom w:val="none" w:sz="0" w:space="0" w:color="auto"/>
                <w:right w:val="none" w:sz="0" w:space="0" w:color="auto"/>
              </w:divBdr>
            </w:div>
          </w:divsChild>
        </w:div>
        <w:div w:id="1838496935">
          <w:marLeft w:val="0"/>
          <w:marRight w:val="0"/>
          <w:marTop w:val="0"/>
          <w:marBottom w:val="0"/>
          <w:divBdr>
            <w:top w:val="none" w:sz="0" w:space="0" w:color="auto"/>
            <w:left w:val="none" w:sz="0" w:space="0" w:color="auto"/>
            <w:bottom w:val="none" w:sz="0" w:space="0" w:color="auto"/>
            <w:right w:val="none" w:sz="0" w:space="0" w:color="auto"/>
          </w:divBdr>
          <w:divsChild>
            <w:div w:id="336156050">
              <w:marLeft w:val="0"/>
              <w:marRight w:val="0"/>
              <w:marTop w:val="0"/>
              <w:marBottom w:val="0"/>
              <w:divBdr>
                <w:top w:val="none" w:sz="0" w:space="0" w:color="auto"/>
                <w:left w:val="none" w:sz="0" w:space="0" w:color="auto"/>
                <w:bottom w:val="none" w:sz="0" w:space="0" w:color="auto"/>
                <w:right w:val="none" w:sz="0" w:space="0" w:color="auto"/>
              </w:divBdr>
            </w:div>
          </w:divsChild>
        </w:div>
        <w:div w:id="1840657404">
          <w:marLeft w:val="0"/>
          <w:marRight w:val="0"/>
          <w:marTop w:val="0"/>
          <w:marBottom w:val="0"/>
          <w:divBdr>
            <w:top w:val="none" w:sz="0" w:space="0" w:color="auto"/>
            <w:left w:val="none" w:sz="0" w:space="0" w:color="auto"/>
            <w:bottom w:val="none" w:sz="0" w:space="0" w:color="auto"/>
            <w:right w:val="none" w:sz="0" w:space="0" w:color="auto"/>
          </w:divBdr>
          <w:divsChild>
            <w:div w:id="574900182">
              <w:marLeft w:val="0"/>
              <w:marRight w:val="0"/>
              <w:marTop w:val="0"/>
              <w:marBottom w:val="0"/>
              <w:divBdr>
                <w:top w:val="none" w:sz="0" w:space="0" w:color="auto"/>
                <w:left w:val="none" w:sz="0" w:space="0" w:color="auto"/>
                <w:bottom w:val="none" w:sz="0" w:space="0" w:color="auto"/>
                <w:right w:val="none" w:sz="0" w:space="0" w:color="auto"/>
              </w:divBdr>
            </w:div>
          </w:divsChild>
        </w:div>
        <w:div w:id="1849714651">
          <w:marLeft w:val="0"/>
          <w:marRight w:val="0"/>
          <w:marTop w:val="0"/>
          <w:marBottom w:val="0"/>
          <w:divBdr>
            <w:top w:val="none" w:sz="0" w:space="0" w:color="auto"/>
            <w:left w:val="none" w:sz="0" w:space="0" w:color="auto"/>
            <w:bottom w:val="none" w:sz="0" w:space="0" w:color="auto"/>
            <w:right w:val="none" w:sz="0" w:space="0" w:color="auto"/>
          </w:divBdr>
          <w:divsChild>
            <w:div w:id="1268078064">
              <w:marLeft w:val="0"/>
              <w:marRight w:val="0"/>
              <w:marTop w:val="0"/>
              <w:marBottom w:val="0"/>
              <w:divBdr>
                <w:top w:val="none" w:sz="0" w:space="0" w:color="auto"/>
                <w:left w:val="none" w:sz="0" w:space="0" w:color="auto"/>
                <w:bottom w:val="none" w:sz="0" w:space="0" w:color="auto"/>
                <w:right w:val="none" w:sz="0" w:space="0" w:color="auto"/>
              </w:divBdr>
            </w:div>
          </w:divsChild>
        </w:div>
        <w:div w:id="1855269258">
          <w:marLeft w:val="0"/>
          <w:marRight w:val="0"/>
          <w:marTop w:val="0"/>
          <w:marBottom w:val="0"/>
          <w:divBdr>
            <w:top w:val="none" w:sz="0" w:space="0" w:color="auto"/>
            <w:left w:val="none" w:sz="0" w:space="0" w:color="auto"/>
            <w:bottom w:val="none" w:sz="0" w:space="0" w:color="auto"/>
            <w:right w:val="none" w:sz="0" w:space="0" w:color="auto"/>
          </w:divBdr>
          <w:divsChild>
            <w:div w:id="1996643167">
              <w:marLeft w:val="0"/>
              <w:marRight w:val="0"/>
              <w:marTop w:val="0"/>
              <w:marBottom w:val="0"/>
              <w:divBdr>
                <w:top w:val="none" w:sz="0" w:space="0" w:color="auto"/>
                <w:left w:val="none" w:sz="0" w:space="0" w:color="auto"/>
                <w:bottom w:val="none" w:sz="0" w:space="0" w:color="auto"/>
                <w:right w:val="none" w:sz="0" w:space="0" w:color="auto"/>
              </w:divBdr>
            </w:div>
          </w:divsChild>
        </w:div>
        <w:div w:id="1872762139">
          <w:marLeft w:val="0"/>
          <w:marRight w:val="0"/>
          <w:marTop w:val="0"/>
          <w:marBottom w:val="0"/>
          <w:divBdr>
            <w:top w:val="none" w:sz="0" w:space="0" w:color="auto"/>
            <w:left w:val="none" w:sz="0" w:space="0" w:color="auto"/>
            <w:bottom w:val="none" w:sz="0" w:space="0" w:color="auto"/>
            <w:right w:val="none" w:sz="0" w:space="0" w:color="auto"/>
          </w:divBdr>
          <w:divsChild>
            <w:div w:id="1977684439">
              <w:marLeft w:val="0"/>
              <w:marRight w:val="0"/>
              <w:marTop w:val="0"/>
              <w:marBottom w:val="0"/>
              <w:divBdr>
                <w:top w:val="none" w:sz="0" w:space="0" w:color="auto"/>
                <w:left w:val="none" w:sz="0" w:space="0" w:color="auto"/>
                <w:bottom w:val="none" w:sz="0" w:space="0" w:color="auto"/>
                <w:right w:val="none" w:sz="0" w:space="0" w:color="auto"/>
              </w:divBdr>
            </w:div>
          </w:divsChild>
        </w:div>
        <w:div w:id="1880122312">
          <w:marLeft w:val="0"/>
          <w:marRight w:val="0"/>
          <w:marTop w:val="0"/>
          <w:marBottom w:val="0"/>
          <w:divBdr>
            <w:top w:val="none" w:sz="0" w:space="0" w:color="auto"/>
            <w:left w:val="none" w:sz="0" w:space="0" w:color="auto"/>
            <w:bottom w:val="none" w:sz="0" w:space="0" w:color="auto"/>
            <w:right w:val="none" w:sz="0" w:space="0" w:color="auto"/>
          </w:divBdr>
          <w:divsChild>
            <w:div w:id="360933560">
              <w:marLeft w:val="0"/>
              <w:marRight w:val="0"/>
              <w:marTop w:val="0"/>
              <w:marBottom w:val="0"/>
              <w:divBdr>
                <w:top w:val="none" w:sz="0" w:space="0" w:color="auto"/>
                <w:left w:val="none" w:sz="0" w:space="0" w:color="auto"/>
                <w:bottom w:val="none" w:sz="0" w:space="0" w:color="auto"/>
                <w:right w:val="none" w:sz="0" w:space="0" w:color="auto"/>
              </w:divBdr>
            </w:div>
          </w:divsChild>
        </w:div>
        <w:div w:id="1898395342">
          <w:marLeft w:val="0"/>
          <w:marRight w:val="0"/>
          <w:marTop w:val="0"/>
          <w:marBottom w:val="0"/>
          <w:divBdr>
            <w:top w:val="none" w:sz="0" w:space="0" w:color="auto"/>
            <w:left w:val="none" w:sz="0" w:space="0" w:color="auto"/>
            <w:bottom w:val="none" w:sz="0" w:space="0" w:color="auto"/>
            <w:right w:val="none" w:sz="0" w:space="0" w:color="auto"/>
          </w:divBdr>
          <w:divsChild>
            <w:div w:id="457914668">
              <w:marLeft w:val="0"/>
              <w:marRight w:val="0"/>
              <w:marTop w:val="0"/>
              <w:marBottom w:val="0"/>
              <w:divBdr>
                <w:top w:val="none" w:sz="0" w:space="0" w:color="auto"/>
                <w:left w:val="none" w:sz="0" w:space="0" w:color="auto"/>
                <w:bottom w:val="none" w:sz="0" w:space="0" w:color="auto"/>
                <w:right w:val="none" w:sz="0" w:space="0" w:color="auto"/>
              </w:divBdr>
            </w:div>
          </w:divsChild>
        </w:div>
        <w:div w:id="1902711276">
          <w:marLeft w:val="0"/>
          <w:marRight w:val="0"/>
          <w:marTop w:val="0"/>
          <w:marBottom w:val="0"/>
          <w:divBdr>
            <w:top w:val="none" w:sz="0" w:space="0" w:color="auto"/>
            <w:left w:val="none" w:sz="0" w:space="0" w:color="auto"/>
            <w:bottom w:val="none" w:sz="0" w:space="0" w:color="auto"/>
            <w:right w:val="none" w:sz="0" w:space="0" w:color="auto"/>
          </w:divBdr>
          <w:divsChild>
            <w:div w:id="1177496558">
              <w:marLeft w:val="0"/>
              <w:marRight w:val="0"/>
              <w:marTop w:val="0"/>
              <w:marBottom w:val="0"/>
              <w:divBdr>
                <w:top w:val="none" w:sz="0" w:space="0" w:color="auto"/>
                <w:left w:val="none" w:sz="0" w:space="0" w:color="auto"/>
                <w:bottom w:val="none" w:sz="0" w:space="0" w:color="auto"/>
                <w:right w:val="none" w:sz="0" w:space="0" w:color="auto"/>
              </w:divBdr>
            </w:div>
          </w:divsChild>
        </w:div>
        <w:div w:id="1906717500">
          <w:marLeft w:val="0"/>
          <w:marRight w:val="0"/>
          <w:marTop w:val="0"/>
          <w:marBottom w:val="0"/>
          <w:divBdr>
            <w:top w:val="none" w:sz="0" w:space="0" w:color="auto"/>
            <w:left w:val="none" w:sz="0" w:space="0" w:color="auto"/>
            <w:bottom w:val="none" w:sz="0" w:space="0" w:color="auto"/>
            <w:right w:val="none" w:sz="0" w:space="0" w:color="auto"/>
          </w:divBdr>
          <w:divsChild>
            <w:div w:id="139350548">
              <w:marLeft w:val="0"/>
              <w:marRight w:val="0"/>
              <w:marTop w:val="0"/>
              <w:marBottom w:val="0"/>
              <w:divBdr>
                <w:top w:val="none" w:sz="0" w:space="0" w:color="auto"/>
                <w:left w:val="none" w:sz="0" w:space="0" w:color="auto"/>
                <w:bottom w:val="none" w:sz="0" w:space="0" w:color="auto"/>
                <w:right w:val="none" w:sz="0" w:space="0" w:color="auto"/>
              </w:divBdr>
            </w:div>
          </w:divsChild>
        </w:div>
        <w:div w:id="1915163412">
          <w:marLeft w:val="0"/>
          <w:marRight w:val="0"/>
          <w:marTop w:val="0"/>
          <w:marBottom w:val="0"/>
          <w:divBdr>
            <w:top w:val="none" w:sz="0" w:space="0" w:color="auto"/>
            <w:left w:val="none" w:sz="0" w:space="0" w:color="auto"/>
            <w:bottom w:val="none" w:sz="0" w:space="0" w:color="auto"/>
            <w:right w:val="none" w:sz="0" w:space="0" w:color="auto"/>
          </w:divBdr>
          <w:divsChild>
            <w:div w:id="921984343">
              <w:marLeft w:val="0"/>
              <w:marRight w:val="0"/>
              <w:marTop w:val="0"/>
              <w:marBottom w:val="0"/>
              <w:divBdr>
                <w:top w:val="none" w:sz="0" w:space="0" w:color="auto"/>
                <w:left w:val="none" w:sz="0" w:space="0" w:color="auto"/>
                <w:bottom w:val="none" w:sz="0" w:space="0" w:color="auto"/>
                <w:right w:val="none" w:sz="0" w:space="0" w:color="auto"/>
              </w:divBdr>
            </w:div>
          </w:divsChild>
        </w:div>
        <w:div w:id="1921059641">
          <w:marLeft w:val="0"/>
          <w:marRight w:val="0"/>
          <w:marTop w:val="0"/>
          <w:marBottom w:val="0"/>
          <w:divBdr>
            <w:top w:val="none" w:sz="0" w:space="0" w:color="auto"/>
            <w:left w:val="none" w:sz="0" w:space="0" w:color="auto"/>
            <w:bottom w:val="none" w:sz="0" w:space="0" w:color="auto"/>
            <w:right w:val="none" w:sz="0" w:space="0" w:color="auto"/>
          </w:divBdr>
          <w:divsChild>
            <w:div w:id="796030150">
              <w:marLeft w:val="0"/>
              <w:marRight w:val="0"/>
              <w:marTop w:val="0"/>
              <w:marBottom w:val="0"/>
              <w:divBdr>
                <w:top w:val="none" w:sz="0" w:space="0" w:color="auto"/>
                <w:left w:val="none" w:sz="0" w:space="0" w:color="auto"/>
                <w:bottom w:val="none" w:sz="0" w:space="0" w:color="auto"/>
                <w:right w:val="none" w:sz="0" w:space="0" w:color="auto"/>
              </w:divBdr>
            </w:div>
          </w:divsChild>
        </w:div>
        <w:div w:id="1922399853">
          <w:marLeft w:val="0"/>
          <w:marRight w:val="0"/>
          <w:marTop w:val="0"/>
          <w:marBottom w:val="0"/>
          <w:divBdr>
            <w:top w:val="none" w:sz="0" w:space="0" w:color="auto"/>
            <w:left w:val="none" w:sz="0" w:space="0" w:color="auto"/>
            <w:bottom w:val="none" w:sz="0" w:space="0" w:color="auto"/>
            <w:right w:val="none" w:sz="0" w:space="0" w:color="auto"/>
          </w:divBdr>
          <w:divsChild>
            <w:div w:id="912743984">
              <w:marLeft w:val="0"/>
              <w:marRight w:val="0"/>
              <w:marTop w:val="0"/>
              <w:marBottom w:val="0"/>
              <w:divBdr>
                <w:top w:val="none" w:sz="0" w:space="0" w:color="auto"/>
                <w:left w:val="none" w:sz="0" w:space="0" w:color="auto"/>
                <w:bottom w:val="none" w:sz="0" w:space="0" w:color="auto"/>
                <w:right w:val="none" w:sz="0" w:space="0" w:color="auto"/>
              </w:divBdr>
            </w:div>
          </w:divsChild>
        </w:div>
        <w:div w:id="1923951397">
          <w:marLeft w:val="0"/>
          <w:marRight w:val="0"/>
          <w:marTop w:val="0"/>
          <w:marBottom w:val="0"/>
          <w:divBdr>
            <w:top w:val="none" w:sz="0" w:space="0" w:color="auto"/>
            <w:left w:val="none" w:sz="0" w:space="0" w:color="auto"/>
            <w:bottom w:val="none" w:sz="0" w:space="0" w:color="auto"/>
            <w:right w:val="none" w:sz="0" w:space="0" w:color="auto"/>
          </w:divBdr>
          <w:divsChild>
            <w:div w:id="2016489992">
              <w:marLeft w:val="0"/>
              <w:marRight w:val="0"/>
              <w:marTop w:val="0"/>
              <w:marBottom w:val="0"/>
              <w:divBdr>
                <w:top w:val="none" w:sz="0" w:space="0" w:color="auto"/>
                <w:left w:val="none" w:sz="0" w:space="0" w:color="auto"/>
                <w:bottom w:val="none" w:sz="0" w:space="0" w:color="auto"/>
                <w:right w:val="none" w:sz="0" w:space="0" w:color="auto"/>
              </w:divBdr>
            </w:div>
          </w:divsChild>
        </w:div>
        <w:div w:id="1927038055">
          <w:marLeft w:val="0"/>
          <w:marRight w:val="0"/>
          <w:marTop w:val="0"/>
          <w:marBottom w:val="0"/>
          <w:divBdr>
            <w:top w:val="none" w:sz="0" w:space="0" w:color="auto"/>
            <w:left w:val="none" w:sz="0" w:space="0" w:color="auto"/>
            <w:bottom w:val="none" w:sz="0" w:space="0" w:color="auto"/>
            <w:right w:val="none" w:sz="0" w:space="0" w:color="auto"/>
          </w:divBdr>
          <w:divsChild>
            <w:div w:id="1889758839">
              <w:marLeft w:val="0"/>
              <w:marRight w:val="0"/>
              <w:marTop w:val="0"/>
              <w:marBottom w:val="0"/>
              <w:divBdr>
                <w:top w:val="none" w:sz="0" w:space="0" w:color="auto"/>
                <w:left w:val="none" w:sz="0" w:space="0" w:color="auto"/>
                <w:bottom w:val="none" w:sz="0" w:space="0" w:color="auto"/>
                <w:right w:val="none" w:sz="0" w:space="0" w:color="auto"/>
              </w:divBdr>
            </w:div>
          </w:divsChild>
        </w:div>
        <w:div w:id="1937861402">
          <w:marLeft w:val="0"/>
          <w:marRight w:val="0"/>
          <w:marTop w:val="0"/>
          <w:marBottom w:val="0"/>
          <w:divBdr>
            <w:top w:val="none" w:sz="0" w:space="0" w:color="auto"/>
            <w:left w:val="none" w:sz="0" w:space="0" w:color="auto"/>
            <w:bottom w:val="none" w:sz="0" w:space="0" w:color="auto"/>
            <w:right w:val="none" w:sz="0" w:space="0" w:color="auto"/>
          </w:divBdr>
          <w:divsChild>
            <w:div w:id="1187140984">
              <w:marLeft w:val="0"/>
              <w:marRight w:val="0"/>
              <w:marTop w:val="0"/>
              <w:marBottom w:val="0"/>
              <w:divBdr>
                <w:top w:val="none" w:sz="0" w:space="0" w:color="auto"/>
                <w:left w:val="none" w:sz="0" w:space="0" w:color="auto"/>
                <w:bottom w:val="none" w:sz="0" w:space="0" w:color="auto"/>
                <w:right w:val="none" w:sz="0" w:space="0" w:color="auto"/>
              </w:divBdr>
            </w:div>
          </w:divsChild>
        </w:div>
        <w:div w:id="1950703413">
          <w:marLeft w:val="0"/>
          <w:marRight w:val="0"/>
          <w:marTop w:val="0"/>
          <w:marBottom w:val="0"/>
          <w:divBdr>
            <w:top w:val="none" w:sz="0" w:space="0" w:color="auto"/>
            <w:left w:val="none" w:sz="0" w:space="0" w:color="auto"/>
            <w:bottom w:val="none" w:sz="0" w:space="0" w:color="auto"/>
            <w:right w:val="none" w:sz="0" w:space="0" w:color="auto"/>
          </w:divBdr>
          <w:divsChild>
            <w:div w:id="831988441">
              <w:marLeft w:val="0"/>
              <w:marRight w:val="0"/>
              <w:marTop w:val="0"/>
              <w:marBottom w:val="0"/>
              <w:divBdr>
                <w:top w:val="none" w:sz="0" w:space="0" w:color="auto"/>
                <w:left w:val="none" w:sz="0" w:space="0" w:color="auto"/>
                <w:bottom w:val="none" w:sz="0" w:space="0" w:color="auto"/>
                <w:right w:val="none" w:sz="0" w:space="0" w:color="auto"/>
              </w:divBdr>
            </w:div>
          </w:divsChild>
        </w:div>
        <w:div w:id="1960797384">
          <w:marLeft w:val="0"/>
          <w:marRight w:val="0"/>
          <w:marTop w:val="0"/>
          <w:marBottom w:val="0"/>
          <w:divBdr>
            <w:top w:val="none" w:sz="0" w:space="0" w:color="auto"/>
            <w:left w:val="none" w:sz="0" w:space="0" w:color="auto"/>
            <w:bottom w:val="none" w:sz="0" w:space="0" w:color="auto"/>
            <w:right w:val="none" w:sz="0" w:space="0" w:color="auto"/>
          </w:divBdr>
          <w:divsChild>
            <w:div w:id="1790275511">
              <w:marLeft w:val="0"/>
              <w:marRight w:val="0"/>
              <w:marTop w:val="0"/>
              <w:marBottom w:val="0"/>
              <w:divBdr>
                <w:top w:val="none" w:sz="0" w:space="0" w:color="auto"/>
                <w:left w:val="none" w:sz="0" w:space="0" w:color="auto"/>
                <w:bottom w:val="none" w:sz="0" w:space="0" w:color="auto"/>
                <w:right w:val="none" w:sz="0" w:space="0" w:color="auto"/>
              </w:divBdr>
            </w:div>
          </w:divsChild>
        </w:div>
        <w:div w:id="1967081649">
          <w:marLeft w:val="0"/>
          <w:marRight w:val="0"/>
          <w:marTop w:val="0"/>
          <w:marBottom w:val="0"/>
          <w:divBdr>
            <w:top w:val="none" w:sz="0" w:space="0" w:color="auto"/>
            <w:left w:val="none" w:sz="0" w:space="0" w:color="auto"/>
            <w:bottom w:val="none" w:sz="0" w:space="0" w:color="auto"/>
            <w:right w:val="none" w:sz="0" w:space="0" w:color="auto"/>
          </w:divBdr>
          <w:divsChild>
            <w:div w:id="2049329584">
              <w:marLeft w:val="0"/>
              <w:marRight w:val="0"/>
              <w:marTop w:val="0"/>
              <w:marBottom w:val="0"/>
              <w:divBdr>
                <w:top w:val="none" w:sz="0" w:space="0" w:color="auto"/>
                <w:left w:val="none" w:sz="0" w:space="0" w:color="auto"/>
                <w:bottom w:val="none" w:sz="0" w:space="0" w:color="auto"/>
                <w:right w:val="none" w:sz="0" w:space="0" w:color="auto"/>
              </w:divBdr>
            </w:div>
          </w:divsChild>
        </w:div>
        <w:div w:id="1971546620">
          <w:marLeft w:val="0"/>
          <w:marRight w:val="0"/>
          <w:marTop w:val="0"/>
          <w:marBottom w:val="0"/>
          <w:divBdr>
            <w:top w:val="none" w:sz="0" w:space="0" w:color="auto"/>
            <w:left w:val="none" w:sz="0" w:space="0" w:color="auto"/>
            <w:bottom w:val="none" w:sz="0" w:space="0" w:color="auto"/>
            <w:right w:val="none" w:sz="0" w:space="0" w:color="auto"/>
          </w:divBdr>
          <w:divsChild>
            <w:div w:id="1619754212">
              <w:marLeft w:val="0"/>
              <w:marRight w:val="0"/>
              <w:marTop w:val="0"/>
              <w:marBottom w:val="0"/>
              <w:divBdr>
                <w:top w:val="none" w:sz="0" w:space="0" w:color="auto"/>
                <w:left w:val="none" w:sz="0" w:space="0" w:color="auto"/>
                <w:bottom w:val="none" w:sz="0" w:space="0" w:color="auto"/>
                <w:right w:val="none" w:sz="0" w:space="0" w:color="auto"/>
              </w:divBdr>
            </w:div>
          </w:divsChild>
        </w:div>
        <w:div w:id="1982536457">
          <w:marLeft w:val="0"/>
          <w:marRight w:val="0"/>
          <w:marTop w:val="0"/>
          <w:marBottom w:val="0"/>
          <w:divBdr>
            <w:top w:val="none" w:sz="0" w:space="0" w:color="auto"/>
            <w:left w:val="none" w:sz="0" w:space="0" w:color="auto"/>
            <w:bottom w:val="none" w:sz="0" w:space="0" w:color="auto"/>
            <w:right w:val="none" w:sz="0" w:space="0" w:color="auto"/>
          </w:divBdr>
          <w:divsChild>
            <w:div w:id="1086347116">
              <w:marLeft w:val="0"/>
              <w:marRight w:val="0"/>
              <w:marTop w:val="0"/>
              <w:marBottom w:val="0"/>
              <w:divBdr>
                <w:top w:val="none" w:sz="0" w:space="0" w:color="auto"/>
                <w:left w:val="none" w:sz="0" w:space="0" w:color="auto"/>
                <w:bottom w:val="none" w:sz="0" w:space="0" w:color="auto"/>
                <w:right w:val="none" w:sz="0" w:space="0" w:color="auto"/>
              </w:divBdr>
            </w:div>
          </w:divsChild>
        </w:div>
        <w:div w:id="1985961895">
          <w:marLeft w:val="0"/>
          <w:marRight w:val="0"/>
          <w:marTop w:val="0"/>
          <w:marBottom w:val="0"/>
          <w:divBdr>
            <w:top w:val="none" w:sz="0" w:space="0" w:color="auto"/>
            <w:left w:val="none" w:sz="0" w:space="0" w:color="auto"/>
            <w:bottom w:val="none" w:sz="0" w:space="0" w:color="auto"/>
            <w:right w:val="none" w:sz="0" w:space="0" w:color="auto"/>
          </w:divBdr>
          <w:divsChild>
            <w:div w:id="517472356">
              <w:marLeft w:val="0"/>
              <w:marRight w:val="0"/>
              <w:marTop w:val="0"/>
              <w:marBottom w:val="0"/>
              <w:divBdr>
                <w:top w:val="none" w:sz="0" w:space="0" w:color="auto"/>
                <w:left w:val="none" w:sz="0" w:space="0" w:color="auto"/>
                <w:bottom w:val="none" w:sz="0" w:space="0" w:color="auto"/>
                <w:right w:val="none" w:sz="0" w:space="0" w:color="auto"/>
              </w:divBdr>
            </w:div>
          </w:divsChild>
        </w:div>
        <w:div w:id="1992588695">
          <w:marLeft w:val="0"/>
          <w:marRight w:val="0"/>
          <w:marTop w:val="0"/>
          <w:marBottom w:val="0"/>
          <w:divBdr>
            <w:top w:val="none" w:sz="0" w:space="0" w:color="auto"/>
            <w:left w:val="none" w:sz="0" w:space="0" w:color="auto"/>
            <w:bottom w:val="none" w:sz="0" w:space="0" w:color="auto"/>
            <w:right w:val="none" w:sz="0" w:space="0" w:color="auto"/>
          </w:divBdr>
          <w:divsChild>
            <w:div w:id="319190191">
              <w:marLeft w:val="0"/>
              <w:marRight w:val="0"/>
              <w:marTop w:val="0"/>
              <w:marBottom w:val="0"/>
              <w:divBdr>
                <w:top w:val="none" w:sz="0" w:space="0" w:color="auto"/>
                <w:left w:val="none" w:sz="0" w:space="0" w:color="auto"/>
                <w:bottom w:val="none" w:sz="0" w:space="0" w:color="auto"/>
                <w:right w:val="none" w:sz="0" w:space="0" w:color="auto"/>
              </w:divBdr>
            </w:div>
          </w:divsChild>
        </w:div>
        <w:div w:id="1994410098">
          <w:marLeft w:val="0"/>
          <w:marRight w:val="0"/>
          <w:marTop w:val="0"/>
          <w:marBottom w:val="0"/>
          <w:divBdr>
            <w:top w:val="none" w:sz="0" w:space="0" w:color="auto"/>
            <w:left w:val="none" w:sz="0" w:space="0" w:color="auto"/>
            <w:bottom w:val="none" w:sz="0" w:space="0" w:color="auto"/>
            <w:right w:val="none" w:sz="0" w:space="0" w:color="auto"/>
          </w:divBdr>
          <w:divsChild>
            <w:div w:id="637302729">
              <w:marLeft w:val="0"/>
              <w:marRight w:val="0"/>
              <w:marTop w:val="0"/>
              <w:marBottom w:val="0"/>
              <w:divBdr>
                <w:top w:val="none" w:sz="0" w:space="0" w:color="auto"/>
                <w:left w:val="none" w:sz="0" w:space="0" w:color="auto"/>
                <w:bottom w:val="none" w:sz="0" w:space="0" w:color="auto"/>
                <w:right w:val="none" w:sz="0" w:space="0" w:color="auto"/>
              </w:divBdr>
            </w:div>
          </w:divsChild>
        </w:div>
        <w:div w:id="1994412262">
          <w:marLeft w:val="0"/>
          <w:marRight w:val="0"/>
          <w:marTop w:val="0"/>
          <w:marBottom w:val="0"/>
          <w:divBdr>
            <w:top w:val="none" w:sz="0" w:space="0" w:color="auto"/>
            <w:left w:val="none" w:sz="0" w:space="0" w:color="auto"/>
            <w:bottom w:val="none" w:sz="0" w:space="0" w:color="auto"/>
            <w:right w:val="none" w:sz="0" w:space="0" w:color="auto"/>
          </w:divBdr>
          <w:divsChild>
            <w:div w:id="760687715">
              <w:marLeft w:val="0"/>
              <w:marRight w:val="0"/>
              <w:marTop w:val="0"/>
              <w:marBottom w:val="0"/>
              <w:divBdr>
                <w:top w:val="none" w:sz="0" w:space="0" w:color="auto"/>
                <w:left w:val="none" w:sz="0" w:space="0" w:color="auto"/>
                <w:bottom w:val="none" w:sz="0" w:space="0" w:color="auto"/>
                <w:right w:val="none" w:sz="0" w:space="0" w:color="auto"/>
              </w:divBdr>
            </w:div>
          </w:divsChild>
        </w:div>
        <w:div w:id="2011831990">
          <w:marLeft w:val="0"/>
          <w:marRight w:val="0"/>
          <w:marTop w:val="0"/>
          <w:marBottom w:val="0"/>
          <w:divBdr>
            <w:top w:val="none" w:sz="0" w:space="0" w:color="auto"/>
            <w:left w:val="none" w:sz="0" w:space="0" w:color="auto"/>
            <w:bottom w:val="none" w:sz="0" w:space="0" w:color="auto"/>
            <w:right w:val="none" w:sz="0" w:space="0" w:color="auto"/>
          </w:divBdr>
          <w:divsChild>
            <w:div w:id="51001064">
              <w:marLeft w:val="0"/>
              <w:marRight w:val="0"/>
              <w:marTop w:val="0"/>
              <w:marBottom w:val="0"/>
              <w:divBdr>
                <w:top w:val="none" w:sz="0" w:space="0" w:color="auto"/>
                <w:left w:val="none" w:sz="0" w:space="0" w:color="auto"/>
                <w:bottom w:val="none" w:sz="0" w:space="0" w:color="auto"/>
                <w:right w:val="none" w:sz="0" w:space="0" w:color="auto"/>
              </w:divBdr>
            </w:div>
          </w:divsChild>
        </w:div>
        <w:div w:id="2018118105">
          <w:marLeft w:val="0"/>
          <w:marRight w:val="0"/>
          <w:marTop w:val="0"/>
          <w:marBottom w:val="0"/>
          <w:divBdr>
            <w:top w:val="none" w:sz="0" w:space="0" w:color="auto"/>
            <w:left w:val="none" w:sz="0" w:space="0" w:color="auto"/>
            <w:bottom w:val="none" w:sz="0" w:space="0" w:color="auto"/>
            <w:right w:val="none" w:sz="0" w:space="0" w:color="auto"/>
          </w:divBdr>
          <w:divsChild>
            <w:div w:id="1026829321">
              <w:marLeft w:val="0"/>
              <w:marRight w:val="0"/>
              <w:marTop w:val="0"/>
              <w:marBottom w:val="0"/>
              <w:divBdr>
                <w:top w:val="none" w:sz="0" w:space="0" w:color="auto"/>
                <w:left w:val="none" w:sz="0" w:space="0" w:color="auto"/>
                <w:bottom w:val="none" w:sz="0" w:space="0" w:color="auto"/>
                <w:right w:val="none" w:sz="0" w:space="0" w:color="auto"/>
              </w:divBdr>
            </w:div>
          </w:divsChild>
        </w:div>
        <w:div w:id="2021858822">
          <w:marLeft w:val="0"/>
          <w:marRight w:val="0"/>
          <w:marTop w:val="0"/>
          <w:marBottom w:val="0"/>
          <w:divBdr>
            <w:top w:val="none" w:sz="0" w:space="0" w:color="auto"/>
            <w:left w:val="none" w:sz="0" w:space="0" w:color="auto"/>
            <w:bottom w:val="none" w:sz="0" w:space="0" w:color="auto"/>
            <w:right w:val="none" w:sz="0" w:space="0" w:color="auto"/>
          </w:divBdr>
          <w:divsChild>
            <w:div w:id="290600660">
              <w:marLeft w:val="0"/>
              <w:marRight w:val="0"/>
              <w:marTop w:val="0"/>
              <w:marBottom w:val="0"/>
              <w:divBdr>
                <w:top w:val="none" w:sz="0" w:space="0" w:color="auto"/>
                <w:left w:val="none" w:sz="0" w:space="0" w:color="auto"/>
                <w:bottom w:val="none" w:sz="0" w:space="0" w:color="auto"/>
                <w:right w:val="none" w:sz="0" w:space="0" w:color="auto"/>
              </w:divBdr>
            </w:div>
          </w:divsChild>
        </w:div>
        <w:div w:id="2042048458">
          <w:marLeft w:val="0"/>
          <w:marRight w:val="0"/>
          <w:marTop w:val="0"/>
          <w:marBottom w:val="0"/>
          <w:divBdr>
            <w:top w:val="none" w:sz="0" w:space="0" w:color="auto"/>
            <w:left w:val="none" w:sz="0" w:space="0" w:color="auto"/>
            <w:bottom w:val="none" w:sz="0" w:space="0" w:color="auto"/>
            <w:right w:val="none" w:sz="0" w:space="0" w:color="auto"/>
          </w:divBdr>
          <w:divsChild>
            <w:div w:id="1130899952">
              <w:marLeft w:val="0"/>
              <w:marRight w:val="0"/>
              <w:marTop w:val="0"/>
              <w:marBottom w:val="0"/>
              <w:divBdr>
                <w:top w:val="none" w:sz="0" w:space="0" w:color="auto"/>
                <w:left w:val="none" w:sz="0" w:space="0" w:color="auto"/>
                <w:bottom w:val="none" w:sz="0" w:space="0" w:color="auto"/>
                <w:right w:val="none" w:sz="0" w:space="0" w:color="auto"/>
              </w:divBdr>
            </w:div>
          </w:divsChild>
        </w:div>
        <w:div w:id="2050836115">
          <w:marLeft w:val="0"/>
          <w:marRight w:val="0"/>
          <w:marTop w:val="0"/>
          <w:marBottom w:val="0"/>
          <w:divBdr>
            <w:top w:val="none" w:sz="0" w:space="0" w:color="auto"/>
            <w:left w:val="none" w:sz="0" w:space="0" w:color="auto"/>
            <w:bottom w:val="none" w:sz="0" w:space="0" w:color="auto"/>
            <w:right w:val="none" w:sz="0" w:space="0" w:color="auto"/>
          </w:divBdr>
          <w:divsChild>
            <w:div w:id="1139877600">
              <w:marLeft w:val="0"/>
              <w:marRight w:val="0"/>
              <w:marTop w:val="0"/>
              <w:marBottom w:val="0"/>
              <w:divBdr>
                <w:top w:val="none" w:sz="0" w:space="0" w:color="auto"/>
                <w:left w:val="none" w:sz="0" w:space="0" w:color="auto"/>
                <w:bottom w:val="none" w:sz="0" w:space="0" w:color="auto"/>
                <w:right w:val="none" w:sz="0" w:space="0" w:color="auto"/>
              </w:divBdr>
            </w:div>
          </w:divsChild>
        </w:div>
        <w:div w:id="2052923398">
          <w:marLeft w:val="0"/>
          <w:marRight w:val="0"/>
          <w:marTop w:val="0"/>
          <w:marBottom w:val="0"/>
          <w:divBdr>
            <w:top w:val="none" w:sz="0" w:space="0" w:color="auto"/>
            <w:left w:val="none" w:sz="0" w:space="0" w:color="auto"/>
            <w:bottom w:val="none" w:sz="0" w:space="0" w:color="auto"/>
            <w:right w:val="none" w:sz="0" w:space="0" w:color="auto"/>
          </w:divBdr>
          <w:divsChild>
            <w:div w:id="1375618449">
              <w:marLeft w:val="0"/>
              <w:marRight w:val="0"/>
              <w:marTop w:val="0"/>
              <w:marBottom w:val="0"/>
              <w:divBdr>
                <w:top w:val="none" w:sz="0" w:space="0" w:color="auto"/>
                <w:left w:val="none" w:sz="0" w:space="0" w:color="auto"/>
                <w:bottom w:val="none" w:sz="0" w:space="0" w:color="auto"/>
                <w:right w:val="none" w:sz="0" w:space="0" w:color="auto"/>
              </w:divBdr>
            </w:div>
          </w:divsChild>
        </w:div>
        <w:div w:id="2062711497">
          <w:marLeft w:val="0"/>
          <w:marRight w:val="0"/>
          <w:marTop w:val="0"/>
          <w:marBottom w:val="0"/>
          <w:divBdr>
            <w:top w:val="none" w:sz="0" w:space="0" w:color="auto"/>
            <w:left w:val="none" w:sz="0" w:space="0" w:color="auto"/>
            <w:bottom w:val="none" w:sz="0" w:space="0" w:color="auto"/>
            <w:right w:val="none" w:sz="0" w:space="0" w:color="auto"/>
          </w:divBdr>
          <w:divsChild>
            <w:div w:id="103312004">
              <w:marLeft w:val="0"/>
              <w:marRight w:val="0"/>
              <w:marTop w:val="0"/>
              <w:marBottom w:val="0"/>
              <w:divBdr>
                <w:top w:val="none" w:sz="0" w:space="0" w:color="auto"/>
                <w:left w:val="none" w:sz="0" w:space="0" w:color="auto"/>
                <w:bottom w:val="none" w:sz="0" w:space="0" w:color="auto"/>
                <w:right w:val="none" w:sz="0" w:space="0" w:color="auto"/>
              </w:divBdr>
            </w:div>
          </w:divsChild>
        </w:div>
        <w:div w:id="2087148167">
          <w:marLeft w:val="0"/>
          <w:marRight w:val="0"/>
          <w:marTop w:val="0"/>
          <w:marBottom w:val="0"/>
          <w:divBdr>
            <w:top w:val="none" w:sz="0" w:space="0" w:color="auto"/>
            <w:left w:val="none" w:sz="0" w:space="0" w:color="auto"/>
            <w:bottom w:val="none" w:sz="0" w:space="0" w:color="auto"/>
            <w:right w:val="none" w:sz="0" w:space="0" w:color="auto"/>
          </w:divBdr>
          <w:divsChild>
            <w:div w:id="1173254759">
              <w:marLeft w:val="0"/>
              <w:marRight w:val="0"/>
              <w:marTop w:val="0"/>
              <w:marBottom w:val="0"/>
              <w:divBdr>
                <w:top w:val="none" w:sz="0" w:space="0" w:color="auto"/>
                <w:left w:val="none" w:sz="0" w:space="0" w:color="auto"/>
                <w:bottom w:val="none" w:sz="0" w:space="0" w:color="auto"/>
                <w:right w:val="none" w:sz="0" w:space="0" w:color="auto"/>
              </w:divBdr>
            </w:div>
          </w:divsChild>
        </w:div>
        <w:div w:id="2104110726">
          <w:marLeft w:val="0"/>
          <w:marRight w:val="0"/>
          <w:marTop w:val="0"/>
          <w:marBottom w:val="0"/>
          <w:divBdr>
            <w:top w:val="none" w:sz="0" w:space="0" w:color="auto"/>
            <w:left w:val="none" w:sz="0" w:space="0" w:color="auto"/>
            <w:bottom w:val="none" w:sz="0" w:space="0" w:color="auto"/>
            <w:right w:val="none" w:sz="0" w:space="0" w:color="auto"/>
          </w:divBdr>
          <w:divsChild>
            <w:div w:id="1920360551">
              <w:marLeft w:val="0"/>
              <w:marRight w:val="0"/>
              <w:marTop w:val="0"/>
              <w:marBottom w:val="0"/>
              <w:divBdr>
                <w:top w:val="none" w:sz="0" w:space="0" w:color="auto"/>
                <w:left w:val="none" w:sz="0" w:space="0" w:color="auto"/>
                <w:bottom w:val="none" w:sz="0" w:space="0" w:color="auto"/>
                <w:right w:val="none" w:sz="0" w:space="0" w:color="auto"/>
              </w:divBdr>
            </w:div>
          </w:divsChild>
        </w:div>
        <w:div w:id="2110926583">
          <w:marLeft w:val="0"/>
          <w:marRight w:val="0"/>
          <w:marTop w:val="0"/>
          <w:marBottom w:val="0"/>
          <w:divBdr>
            <w:top w:val="none" w:sz="0" w:space="0" w:color="auto"/>
            <w:left w:val="none" w:sz="0" w:space="0" w:color="auto"/>
            <w:bottom w:val="none" w:sz="0" w:space="0" w:color="auto"/>
            <w:right w:val="none" w:sz="0" w:space="0" w:color="auto"/>
          </w:divBdr>
          <w:divsChild>
            <w:div w:id="1326321121">
              <w:marLeft w:val="0"/>
              <w:marRight w:val="0"/>
              <w:marTop w:val="0"/>
              <w:marBottom w:val="0"/>
              <w:divBdr>
                <w:top w:val="none" w:sz="0" w:space="0" w:color="auto"/>
                <w:left w:val="none" w:sz="0" w:space="0" w:color="auto"/>
                <w:bottom w:val="none" w:sz="0" w:space="0" w:color="auto"/>
                <w:right w:val="none" w:sz="0" w:space="0" w:color="auto"/>
              </w:divBdr>
            </w:div>
          </w:divsChild>
        </w:div>
        <w:div w:id="2113473388">
          <w:marLeft w:val="0"/>
          <w:marRight w:val="0"/>
          <w:marTop w:val="0"/>
          <w:marBottom w:val="0"/>
          <w:divBdr>
            <w:top w:val="none" w:sz="0" w:space="0" w:color="auto"/>
            <w:left w:val="none" w:sz="0" w:space="0" w:color="auto"/>
            <w:bottom w:val="none" w:sz="0" w:space="0" w:color="auto"/>
            <w:right w:val="none" w:sz="0" w:space="0" w:color="auto"/>
          </w:divBdr>
          <w:divsChild>
            <w:div w:id="968781294">
              <w:marLeft w:val="0"/>
              <w:marRight w:val="0"/>
              <w:marTop w:val="0"/>
              <w:marBottom w:val="0"/>
              <w:divBdr>
                <w:top w:val="none" w:sz="0" w:space="0" w:color="auto"/>
                <w:left w:val="none" w:sz="0" w:space="0" w:color="auto"/>
                <w:bottom w:val="none" w:sz="0" w:space="0" w:color="auto"/>
                <w:right w:val="none" w:sz="0" w:space="0" w:color="auto"/>
              </w:divBdr>
            </w:div>
          </w:divsChild>
        </w:div>
        <w:div w:id="2113933420">
          <w:marLeft w:val="0"/>
          <w:marRight w:val="0"/>
          <w:marTop w:val="0"/>
          <w:marBottom w:val="0"/>
          <w:divBdr>
            <w:top w:val="none" w:sz="0" w:space="0" w:color="auto"/>
            <w:left w:val="none" w:sz="0" w:space="0" w:color="auto"/>
            <w:bottom w:val="none" w:sz="0" w:space="0" w:color="auto"/>
            <w:right w:val="none" w:sz="0" w:space="0" w:color="auto"/>
          </w:divBdr>
          <w:divsChild>
            <w:div w:id="1184633777">
              <w:marLeft w:val="0"/>
              <w:marRight w:val="0"/>
              <w:marTop w:val="0"/>
              <w:marBottom w:val="0"/>
              <w:divBdr>
                <w:top w:val="none" w:sz="0" w:space="0" w:color="auto"/>
                <w:left w:val="none" w:sz="0" w:space="0" w:color="auto"/>
                <w:bottom w:val="none" w:sz="0" w:space="0" w:color="auto"/>
                <w:right w:val="none" w:sz="0" w:space="0" w:color="auto"/>
              </w:divBdr>
            </w:div>
          </w:divsChild>
        </w:div>
        <w:div w:id="2117671427">
          <w:marLeft w:val="0"/>
          <w:marRight w:val="0"/>
          <w:marTop w:val="0"/>
          <w:marBottom w:val="0"/>
          <w:divBdr>
            <w:top w:val="none" w:sz="0" w:space="0" w:color="auto"/>
            <w:left w:val="none" w:sz="0" w:space="0" w:color="auto"/>
            <w:bottom w:val="none" w:sz="0" w:space="0" w:color="auto"/>
            <w:right w:val="none" w:sz="0" w:space="0" w:color="auto"/>
          </w:divBdr>
          <w:divsChild>
            <w:div w:id="2020428365">
              <w:marLeft w:val="0"/>
              <w:marRight w:val="0"/>
              <w:marTop w:val="0"/>
              <w:marBottom w:val="0"/>
              <w:divBdr>
                <w:top w:val="none" w:sz="0" w:space="0" w:color="auto"/>
                <w:left w:val="none" w:sz="0" w:space="0" w:color="auto"/>
                <w:bottom w:val="none" w:sz="0" w:space="0" w:color="auto"/>
                <w:right w:val="none" w:sz="0" w:space="0" w:color="auto"/>
              </w:divBdr>
            </w:div>
          </w:divsChild>
        </w:div>
        <w:div w:id="2123255738">
          <w:marLeft w:val="0"/>
          <w:marRight w:val="0"/>
          <w:marTop w:val="0"/>
          <w:marBottom w:val="0"/>
          <w:divBdr>
            <w:top w:val="none" w:sz="0" w:space="0" w:color="auto"/>
            <w:left w:val="none" w:sz="0" w:space="0" w:color="auto"/>
            <w:bottom w:val="none" w:sz="0" w:space="0" w:color="auto"/>
            <w:right w:val="none" w:sz="0" w:space="0" w:color="auto"/>
          </w:divBdr>
          <w:divsChild>
            <w:div w:id="1357779375">
              <w:marLeft w:val="0"/>
              <w:marRight w:val="0"/>
              <w:marTop w:val="0"/>
              <w:marBottom w:val="0"/>
              <w:divBdr>
                <w:top w:val="none" w:sz="0" w:space="0" w:color="auto"/>
                <w:left w:val="none" w:sz="0" w:space="0" w:color="auto"/>
                <w:bottom w:val="none" w:sz="0" w:space="0" w:color="auto"/>
                <w:right w:val="none" w:sz="0" w:space="0" w:color="auto"/>
              </w:divBdr>
            </w:div>
          </w:divsChild>
        </w:div>
        <w:div w:id="2132170165">
          <w:marLeft w:val="0"/>
          <w:marRight w:val="0"/>
          <w:marTop w:val="0"/>
          <w:marBottom w:val="0"/>
          <w:divBdr>
            <w:top w:val="none" w:sz="0" w:space="0" w:color="auto"/>
            <w:left w:val="none" w:sz="0" w:space="0" w:color="auto"/>
            <w:bottom w:val="none" w:sz="0" w:space="0" w:color="auto"/>
            <w:right w:val="none" w:sz="0" w:space="0" w:color="auto"/>
          </w:divBdr>
          <w:divsChild>
            <w:div w:id="106701306">
              <w:marLeft w:val="0"/>
              <w:marRight w:val="0"/>
              <w:marTop w:val="0"/>
              <w:marBottom w:val="0"/>
              <w:divBdr>
                <w:top w:val="none" w:sz="0" w:space="0" w:color="auto"/>
                <w:left w:val="none" w:sz="0" w:space="0" w:color="auto"/>
                <w:bottom w:val="none" w:sz="0" w:space="0" w:color="auto"/>
                <w:right w:val="none" w:sz="0" w:space="0" w:color="auto"/>
              </w:divBdr>
            </w:div>
          </w:divsChild>
        </w:div>
        <w:div w:id="2133280645">
          <w:marLeft w:val="0"/>
          <w:marRight w:val="0"/>
          <w:marTop w:val="0"/>
          <w:marBottom w:val="0"/>
          <w:divBdr>
            <w:top w:val="none" w:sz="0" w:space="0" w:color="auto"/>
            <w:left w:val="none" w:sz="0" w:space="0" w:color="auto"/>
            <w:bottom w:val="none" w:sz="0" w:space="0" w:color="auto"/>
            <w:right w:val="none" w:sz="0" w:space="0" w:color="auto"/>
          </w:divBdr>
          <w:divsChild>
            <w:div w:id="897320060">
              <w:marLeft w:val="0"/>
              <w:marRight w:val="0"/>
              <w:marTop w:val="0"/>
              <w:marBottom w:val="0"/>
              <w:divBdr>
                <w:top w:val="none" w:sz="0" w:space="0" w:color="auto"/>
                <w:left w:val="none" w:sz="0" w:space="0" w:color="auto"/>
                <w:bottom w:val="none" w:sz="0" w:space="0" w:color="auto"/>
                <w:right w:val="none" w:sz="0" w:space="0" w:color="auto"/>
              </w:divBdr>
            </w:div>
          </w:divsChild>
        </w:div>
        <w:div w:id="2141724697">
          <w:marLeft w:val="0"/>
          <w:marRight w:val="0"/>
          <w:marTop w:val="0"/>
          <w:marBottom w:val="0"/>
          <w:divBdr>
            <w:top w:val="none" w:sz="0" w:space="0" w:color="auto"/>
            <w:left w:val="none" w:sz="0" w:space="0" w:color="auto"/>
            <w:bottom w:val="none" w:sz="0" w:space="0" w:color="auto"/>
            <w:right w:val="none" w:sz="0" w:space="0" w:color="auto"/>
          </w:divBdr>
          <w:divsChild>
            <w:div w:id="101144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154571">
      <w:bodyDiv w:val="1"/>
      <w:marLeft w:val="0"/>
      <w:marRight w:val="0"/>
      <w:marTop w:val="0"/>
      <w:marBottom w:val="0"/>
      <w:divBdr>
        <w:top w:val="none" w:sz="0" w:space="0" w:color="auto"/>
        <w:left w:val="none" w:sz="0" w:space="0" w:color="auto"/>
        <w:bottom w:val="none" w:sz="0" w:space="0" w:color="auto"/>
        <w:right w:val="none" w:sz="0" w:space="0" w:color="auto"/>
      </w:divBdr>
    </w:div>
    <w:div w:id="662701166">
      <w:bodyDiv w:val="1"/>
      <w:marLeft w:val="0"/>
      <w:marRight w:val="0"/>
      <w:marTop w:val="0"/>
      <w:marBottom w:val="0"/>
      <w:divBdr>
        <w:top w:val="none" w:sz="0" w:space="0" w:color="auto"/>
        <w:left w:val="none" w:sz="0" w:space="0" w:color="auto"/>
        <w:bottom w:val="none" w:sz="0" w:space="0" w:color="auto"/>
        <w:right w:val="none" w:sz="0" w:space="0" w:color="auto"/>
      </w:divBdr>
    </w:div>
    <w:div w:id="666635647">
      <w:bodyDiv w:val="1"/>
      <w:marLeft w:val="0"/>
      <w:marRight w:val="0"/>
      <w:marTop w:val="0"/>
      <w:marBottom w:val="0"/>
      <w:divBdr>
        <w:top w:val="none" w:sz="0" w:space="0" w:color="auto"/>
        <w:left w:val="none" w:sz="0" w:space="0" w:color="auto"/>
        <w:bottom w:val="none" w:sz="0" w:space="0" w:color="auto"/>
        <w:right w:val="none" w:sz="0" w:space="0" w:color="auto"/>
      </w:divBdr>
    </w:div>
    <w:div w:id="694308646">
      <w:bodyDiv w:val="1"/>
      <w:marLeft w:val="0"/>
      <w:marRight w:val="0"/>
      <w:marTop w:val="0"/>
      <w:marBottom w:val="0"/>
      <w:divBdr>
        <w:top w:val="none" w:sz="0" w:space="0" w:color="auto"/>
        <w:left w:val="none" w:sz="0" w:space="0" w:color="auto"/>
        <w:bottom w:val="none" w:sz="0" w:space="0" w:color="auto"/>
        <w:right w:val="none" w:sz="0" w:space="0" w:color="auto"/>
      </w:divBdr>
    </w:div>
    <w:div w:id="738215478">
      <w:bodyDiv w:val="1"/>
      <w:marLeft w:val="0"/>
      <w:marRight w:val="0"/>
      <w:marTop w:val="0"/>
      <w:marBottom w:val="0"/>
      <w:divBdr>
        <w:top w:val="none" w:sz="0" w:space="0" w:color="auto"/>
        <w:left w:val="none" w:sz="0" w:space="0" w:color="auto"/>
        <w:bottom w:val="none" w:sz="0" w:space="0" w:color="auto"/>
        <w:right w:val="none" w:sz="0" w:space="0" w:color="auto"/>
      </w:divBdr>
    </w:div>
    <w:div w:id="750587935">
      <w:bodyDiv w:val="1"/>
      <w:marLeft w:val="0"/>
      <w:marRight w:val="0"/>
      <w:marTop w:val="0"/>
      <w:marBottom w:val="0"/>
      <w:divBdr>
        <w:top w:val="none" w:sz="0" w:space="0" w:color="auto"/>
        <w:left w:val="none" w:sz="0" w:space="0" w:color="auto"/>
        <w:bottom w:val="none" w:sz="0" w:space="0" w:color="auto"/>
        <w:right w:val="none" w:sz="0" w:space="0" w:color="auto"/>
      </w:divBdr>
    </w:div>
    <w:div w:id="752358067">
      <w:bodyDiv w:val="1"/>
      <w:marLeft w:val="0"/>
      <w:marRight w:val="0"/>
      <w:marTop w:val="0"/>
      <w:marBottom w:val="0"/>
      <w:divBdr>
        <w:top w:val="none" w:sz="0" w:space="0" w:color="auto"/>
        <w:left w:val="none" w:sz="0" w:space="0" w:color="auto"/>
        <w:bottom w:val="none" w:sz="0" w:space="0" w:color="auto"/>
        <w:right w:val="none" w:sz="0" w:space="0" w:color="auto"/>
      </w:divBdr>
    </w:div>
    <w:div w:id="753933635">
      <w:bodyDiv w:val="1"/>
      <w:marLeft w:val="0"/>
      <w:marRight w:val="0"/>
      <w:marTop w:val="0"/>
      <w:marBottom w:val="0"/>
      <w:divBdr>
        <w:top w:val="none" w:sz="0" w:space="0" w:color="auto"/>
        <w:left w:val="none" w:sz="0" w:space="0" w:color="auto"/>
        <w:bottom w:val="none" w:sz="0" w:space="0" w:color="auto"/>
        <w:right w:val="none" w:sz="0" w:space="0" w:color="auto"/>
      </w:divBdr>
    </w:div>
    <w:div w:id="830289682">
      <w:bodyDiv w:val="1"/>
      <w:marLeft w:val="0"/>
      <w:marRight w:val="0"/>
      <w:marTop w:val="0"/>
      <w:marBottom w:val="0"/>
      <w:divBdr>
        <w:top w:val="none" w:sz="0" w:space="0" w:color="auto"/>
        <w:left w:val="none" w:sz="0" w:space="0" w:color="auto"/>
        <w:bottom w:val="none" w:sz="0" w:space="0" w:color="auto"/>
        <w:right w:val="none" w:sz="0" w:space="0" w:color="auto"/>
      </w:divBdr>
    </w:div>
    <w:div w:id="864564184">
      <w:bodyDiv w:val="1"/>
      <w:marLeft w:val="0"/>
      <w:marRight w:val="0"/>
      <w:marTop w:val="0"/>
      <w:marBottom w:val="0"/>
      <w:divBdr>
        <w:top w:val="none" w:sz="0" w:space="0" w:color="auto"/>
        <w:left w:val="none" w:sz="0" w:space="0" w:color="auto"/>
        <w:bottom w:val="none" w:sz="0" w:space="0" w:color="auto"/>
        <w:right w:val="none" w:sz="0" w:space="0" w:color="auto"/>
      </w:divBdr>
    </w:div>
    <w:div w:id="920984811">
      <w:bodyDiv w:val="1"/>
      <w:marLeft w:val="0"/>
      <w:marRight w:val="0"/>
      <w:marTop w:val="0"/>
      <w:marBottom w:val="0"/>
      <w:divBdr>
        <w:top w:val="none" w:sz="0" w:space="0" w:color="auto"/>
        <w:left w:val="none" w:sz="0" w:space="0" w:color="auto"/>
        <w:bottom w:val="none" w:sz="0" w:space="0" w:color="auto"/>
        <w:right w:val="none" w:sz="0" w:space="0" w:color="auto"/>
      </w:divBdr>
      <w:divsChild>
        <w:div w:id="4408892">
          <w:marLeft w:val="0"/>
          <w:marRight w:val="0"/>
          <w:marTop w:val="0"/>
          <w:marBottom w:val="0"/>
          <w:divBdr>
            <w:top w:val="none" w:sz="0" w:space="0" w:color="auto"/>
            <w:left w:val="none" w:sz="0" w:space="0" w:color="auto"/>
            <w:bottom w:val="none" w:sz="0" w:space="0" w:color="auto"/>
            <w:right w:val="none" w:sz="0" w:space="0" w:color="auto"/>
          </w:divBdr>
          <w:divsChild>
            <w:div w:id="71973265">
              <w:marLeft w:val="0"/>
              <w:marRight w:val="0"/>
              <w:marTop w:val="0"/>
              <w:marBottom w:val="0"/>
              <w:divBdr>
                <w:top w:val="none" w:sz="0" w:space="0" w:color="auto"/>
                <w:left w:val="none" w:sz="0" w:space="0" w:color="auto"/>
                <w:bottom w:val="none" w:sz="0" w:space="0" w:color="auto"/>
                <w:right w:val="none" w:sz="0" w:space="0" w:color="auto"/>
              </w:divBdr>
            </w:div>
          </w:divsChild>
        </w:div>
        <w:div w:id="13461901">
          <w:marLeft w:val="0"/>
          <w:marRight w:val="0"/>
          <w:marTop w:val="0"/>
          <w:marBottom w:val="0"/>
          <w:divBdr>
            <w:top w:val="none" w:sz="0" w:space="0" w:color="auto"/>
            <w:left w:val="none" w:sz="0" w:space="0" w:color="auto"/>
            <w:bottom w:val="none" w:sz="0" w:space="0" w:color="auto"/>
            <w:right w:val="none" w:sz="0" w:space="0" w:color="auto"/>
          </w:divBdr>
          <w:divsChild>
            <w:div w:id="553349561">
              <w:marLeft w:val="0"/>
              <w:marRight w:val="0"/>
              <w:marTop w:val="0"/>
              <w:marBottom w:val="0"/>
              <w:divBdr>
                <w:top w:val="none" w:sz="0" w:space="0" w:color="auto"/>
                <w:left w:val="none" w:sz="0" w:space="0" w:color="auto"/>
                <w:bottom w:val="none" w:sz="0" w:space="0" w:color="auto"/>
                <w:right w:val="none" w:sz="0" w:space="0" w:color="auto"/>
              </w:divBdr>
            </w:div>
          </w:divsChild>
        </w:div>
        <w:div w:id="13846168">
          <w:marLeft w:val="0"/>
          <w:marRight w:val="0"/>
          <w:marTop w:val="0"/>
          <w:marBottom w:val="0"/>
          <w:divBdr>
            <w:top w:val="none" w:sz="0" w:space="0" w:color="auto"/>
            <w:left w:val="none" w:sz="0" w:space="0" w:color="auto"/>
            <w:bottom w:val="none" w:sz="0" w:space="0" w:color="auto"/>
            <w:right w:val="none" w:sz="0" w:space="0" w:color="auto"/>
          </w:divBdr>
          <w:divsChild>
            <w:div w:id="113794665">
              <w:marLeft w:val="0"/>
              <w:marRight w:val="0"/>
              <w:marTop w:val="0"/>
              <w:marBottom w:val="0"/>
              <w:divBdr>
                <w:top w:val="none" w:sz="0" w:space="0" w:color="auto"/>
                <w:left w:val="none" w:sz="0" w:space="0" w:color="auto"/>
                <w:bottom w:val="none" w:sz="0" w:space="0" w:color="auto"/>
                <w:right w:val="none" w:sz="0" w:space="0" w:color="auto"/>
              </w:divBdr>
            </w:div>
          </w:divsChild>
        </w:div>
        <w:div w:id="22832564">
          <w:marLeft w:val="0"/>
          <w:marRight w:val="0"/>
          <w:marTop w:val="0"/>
          <w:marBottom w:val="0"/>
          <w:divBdr>
            <w:top w:val="none" w:sz="0" w:space="0" w:color="auto"/>
            <w:left w:val="none" w:sz="0" w:space="0" w:color="auto"/>
            <w:bottom w:val="none" w:sz="0" w:space="0" w:color="auto"/>
            <w:right w:val="none" w:sz="0" w:space="0" w:color="auto"/>
          </w:divBdr>
          <w:divsChild>
            <w:div w:id="408160924">
              <w:marLeft w:val="0"/>
              <w:marRight w:val="0"/>
              <w:marTop w:val="0"/>
              <w:marBottom w:val="0"/>
              <w:divBdr>
                <w:top w:val="none" w:sz="0" w:space="0" w:color="auto"/>
                <w:left w:val="none" w:sz="0" w:space="0" w:color="auto"/>
                <w:bottom w:val="none" w:sz="0" w:space="0" w:color="auto"/>
                <w:right w:val="none" w:sz="0" w:space="0" w:color="auto"/>
              </w:divBdr>
            </w:div>
          </w:divsChild>
        </w:div>
        <w:div w:id="58721488">
          <w:marLeft w:val="0"/>
          <w:marRight w:val="0"/>
          <w:marTop w:val="0"/>
          <w:marBottom w:val="0"/>
          <w:divBdr>
            <w:top w:val="none" w:sz="0" w:space="0" w:color="auto"/>
            <w:left w:val="none" w:sz="0" w:space="0" w:color="auto"/>
            <w:bottom w:val="none" w:sz="0" w:space="0" w:color="auto"/>
            <w:right w:val="none" w:sz="0" w:space="0" w:color="auto"/>
          </w:divBdr>
          <w:divsChild>
            <w:div w:id="1552763395">
              <w:marLeft w:val="0"/>
              <w:marRight w:val="0"/>
              <w:marTop w:val="0"/>
              <w:marBottom w:val="0"/>
              <w:divBdr>
                <w:top w:val="none" w:sz="0" w:space="0" w:color="auto"/>
                <w:left w:val="none" w:sz="0" w:space="0" w:color="auto"/>
                <w:bottom w:val="none" w:sz="0" w:space="0" w:color="auto"/>
                <w:right w:val="none" w:sz="0" w:space="0" w:color="auto"/>
              </w:divBdr>
            </w:div>
          </w:divsChild>
        </w:div>
        <w:div w:id="65155999">
          <w:marLeft w:val="0"/>
          <w:marRight w:val="0"/>
          <w:marTop w:val="0"/>
          <w:marBottom w:val="0"/>
          <w:divBdr>
            <w:top w:val="none" w:sz="0" w:space="0" w:color="auto"/>
            <w:left w:val="none" w:sz="0" w:space="0" w:color="auto"/>
            <w:bottom w:val="none" w:sz="0" w:space="0" w:color="auto"/>
            <w:right w:val="none" w:sz="0" w:space="0" w:color="auto"/>
          </w:divBdr>
          <w:divsChild>
            <w:div w:id="916788649">
              <w:marLeft w:val="0"/>
              <w:marRight w:val="0"/>
              <w:marTop w:val="0"/>
              <w:marBottom w:val="0"/>
              <w:divBdr>
                <w:top w:val="none" w:sz="0" w:space="0" w:color="auto"/>
                <w:left w:val="none" w:sz="0" w:space="0" w:color="auto"/>
                <w:bottom w:val="none" w:sz="0" w:space="0" w:color="auto"/>
                <w:right w:val="none" w:sz="0" w:space="0" w:color="auto"/>
              </w:divBdr>
            </w:div>
          </w:divsChild>
        </w:div>
        <w:div w:id="79526559">
          <w:marLeft w:val="0"/>
          <w:marRight w:val="0"/>
          <w:marTop w:val="0"/>
          <w:marBottom w:val="0"/>
          <w:divBdr>
            <w:top w:val="none" w:sz="0" w:space="0" w:color="auto"/>
            <w:left w:val="none" w:sz="0" w:space="0" w:color="auto"/>
            <w:bottom w:val="none" w:sz="0" w:space="0" w:color="auto"/>
            <w:right w:val="none" w:sz="0" w:space="0" w:color="auto"/>
          </w:divBdr>
          <w:divsChild>
            <w:div w:id="1086878211">
              <w:marLeft w:val="0"/>
              <w:marRight w:val="0"/>
              <w:marTop w:val="0"/>
              <w:marBottom w:val="0"/>
              <w:divBdr>
                <w:top w:val="none" w:sz="0" w:space="0" w:color="auto"/>
                <w:left w:val="none" w:sz="0" w:space="0" w:color="auto"/>
                <w:bottom w:val="none" w:sz="0" w:space="0" w:color="auto"/>
                <w:right w:val="none" w:sz="0" w:space="0" w:color="auto"/>
              </w:divBdr>
            </w:div>
          </w:divsChild>
        </w:div>
        <w:div w:id="86850195">
          <w:marLeft w:val="0"/>
          <w:marRight w:val="0"/>
          <w:marTop w:val="0"/>
          <w:marBottom w:val="0"/>
          <w:divBdr>
            <w:top w:val="none" w:sz="0" w:space="0" w:color="auto"/>
            <w:left w:val="none" w:sz="0" w:space="0" w:color="auto"/>
            <w:bottom w:val="none" w:sz="0" w:space="0" w:color="auto"/>
            <w:right w:val="none" w:sz="0" w:space="0" w:color="auto"/>
          </w:divBdr>
          <w:divsChild>
            <w:div w:id="1869297398">
              <w:marLeft w:val="0"/>
              <w:marRight w:val="0"/>
              <w:marTop w:val="0"/>
              <w:marBottom w:val="0"/>
              <w:divBdr>
                <w:top w:val="none" w:sz="0" w:space="0" w:color="auto"/>
                <w:left w:val="none" w:sz="0" w:space="0" w:color="auto"/>
                <w:bottom w:val="none" w:sz="0" w:space="0" w:color="auto"/>
                <w:right w:val="none" w:sz="0" w:space="0" w:color="auto"/>
              </w:divBdr>
            </w:div>
          </w:divsChild>
        </w:div>
        <w:div w:id="96219165">
          <w:marLeft w:val="0"/>
          <w:marRight w:val="0"/>
          <w:marTop w:val="0"/>
          <w:marBottom w:val="0"/>
          <w:divBdr>
            <w:top w:val="none" w:sz="0" w:space="0" w:color="auto"/>
            <w:left w:val="none" w:sz="0" w:space="0" w:color="auto"/>
            <w:bottom w:val="none" w:sz="0" w:space="0" w:color="auto"/>
            <w:right w:val="none" w:sz="0" w:space="0" w:color="auto"/>
          </w:divBdr>
          <w:divsChild>
            <w:div w:id="1109159063">
              <w:marLeft w:val="0"/>
              <w:marRight w:val="0"/>
              <w:marTop w:val="0"/>
              <w:marBottom w:val="0"/>
              <w:divBdr>
                <w:top w:val="none" w:sz="0" w:space="0" w:color="auto"/>
                <w:left w:val="none" w:sz="0" w:space="0" w:color="auto"/>
                <w:bottom w:val="none" w:sz="0" w:space="0" w:color="auto"/>
                <w:right w:val="none" w:sz="0" w:space="0" w:color="auto"/>
              </w:divBdr>
            </w:div>
          </w:divsChild>
        </w:div>
        <w:div w:id="102506787">
          <w:marLeft w:val="0"/>
          <w:marRight w:val="0"/>
          <w:marTop w:val="0"/>
          <w:marBottom w:val="0"/>
          <w:divBdr>
            <w:top w:val="none" w:sz="0" w:space="0" w:color="auto"/>
            <w:left w:val="none" w:sz="0" w:space="0" w:color="auto"/>
            <w:bottom w:val="none" w:sz="0" w:space="0" w:color="auto"/>
            <w:right w:val="none" w:sz="0" w:space="0" w:color="auto"/>
          </w:divBdr>
          <w:divsChild>
            <w:div w:id="865094858">
              <w:marLeft w:val="0"/>
              <w:marRight w:val="0"/>
              <w:marTop w:val="0"/>
              <w:marBottom w:val="0"/>
              <w:divBdr>
                <w:top w:val="none" w:sz="0" w:space="0" w:color="auto"/>
                <w:left w:val="none" w:sz="0" w:space="0" w:color="auto"/>
                <w:bottom w:val="none" w:sz="0" w:space="0" w:color="auto"/>
                <w:right w:val="none" w:sz="0" w:space="0" w:color="auto"/>
              </w:divBdr>
            </w:div>
          </w:divsChild>
        </w:div>
        <w:div w:id="109982390">
          <w:marLeft w:val="0"/>
          <w:marRight w:val="0"/>
          <w:marTop w:val="0"/>
          <w:marBottom w:val="0"/>
          <w:divBdr>
            <w:top w:val="none" w:sz="0" w:space="0" w:color="auto"/>
            <w:left w:val="none" w:sz="0" w:space="0" w:color="auto"/>
            <w:bottom w:val="none" w:sz="0" w:space="0" w:color="auto"/>
            <w:right w:val="none" w:sz="0" w:space="0" w:color="auto"/>
          </w:divBdr>
          <w:divsChild>
            <w:div w:id="1291127165">
              <w:marLeft w:val="0"/>
              <w:marRight w:val="0"/>
              <w:marTop w:val="0"/>
              <w:marBottom w:val="0"/>
              <w:divBdr>
                <w:top w:val="none" w:sz="0" w:space="0" w:color="auto"/>
                <w:left w:val="none" w:sz="0" w:space="0" w:color="auto"/>
                <w:bottom w:val="none" w:sz="0" w:space="0" w:color="auto"/>
                <w:right w:val="none" w:sz="0" w:space="0" w:color="auto"/>
              </w:divBdr>
            </w:div>
          </w:divsChild>
        </w:div>
        <w:div w:id="110168011">
          <w:marLeft w:val="0"/>
          <w:marRight w:val="0"/>
          <w:marTop w:val="0"/>
          <w:marBottom w:val="0"/>
          <w:divBdr>
            <w:top w:val="none" w:sz="0" w:space="0" w:color="auto"/>
            <w:left w:val="none" w:sz="0" w:space="0" w:color="auto"/>
            <w:bottom w:val="none" w:sz="0" w:space="0" w:color="auto"/>
            <w:right w:val="none" w:sz="0" w:space="0" w:color="auto"/>
          </w:divBdr>
          <w:divsChild>
            <w:div w:id="909116336">
              <w:marLeft w:val="0"/>
              <w:marRight w:val="0"/>
              <w:marTop w:val="0"/>
              <w:marBottom w:val="0"/>
              <w:divBdr>
                <w:top w:val="none" w:sz="0" w:space="0" w:color="auto"/>
                <w:left w:val="none" w:sz="0" w:space="0" w:color="auto"/>
                <w:bottom w:val="none" w:sz="0" w:space="0" w:color="auto"/>
                <w:right w:val="none" w:sz="0" w:space="0" w:color="auto"/>
              </w:divBdr>
            </w:div>
          </w:divsChild>
        </w:div>
        <w:div w:id="113259285">
          <w:marLeft w:val="0"/>
          <w:marRight w:val="0"/>
          <w:marTop w:val="0"/>
          <w:marBottom w:val="0"/>
          <w:divBdr>
            <w:top w:val="none" w:sz="0" w:space="0" w:color="auto"/>
            <w:left w:val="none" w:sz="0" w:space="0" w:color="auto"/>
            <w:bottom w:val="none" w:sz="0" w:space="0" w:color="auto"/>
            <w:right w:val="none" w:sz="0" w:space="0" w:color="auto"/>
          </w:divBdr>
          <w:divsChild>
            <w:div w:id="1970090087">
              <w:marLeft w:val="0"/>
              <w:marRight w:val="0"/>
              <w:marTop w:val="0"/>
              <w:marBottom w:val="0"/>
              <w:divBdr>
                <w:top w:val="none" w:sz="0" w:space="0" w:color="auto"/>
                <w:left w:val="none" w:sz="0" w:space="0" w:color="auto"/>
                <w:bottom w:val="none" w:sz="0" w:space="0" w:color="auto"/>
                <w:right w:val="none" w:sz="0" w:space="0" w:color="auto"/>
              </w:divBdr>
            </w:div>
          </w:divsChild>
        </w:div>
        <w:div w:id="133529452">
          <w:marLeft w:val="0"/>
          <w:marRight w:val="0"/>
          <w:marTop w:val="0"/>
          <w:marBottom w:val="0"/>
          <w:divBdr>
            <w:top w:val="none" w:sz="0" w:space="0" w:color="auto"/>
            <w:left w:val="none" w:sz="0" w:space="0" w:color="auto"/>
            <w:bottom w:val="none" w:sz="0" w:space="0" w:color="auto"/>
            <w:right w:val="none" w:sz="0" w:space="0" w:color="auto"/>
          </w:divBdr>
          <w:divsChild>
            <w:div w:id="618996438">
              <w:marLeft w:val="0"/>
              <w:marRight w:val="0"/>
              <w:marTop w:val="0"/>
              <w:marBottom w:val="0"/>
              <w:divBdr>
                <w:top w:val="none" w:sz="0" w:space="0" w:color="auto"/>
                <w:left w:val="none" w:sz="0" w:space="0" w:color="auto"/>
                <w:bottom w:val="none" w:sz="0" w:space="0" w:color="auto"/>
                <w:right w:val="none" w:sz="0" w:space="0" w:color="auto"/>
              </w:divBdr>
            </w:div>
          </w:divsChild>
        </w:div>
        <w:div w:id="144397237">
          <w:marLeft w:val="0"/>
          <w:marRight w:val="0"/>
          <w:marTop w:val="0"/>
          <w:marBottom w:val="0"/>
          <w:divBdr>
            <w:top w:val="none" w:sz="0" w:space="0" w:color="auto"/>
            <w:left w:val="none" w:sz="0" w:space="0" w:color="auto"/>
            <w:bottom w:val="none" w:sz="0" w:space="0" w:color="auto"/>
            <w:right w:val="none" w:sz="0" w:space="0" w:color="auto"/>
          </w:divBdr>
          <w:divsChild>
            <w:div w:id="848174646">
              <w:marLeft w:val="0"/>
              <w:marRight w:val="0"/>
              <w:marTop w:val="0"/>
              <w:marBottom w:val="0"/>
              <w:divBdr>
                <w:top w:val="none" w:sz="0" w:space="0" w:color="auto"/>
                <w:left w:val="none" w:sz="0" w:space="0" w:color="auto"/>
                <w:bottom w:val="none" w:sz="0" w:space="0" w:color="auto"/>
                <w:right w:val="none" w:sz="0" w:space="0" w:color="auto"/>
              </w:divBdr>
            </w:div>
          </w:divsChild>
        </w:div>
        <w:div w:id="151336447">
          <w:marLeft w:val="0"/>
          <w:marRight w:val="0"/>
          <w:marTop w:val="0"/>
          <w:marBottom w:val="0"/>
          <w:divBdr>
            <w:top w:val="none" w:sz="0" w:space="0" w:color="auto"/>
            <w:left w:val="none" w:sz="0" w:space="0" w:color="auto"/>
            <w:bottom w:val="none" w:sz="0" w:space="0" w:color="auto"/>
            <w:right w:val="none" w:sz="0" w:space="0" w:color="auto"/>
          </w:divBdr>
          <w:divsChild>
            <w:div w:id="2088914439">
              <w:marLeft w:val="0"/>
              <w:marRight w:val="0"/>
              <w:marTop w:val="0"/>
              <w:marBottom w:val="0"/>
              <w:divBdr>
                <w:top w:val="none" w:sz="0" w:space="0" w:color="auto"/>
                <w:left w:val="none" w:sz="0" w:space="0" w:color="auto"/>
                <w:bottom w:val="none" w:sz="0" w:space="0" w:color="auto"/>
                <w:right w:val="none" w:sz="0" w:space="0" w:color="auto"/>
              </w:divBdr>
            </w:div>
          </w:divsChild>
        </w:div>
        <w:div w:id="152109794">
          <w:marLeft w:val="0"/>
          <w:marRight w:val="0"/>
          <w:marTop w:val="0"/>
          <w:marBottom w:val="0"/>
          <w:divBdr>
            <w:top w:val="none" w:sz="0" w:space="0" w:color="auto"/>
            <w:left w:val="none" w:sz="0" w:space="0" w:color="auto"/>
            <w:bottom w:val="none" w:sz="0" w:space="0" w:color="auto"/>
            <w:right w:val="none" w:sz="0" w:space="0" w:color="auto"/>
          </w:divBdr>
          <w:divsChild>
            <w:div w:id="594286000">
              <w:marLeft w:val="0"/>
              <w:marRight w:val="0"/>
              <w:marTop w:val="0"/>
              <w:marBottom w:val="0"/>
              <w:divBdr>
                <w:top w:val="none" w:sz="0" w:space="0" w:color="auto"/>
                <w:left w:val="none" w:sz="0" w:space="0" w:color="auto"/>
                <w:bottom w:val="none" w:sz="0" w:space="0" w:color="auto"/>
                <w:right w:val="none" w:sz="0" w:space="0" w:color="auto"/>
              </w:divBdr>
            </w:div>
          </w:divsChild>
        </w:div>
        <w:div w:id="152840029">
          <w:marLeft w:val="0"/>
          <w:marRight w:val="0"/>
          <w:marTop w:val="0"/>
          <w:marBottom w:val="0"/>
          <w:divBdr>
            <w:top w:val="none" w:sz="0" w:space="0" w:color="auto"/>
            <w:left w:val="none" w:sz="0" w:space="0" w:color="auto"/>
            <w:bottom w:val="none" w:sz="0" w:space="0" w:color="auto"/>
            <w:right w:val="none" w:sz="0" w:space="0" w:color="auto"/>
          </w:divBdr>
          <w:divsChild>
            <w:div w:id="1279146562">
              <w:marLeft w:val="0"/>
              <w:marRight w:val="0"/>
              <w:marTop w:val="0"/>
              <w:marBottom w:val="0"/>
              <w:divBdr>
                <w:top w:val="none" w:sz="0" w:space="0" w:color="auto"/>
                <w:left w:val="none" w:sz="0" w:space="0" w:color="auto"/>
                <w:bottom w:val="none" w:sz="0" w:space="0" w:color="auto"/>
                <w:right w:val="none" w:sz="0" w:space="0" w:color="auto"/>
              </w:divBdr>
            </w:div>
          </w:divsChild>
        </w:div>
        <w:div w:id="168720257">
          <w:marLeft w:val="0"/>
          <w:marRight w:val="0"/>
          <w:marTop w:val="0"/>
          <w:marBottom w:val="0"/>
          <w:divBdr>
            <w:top w:val="none" w:sz="0" w:space="0" w:color="auto"/>
            <w:left w:val="none" w:sz="0" w:space="0" w:color="auto"/>
            <w:bottom w:val="none" w:sz="0" w:space="0" w:color="auto"/>
            <w:right w:val="none" w:sz="0" w:space="0" w:color="auto"/>
          </w:divBdr>
          <w:divsChild>
            <w:div w:id="1754471756">
              <w:marLeft w:val="0"/>
              <w:marRight w:val="0"/>
              <w:marTop w:val="0"/>
              <w:marBottom w:val="0"/>
              <w:divBdr>
                <w:top w:val="none" w:sz="0" w:space="0" w:color="auto"/>
                <w:left w:val="none" w:sz="0" w:space="0" w:color="auto"/>
                <w:bottom w:val="none" w:sz="0" w:space="0" w:color="auto"/>
                <w:right w:val="none" w:sz="0" w:space="0" w:color="auto"/>
              </w:divBdr>
            </w:div>
          </w:divsChild>
        </w:div>
        <w:div w:id="189951357">
          <w:marLeft w:val="0"/>
          <w:marRight w:val="0"/>
          <w:marTop w:val="0"/>
          <w:marBottom w:val="0"/>
          <w:divBdr>
            <w:top w:val="none" w:sz="0" w:space="0" w:color="auto"/>
            <w:left w:val="none" w:sz="0" w:space="0" w:color="auto"/>
            <w:bottom w:val="none" w:sz="0" w:space="0" w:color="auto"/>
            <w:right w:val="none" w:sz="0" w:space="0" w:color="auto"/>
          </w:divBdr>
          <w:divsChild>
            <w:div w:id="687371579">
              <w:marLeft w:val="0"/>
              <w:marRight w:val="0"/>
              <w:marTop w:val="0"/>
              <w:marBottom w:val="0"/>
              <w:divBdr>
                <w:top w:val="none" w:sz="0" w:space="0" w:color="auto"/>
                <w:left w:val="none" w:sz="0" w:space="0" w:color="auto"/>
                <w:bottom w:val="none" w:sz="0" w:space="0" w:color="auto"/>
                <w:right w:val="none" w:sz="0" w:space="0" w:color="auto"/>
              </w:divBdr>
            </w:div>
          </w:divsChild>
        </w:div>
        <w:div w:id="197089166">
          <w:marLeft w:val="0"/>
          <w:marRight w:val="0"/>
          <w:marTop w:val="0"/>
          <w:marBottom w:val="0"/>
          <w:divBdr>
            <w:top w:val="none" w:sz="0" w:space="0" w:color="auto"/>
            <w:left w:val="none" w:sz="0" w:space="0" w:color="auto"/>
            <w:bottom w:val="none" w:sz="0" w:space="0" w:color="auto"/>
            <w:right w:val="none" w:sz="0" w:space="0" w:color="auto"/>
          </w:divBdr>
          <w:divsChild>
            <w:div w:id="1132670436">
              <w:marLeft w:val="0"/>
              <w:marRight w:val="0"/>
              <w:marTop w:val="0"/>
              <w:marBottom w:val="0"/>
              <w:divBdr>
                <w:top w:val="none" w:sz="0" w:space="0" w:color="auto"/>
                <w:left w:val="none" w:sz="0" w:space="0" w:color="auto"/>
                <w:bottom w:val="none" w:sz="0" w:space="0" w:color="auto"/>
                <w:right w:val="none" w:sz="0" w:space="0" w:color="auto"/>
              </w:divBdr>
            </w:div>
          </w:divsChild>
        </w:div>
        <w:div w:id="199172142">
          <w:marLeft w:val="0"/>
          <w:marRight w:val="0"/>
          <w:marTop w:val="0"/>
          <w:marBottom w:val="0"/>
          <w:divBdr>
            <w:top w:val="none" w:sz="0" w:space="0" w:color="auto"/>
            <w:left w:val="none" w:sz="0" w:space="0" w:color="auto"/>
            <w:bottom w:val="none" w:sz="0" w:space="0" w:color="auto"/>
            <w:right w:val="none" w:sz="0" w:space="0" w:color="auto"/>
          </w:divBdr>
          <w:divsChild>
            <w:div w:id="2054838992">
              <w:marLeft w:val="0"/>
              <w:marRight w:val="0"/>
              <w:marTop w:val="0"/>
              <w:marBottom w:val="0"/>
              <w:divBdr>
                <w:top w:val="none" w:sz="0" w:space="0" w:color="auto"/>
                <w:left w:val="none" w:sz="0" w:space="0" w:color="auto"/>
                <w:bottom w:val="none" w:sz="0" w:space="0" w:color="auto"/>
                <w:right w:val="none" w:sz="0" w:space="0" w:color="auto"/>
              </w:divBdr>
            </w:div>
          </w:divsChild>
        </w:div>
        <w:div w:id="209654819">
          <w:marLeft w:val="0"/>
          <w:marRight w:val="0"/>
          <w:marTop w:val="0"/>
          <w:marBottom w:val="0"/>
          <w:divBdr>
            <w:top w:val="none" w:sz="0" w:space="0" w:color="auto"/>
            <w:left w:val="none" w:sz="0" w:space="0" w:color="auto"/>
            <w:bottom w:val="none" w:sz="0" w:space="0" w:color="auto"/>
            <w:right w:val="none" w:sz="0" w:space="0" w:color="auto"/>
          </w:divBdr>
          <w:divsChild>
            <w:div w:id="2067756834">
              <w:marLeft w:val="0"/>
              <w:marRight w:val="0"/>
              <w:marTop w:val="0"/>
              <w:marBottom w:val="0"/>
              <w:divBdr>
                <w:top w:val="none" w:sz="0" w:space="0" w:color="auto"/>
                <w:left w:val="none" w:sz="0" w:space="0" w:color="auto"/>
                <w:bottom w:val="none" w:sz="0" w:space="0" w:color="auto"/>
                <w:right w:val="none" w:sz="0" w:space="0" w:color="auto"/>
              </w:divBdr>
            </w:div>
          </w:divsChild>
        </w:div>
        <w:div w:id="216479412">
          <w:marLeft w:val="0"/>
          <w:marRight w:val="0"/>
          <w:marTop w:val="0"/>
          <w:marBottom w:val="0"/>
          <w:divBdr>
            <w:top w:val="none" w:sz="0" w:space="0" w:color="auto"/>
            <w:left w:val="none" w:sz="0" w:space="0" w:color="auto"/>
            <w:bottom w:val="none" w:sz="0" w:space="0" w:color="auto"/>
            <w:right w:val="none" w:sz="0" w:space="0" w:color="auto"/>
          </w:divBdr>
          <w:divsChild>
            <w:div w:id="2064404476">
              <w:marLeft w:val="0"/>
              <w:marRight w:val="0"/>
              <w:marTop w:val="0"/>
              <w:marBottom w:val="0"/>
              <w:divBdr>
                <w:top w:val="none" w:sz="0" w:space="0" w:color="auto"/>
                <w:left w:val="none" w:sz="0" w:space="0" w:color="auto"/>
                <w:bottom w:val="none" w:sz="0" w:space="0" w:color="auto"/>
                <w:right w:val="none" w:sz="0" w:space="0" w:color="auto"/>
              </w:divBdr>
            </w:div>
          </w:divsChild>
        </w:div>
        <w:div w:id="228466252">
          <w:marLeft w:val="0"/>
          <w:marRight w:val="0"/>
          <w:marTop w:val="0"/>
          <w:marBottom w:val="0"/>
          <w:divBdr>
            <w:top w:val="none" w:sz="0" w:space="0" w:color="auto"/>
            <w:left w:val="none" w:sz="0" w:space="0" w:color="auto"/>
            <w:bottom w:val="none" w:sz="0" w:space="0" w:color="auto"/>
            <w:right w:val="none" w:sz="0" w:space="0" w:color="auto"/>
          </w:divBdr>
          <w:divsChild>
            <w:div w:id="504589760">
              <w:marLeft w:val="0"/>
              <w:marRight w:val="0"/>
              <w:marTop w:val="0"/>
              <w:marBottom w:val="0"/>
              <w:divBdr>
                <w:top w:val="none" w:sz="0" w:space="0" w:color="auto"/>
                <w:left w:val="none" w:sz="0" w:space="0" w:color="auto"/>
                <w:bottom w:val="none" w:sz="0" w:space="0" w:color="auto"/>
                <w:right w:val="none" w:sz="0" w:space="0" w:color="auto"/>
              </w:divBdr>
            </w:div>
          </w:divsChild>
        </w:div>
        <w:div w:id="252670117">
          <w:marLeft w:val="0"/>
          <w:marRight w:val="0"/>
          <w:marTop w:val="0"/>
          <w:marBottom w:val="0"/>
          <w:divBdr>
            <w:top w:val="none" w:sz="0" w:space="0" w:color="auto"/>
            <w:left w:val="none" w:sz="0" w:space="0" w:color="auto"/>
            <w:bottom w:val="none" w:sz="0" w:space="0" w:color="auto"/>
            <w:right w:val="none" w:sz="0" w:space="0" w:color="auto"/>
          </w:divBdr>
          <w:divsChild>
            <w:div w:id="178201239">
              <w:marLeft w:val="0"/>
              <w:marRight w:val="0"/>
              <w:marTop w:val="0"/>
              <w:marBottom w:val="0"/>
              <w:divBdr>
                <w:top w:val="none" w:sz="0" w:space="0" w:color="auto"/>
                <w:left w:val="none" w:sz="0" w:space="0" w:color="auto"/>
                <w:bottom w:val="none" w:sz="0" w:space="0" w:color="auto"/>
                <w:right w:val="none" w:sz="0" w:space="0" w:color="auto"/>
              </w:divBdr>
            </w:div>
          </w:divsChild>
        </w:div>
        <w:div w:id="255481306">
          <w:marLeft w:val="0"/>
          <w:marRight w:val="0"/>
          <w:marTop w:val="0"/>
          <w:marBottom w:val="0"/>
          <w:divBdr>
            <w:top w:val="none" w:sz="0" w:space="0" w:color="auto"/>
            <w:left w:val="none" w:sz="0" w:space="0" w:color="auto"/>
            <w:bottom w:val="none" w:sz="0" w:space="0" w:color="auto"/>
            <w:right w:val="none" w:sz="0" w:space="0" w:color="auto"/>
          </w:divBdr>
          <w:divsChild>
            <w:div w:id="1941255359">
              <w:marLeft w:val="0"/>
              <w:marRight w:val="0"/>
              <w:marTop w:val="0"/>
              <w:marBottom w:val="0"/>
              <w:divBdr>
                <w:top w:val="none" w:sz="0" w:space="0" w:color="auto"/>
                <w:left w:val="none" w:sz="0" w:space="0" w:color="auto"/>
                <w:bottom w:val="none" w:sz="0" w:space="0" w:color="auto"/>
                <w:right w:val="none" w:sz="0" w:space="0" w:color="auto"/>
              </w:divBdr>
            </w:div>
          </w:divsChild>
        </w:div>
        <w:div w:id="258147803">
          <w:marLeft w:val="0"/>
          <w:marRight w:val="0"/>
          <w:marTop w:val="0"/>
          <w:marBottom w:val="0"/>
          <w:divBdr>
            <w:top w:val="none" w:sz="0" w:space="0" w:color="auto"/>
            <w:left w:val="none" w:sz="0" w:space="0" w:color="auto"/>
            <w:bottom w:val="none" w:sz="0" w:space="0" w:color="auto"/>
            <w:right w:val="none" w:sz="0" w:space="0" w:color="auto"/>
          </w:divBdr>
          <w:divsChild>
            <w:div w:id="3828430">
              <w:marLeft w:val="0"/>
              <w:marRight w:val="0"/>
              <w:marTop w:val="0"/>
              <w:marBottom w:val="0"/>
              <w:divBdr>
                <w:top w:val="none" w:sz="0" w:space="0" w:color="auto"/>
                <w:left w:val="none" w:sz="0" w:space="0" w:color="auto"/>
                <w:bottom w:val="none" w:sz="0" w:space="0" w:color="auto"/>
                <w:right w:val="none" w:sz="0" w:space="0" w:color="auto"/>
              </w:divBdr>
            </w:div>
          </w:divsChild>
        </w:div>
        <w:div w:id="272173288">
          <w:marLeft w:val="0"/>
          <w:marRight w:val="0"/>
          <w:marTop w:val="0"/>
          <w:marBottom w:val="0"/>
          <w:divBdr>
            <w:top w:val="none" w:sz="0" w:space="0" w:color="auto"/>
            <w:left w:val="none" w:sz="0" w:space="0" w:color="auto"/>
            <w:bottom w:val="none" w:sz="0" w:space="0" w:color="auto"/>
            <w:right w:val="none" w:sz="0" w:space="0" w:color="auto"/>
          </w:divBdr>
          <w:divsChild>
            <w:div w:id="835271171">
              <w:marLeft w:val="0"/>
              <w:marRight w:val="0"/>
              <w:marTop w:val="0"/>
              <w:marBottom w:val="0"/>
              <w:divBdr>
                <w:top w:val="none" w:sz="0" w:space="0" w:color="auto"/>
                <w:left w:val="none" w:sz="0" w:space="0" w:color="auto"/>
                <w:bottom w:val="none" w:sz="0" w:space="0" w:color="auto"/>
                <w:right w:val="none" w:sz="0" w:space="0" w:color="auto"/>
              </w:divBdr>
            </w:div>
          </w:divsChild>
        </w:div>
        <w:div w:id="276331838">
          <w:marLeft w:val="0"/>
          <w:marRight w:val="0"/>
          <w:marTop w:val="0"/>
          <w:marBottom w:val="0"/>
          <w:divBdr>
            <w:top w:val="none" w:sz="0" w:space="0" w:color="auto"/>
            <w:left w:val="none" w:sz="0" w:space="0" w:color="auto"/>
            <w:bottom w:val="none" w:sz="0" w:space="0" w:color="auto"/>
            <w:right w:val="none" w:sz="0" w:space="0" w:color="auto"/>
          </w:divBdr>
          <w:divsChild>
            <w:div w:id="1095978640">
              <w:marLeft w:val="0"/>
              <w:marRight w:val="0"/>
              <w:marTop w:val="0"/>
              <w:marBottom w:val="0"/>
              <w:divBdr>
                <w:top w:val="none" w:sz="0" w:space="0" w:color="auto"/>
                <w:left w:val="none" w:sz="0" w:space="0" w:color="auto"/>
                <w:bottom w:val="none" w:sz="0" w:space="0" w:color="auto"/>
                <w:right w:val="none" w:sz="0" w:space="0" w:color="auto"/>
              </w:divBdr>
            </w:div>
          </w:divsChild>
        </w:div>
        <w:div w:id="281159113">
          <w:marLeft w:val="0"/>
          <w:marRight w:val="0"/>
          <w:marTop w:val="0"/>
          <w:marBottom w:val="0"/>
          <w:divBdr>
            <w:top w:val="none" w:sz="0" w:space="0" w:color="auto"/>
            <w:left w:val="none" w:sz="0" w:space="0" w:color="auto"/>
            <w:bottom w:val="none" w:sz="0" w:space="0" w:color="auto"/>
            <w:right w:val="none" w:sz="0" w:space="0" w:color="auto"/>
          </w:divBdr>
          <w:divsChild>
            <w:div w:id="1052462506">
              <w:marLeft w:val="0"/>
              <w:marRight w:val="0"/>
              <w:marTop w:val="0"/>
              <w:marBottom w:val="0"/>
              <w:divBdr>
                <w:top w:val="none" w:sz="0" w:space="0" w:color="auto"/>
                <w:left w:val="none" w:sz="0" w:space="0" w:color="auto"/>
                <w:bottom w:val="none" w:sz="0" w:space="0" w:color="auto"/>
                <w:right w:val="none" w:sz="0" w:space="0" w:color="auto"/>
              </w:divBdr>
            </w:div>
          </w:divsChild>
        </w:div>
        <w:div w:id="287050187">
          <w:marLeft w:val="0"/>
          <w:marRight w:val="0"/>
          <w:marTop w:val="0"/>
          <w:marBottom w:val="0"/>
          <w:divBdr>
            <w:top w:val="none" w:sz="0" w:space="0" w:color="auto"/>
            <w:left w:val="none" w:sz="0" w:space="0" w:color="auto"/>
            <w:bottom w:val="none" w:sz="0" w:space="0" w:color="auto"/>
            <w:right w:val="none" w:sz="0" w:space="0" w:color="auto"/>
          </w:divBdr>
          <w:divsChild>
            <w:div w:id="1863860686">
              <w:marLeft w:val="0"/>
              <w:marRight w:val="0"/>
              <w:marTop w:val="0"/>
              <w:marBottom w:val="0"/>
              <w:divBdr>
                <w:top w:val="none" w:sz="0" w:space="0" w:color="auto"/>
                <w:left w:val="none" w:sz="0" w:space="0" w:color="auto"/>
                <w:bottom w:val="none" w:sz="0" w:space="0" w:color="auto"/>
                <w:right w:val="none" w:sz="0" w:space="0" w:color="auto"/>
              </w:divBdr>
            </w:div>
          </w:divsChild>
        </w:div>
        <w:div w:id="287398820">
          <w:marLeft w:val="0"/>
          <w:marRight w:val="0"/>
          <w:marTop w:val="0"/>
          <w:marBottom w:val="0"/>
          <w:divBdr>
            <w:top w:val="none" w:sz="0" w:space="0" w:color="auto"/>
            <w:left w:val="none" w:sz="0" w:space="0" w:color="auto"/>
            <w:bottom w:val="none" w:sz="0" w:space="0" w:color="auto"/>
            <w:right w:val="none" w:sz="0" w:space="0" w:color="auto"/>
          </w:divBdr>
          <w:divsChild>
            <w:div w:id="120199013">
              <w:marLeft w:val="0"/>
              <w:marRight w:val="0"/>
              <w:marTop w:val="0"/>
              <w:marBottom w:val="0"/>
              <w:divBdr>
                <w:top w:val="none" w:sz="0" w:space="0" w:color="auto"/>
                <w:left w:val="none" w:sz="0" w:space="0" w:color="auto"/>
                <w:bottom w:val="none" w:sz="0" w:space="0" w:color="auto"/>
                <w:right w:val="none" w:sz="0" w:space="0" w:color="auto"/>
              </w:divBdr>
            </w:div>
          </w:divsChild>
        </w:div>
        <w:div w:id="288634767">
          <w:marLeft w:val="0"/>
          <w:marRight w:val="0"/>
          <w:marTop w:val="0"/>
          <w:marBottom w:val="0"/>
          <w:divBdr>
            <w:top w:val="none" w:sz="0" w:space="0" w:color="auto"/>
            <w:left w:val="none" w:sz="0" w:space="0" w:color="auto"/>
            <w:bottom w:val="none" w:sz="0" w:space="0" w:color="auto"/>
            <w:right w:val="none" w:sz="0" w:space="0" w:color="auto"/>
          </w:divBdr>
          <w:divsChild>
            <w:div w:id="1599487791">
              <w:marLeft w:val="0"/>
              <w:marRight w:val="0"/>
              <w:marTop w:val="0"/>
              <w:marBottom w:val="0"/>
              <w:divBdr>
                <w:top w:val="none" w:sz="0" w:space="0" w:color="auto"/>
                <w:left w:val="none" w:sz="0" w:space="0" w:color="auto"/>
                <w:bottom w:val="none" w:sz="0" w:space="0" w:color="auto"/>
                <w:right w:val="none" w:sz="0" w:space="0" w:color="auto"/>
              </w:divBdr>
            </w:div>
          </w:divsChild>
        </w:div>
        <w:div w:id="296109535">
          <w:marLeft w:val="0"/>
          <w:marRight w:val="0"/>
          <w:marTop w:val="0"/>
          <w:marBottom w:val="0"/>
          <w:divBdr>
            <w:top w:val="none" w:sz="0" w:space="0" w:color="auto"/>
            <w:left w:val="none" w:sz="0" w:space="0" w:color="auto"/>
            <w:bottom w:val="none" w:sz="0" w:space="0" w:color="auto"/>
            <w:right w:val="none" w:sz="0" w:space="0" w:color="auto"/>
          </w:divBdr>
          <w:divsChild>
            <w:div w:id="1850215752">
              <w:marLeft w:val="0"/>
              <w:marRight w:val="0"/>
              <w:marTop w:val="0"/>
              <w:marBottom w:val="0"/>
              <w:divBdr>
                <w:top w:val="none" w:sz="0" w:space="0" w:color="auto"/>
                <w:left w:val="none" w:sz="0" w:space="0" w:color="auto"/>
                <w:bottom w:val="none" w:sz="0" w:space="0" w:color="auto"/>
                <w:right w:val="none" w:sz="0" w:space="0" w:color="auto"/>
              </w:divBdr>
            </w:div>
          </w:divsChild>
        </w:div>
        <w:div w:id="298729840">
          <w:marLeft w:val="0"/>
          <w:marRight w:val="0"/>
          <w:marTop w:val="0"/>
          <w:marBottom w:val="0"/>
          <w:divBdr>
            <w:top w:val="none" w:sz="0" w:space="0" w:color="auto"/>
            <w:left w:val="none" w:sz="0" w:space="0" w:color="auto"/>
            <w:bottom w:val="none" w:sz="0" w:space="0" w:color="auto"/>
            <w:right w:val="none" w:sz="0" w:space="0" w:color="auto"/>
          </w:divBdr>
          <w:divsChild>
            <w:div w:id="690105377">
              <w:marLeft w:val="0"/>
              <w:marRight w:val="0"/>
              <w:marTop w:val="0"/>
              <w:marBottom w:val="0"/>
              <w:divBdr>
                <w:top w:val="none" w:sz="0" w:space="0" w:color="auto"/>
                <w:left w:val="none" w:sz="0" w:space="0" w:color="auto"/>
                <w:bottom w:val="none" w:sz="0" w:space="0" w:color="auto"/>
                <w:right w:val="none" w:sz="0" w:space="0" w:color="auto"/>
              </w:divBdr>
            </w:div>
          </w:divsChild>
        </w:div>
        <w:div w:id="302663541">
          <w:marLeft w:val="0"/>
          <w:marRight w:val="0"/>
          <w:marTop w:val="0"/>
          <w:marBottom w:val="0"/>
          <w:divBdr>
            <w:top w:val="none" w:sz="0" w:space="0" w:color="auto"/>
            <w:left w:val="none" w:sz="0" w:space="0" w:color="auto"/>
            <w:bottom w:val="none" w:sz="0" w:space="0" w:color="auto"/>
            <w:right w:val="none" w:sz="0" w:space="0" w:color="auto"/>
          </w:divBdr>
          <w:divsChild>
            <w:div w:id="750080249">
              <w:marLeft w:val="0"/>
              <w:marRight w:val="0"/>
              <w:marTop w:val="0"/>
              <w:marBottom w:val="0"/>
              <w:divBdr>
                <w:top w:val="none" w:sz="0" w:space="0" w:color="auto"/>
                <w:left w:val="none" w:sz="0" w:space="0" w:color="auto"/>
                <w:bottom w:val="none" w:sz="0" w:space="0" w:color="auto"/>
                <w:right w:val="none" w:sz="0" w:space="0" w:color="auto"/>
              </w:divBdr>
            </w:div>
          </w:divsChild>
        </w:div>
        <w:div w:id="306671460">
          <w:marLeft w:val="0"/>
          <w:marRight w:val="0"/>
          <w:marTop w:val="0"/>
          <w:marBottom w:val="0"/>
          <w:divBdr>
            <w:top w:val="none" w:sz="0" w:space="0" w:color="auto"/>
            <w:left w:val="none" w:sz="0" w:space="0" w:color="auto"/>
            <w:bottom w:val="none" w:sz="0" w:space="0" w:color="auto"/>
            <w:right w:val="none" w:sz="0" w:space="0" w:color="auto"/>
          </w:divBdr>
          <w:divsChild>
            <w:div w:id="1158955426">
              <w:marLeft w:val="0"/>
              <w:marRight w:val="0"/>
              <w:marTop w:val="0"/>
              <w:marBottom w:val="0"/>
              <w:divBdr>
                <w:top w:val="none" w:sz="0" w:space="0" w:color="auto"/>
                <w:left w:val="none" w:sz="0" w:space="0" w:color="auto"/>
                <w:bottom w:val="none" w:sz="0" w:space="0" w:color="auto"/>
                <w:right w:val="none" w:sz="0" w:space="0" w:color="auto"/>
              </w:divBdr>
            </w:div>
          </w:divsChild>
        </w:div>
        <w:div w:id="314186866">
          <w:marLeft w:val="0"/>
          <w:marRight w:val="0"/>
          <w:marTop w:val="0"/>
          <w:marBottom w:val="0"/>
          <w:divBdr>
            <w:top w:val="none" w:sz="0" w:space="0" w:color="auto"/>
            <w:left w:val="none" w:sz="0" w:space="0" w:color="auto"/>
            <w:bottom w:val="none" w:sz="0" w:space="0" w:color="auto"/>
            <w:right w:val="none" w:sz="0" w:space="0" w:color="auto"/>
          </w:divBdr>
          <w:divsChild>
            <w:div w:id="1711565375">
              <w:marLeft w:val="0"/>
              <w:marRight w:val="0"/>
              <w:marTop w:val="0"/>
              <w:marBottom w:val="0"/>
              <w:divBdr>
                <w:top w:val="none" w:sz="0" w:space="0" w:color="auto"/>
                <w:left w:val="none" w:sz="0" w:space="0" w:color="auto"/>
                <w:bottom w:val="none" w:sz="0" w:space="0" w:color="auto"/>
                <w:right w:val="none" w:sz="0" w:space="0" w:color="auto"/>
              </w:divBdr>
            </w:div>
          </w:divsChild>
        </w:div>
        <w:div w:id="321550386">
          <w:marLeft w:val="0"/>
          <w:marRight w:val="0"/>
          <w:marTop w:val="0"/>
          <w:marBottom w:val="0"/>
          <w:divBdr>
            <w:top w:val="none" w:sz="0" w:space="0" w:color="auto"/>
            <w:left w:val="none" w:sz="0" w:space="0" w:color="auto"/>
            <w:bottom w:val="none" w:sz="0" w:space="0" w:color="auto"/>
            <w:right w:val="none" w:sz="0" w:space="0" w:color="auto"/>
          </w:divBdr>
          <w:divsChild>
            <w:div w:id="156111960">
              <w:marLeft w:val="0"/>
              <w:marRight w:val="0"/>
              <w:marTop w:val="0"/>
              <w:marBottom w:val="0"/>
              <w:divBdr>
                <w:top w:val="none" w:sz="0" w:space="0" w:color="auto"/>
                <w:left w:val="none" w:sz="0" w:space="0" w:color="auto"/>
                <w:bottom w:val="none" w:sz="0" w:space="0" w:color="auto"/>
                <w:right w:val="none" w:sz="0" w:space="0" w:color="auto"/>
              </w:divBdr>
            </w:div>
          </w:divsChild>
        </w:div>
        <w:div w:id="323511926">
          <w:marLeft w:val="0"/>
          <w:marRight w:val="0"/>
          <w:marTop w:val="0"/>
          <w:marBottom w:val="0"/>
          <w:divBdr>
            <w:top w:val="none" w:sz="0" w:space="0" w:color="auto"/>
            <w:left w:val="none" w:sz="0" w:space="0" w:color="auto"/>
            <w:bottom w:val="none" w:sz="0" w:space="0" w:color="auto"/>
            <w:right w:val="none" w:sz="0" w:space="0" w:color="auto"/>
          </w:divBdr>
          <w:divsChild>
            <w:div w:id="503711678">
              <w:marLeft w:val="0"/>
              <w:marRight w:val="0"/>
              <w:marTop w:val="0"/>
              <w:marBottom w:val="0"/>
              <w:divBdr>
                <w:top w:val="none" w:sz="0" w:space="0" w:color="auto"/>
                <w:left w:val="none" w:sz="0" w:space="0" w:color="auto"/>
                <w:bottom w:val="none" w:sz="0" w:space="0" w:color="auto"/>
                <w:right w:val="none" w:sz="0" w:space="0" w:color="auto"/>
              </w:divBdr>
            </w:div>
          </w:divsChild>
        </w:div>
        <w:div w:id="326711486">
          <w:marLeft w:val="0"/>
          <w:marRight w:val="0"/>
          <w:marTop w:val="0"/>
          <w:marBottom w:val="0"/>
          <w:divBdr>
            <w:top w:val="none" w:sz="0" w:space="0" w:color="auto"/>
            <w:left w:val="none" w:sz="0" w:space="0" w:color="auto"/>
            <w:bottom w:val="none" w:sz="0" w:space="0" w:color="auto"/>
            <w:right w:val="none" w:sz="0" w:space="0" w:color="auto"/>
          </w:divBdr>
          <w:divsChild>
            <w:div w:id="1977225441">
              <w:marLeft w:val="0"/>
              <w:marRight w:val="0"/>
              <w:marTop w:val="0"/>
              <w:marBottom w:val="0"/>
              <w:divBdr>
                <w:top w:val="none" w:sz="0" w:space="0" w:color="auto"/>
                <w:left w:val="none" w:sz="0" w:space="0" w:color="auto"/>
                <w:bottom w:val="none" w:sz="0" w:space="0" w:color="auto"/>
                <w:right w:val="none" w:sz="0" w:space="0" w:color="auto"/>
              </w:divBdr>
            </w:div>
          </w:divsChild>
        </w:div>
        <w:div w:id="327293569">
          <w:marLeft w:val="0"/>
          <w:marRight w:val="0"/>
          <w:marTop w:val="0"/>
          <w:marBottom w:val="0"/>
          <w:divBdr>
            <w:top w:val="none" w:sz="0" w:space="0" w:color="auto"/>
            <w:left w:val="none" w:sz="0" w:space="0" w:color="auto"/>
            <w:bottom w:val="none" w:sz="0" w:space="0" w:color="auto"/>
            <w:right w:val="none" w:sz="0" w:space="0" w:color="auto"/>
          </w:divBdr>
          <w:divsChild>
            <w:div w:id="1240217935">
              <w:marLeft w:val="0"/>
              <w:marRight w:val="0"/>
              <w:marTop w:val="0"/>
              <w:marBottom w:val="0"/>
              <w:divBdr>
                <w:top w:val="none" w:sz="0" w:space="0" w:color="auto"/>
                <w:left w:val="none" w:sz="0" w:space="0" w:color="auto"/>
                <w:bottom w:val="none" w:sz="0" w:space="0" w:color="auto"/>
                <w:right w:val="none" w:sz="0" w:space="0" w:color="auto"/>
              </w:divBdr>
            </w:div>
          </w:divsChild>
        </w:div>
        <w:div w:id="330642757">
          <w:marLeft w:val="0"/>
          <w:marRight w:val="0"/>
          <w:marTop w:val="0"/>
          <w:marBottom w:val="0"/>
          <w:divBdr>
            <w:top w:val="none" w:sz="0" w:space="0" w:color="auto"/>
            <w:left w:val="none" w:sz="0" w:space="0" w:color="auto"/>
            <w:bottom w:val="none" w:sz="0" w:space="0" w:color="auto"/>
            <w:right w:val="none" w:sz="0" w:space="0" w:color="auto"/>
          </w:divBdr>
          <w:divsChild>
            <w:div w:id="480001906">
              <w:marLeft w:val="0"/>
              <w:marRight w:val="0"/>
              <w:marTop w:val="0"/>
              <w:marBottom w:val="0"/>
              <w:divBdr>
                <w:top w:val="none" w:sz="0" w:space="0" w:color="auto"/>
                <w:left w:val="none" w:sz="0" w:space="0" w:color="auto"/>
                <w:bottom w:val="none" w:sz="0" w:space="0" w:color="auto"/>
                <w:right w:val="none" w:sz="0" w:space="0" w:color="auto"/>
              </w:divBdr>
            </w:div>
          </w:divsChild>
        </w:div>
        <w:div w:id="331033305">
          <w:marLeft w:val="0"/>
          <w:marRight w:val="0"/>
          <w:marTop w:val="0"/>
          <w:marBottom w:val="0"/>
          <w:divBdr>
            <w:top w:val="none" w:sz="0" w:space="0" w:color="auto"/>
            <w:left w:val="none" w:sz="0" w:space="0" w:color="auto"/>
            <w:bottom w:val="none" w:sz="0" w:space="0" w:color="auto"/>
            <w:right w:val="none" w:sz="0" w:space="0" w:color="auto"/>
          </w:divBdr>
          <w:divsChild>
            <w:div w:id="1602488885">
              <w:marLeft w:val="0"/>
              <w:marRight w:val="0"/>
              <w:marTop w:val="0"/>
              <w:marBottom w:val="0"/>
              <w:divBdr>
                <w:top w:val="none" w:sz="0" w:space="0" w:color="auto"/>
                <w:left w:val="none" w:sz="0" w:space="0" w:color="auto"/>
                <w:bottom w:val="none" w:sz="0" w:space="0" w:color="auto"/>
                <w:right w:val="none" w:sz="0" w:space="0" w:color="auto"/>
              </w:divBdr>
            </w:div>
          </w:divsChild>
        </w:div>
        <w:div w:id="331686367">
          <w:marLeft w:val="0"/>
          <w:marRight w:val="0"/>
          <w:marTop w:val="0"/>
          <w:marBottom w:val="0"/>
          <w:divBdr>
            <w:top w:val="none" w:sz="0" w:space="0" w:color="auto"/>
            <w:left w:val="none" w:sz="0" w:space="0" w:color="auto"/>
            <w:bottom w:val="none" w:sz="0" w:space="0" w:color="auto"/>
            <w:right w:val="none" w:sz="0" w:space="0" w:color="auto"/>
          </w:divBdr>
          <w:divsChild>
            <w:div w:id="1218203153">
              <w:marLeft w:val="0"/>
              <w:marRight w:val="0"/>
              <w:marTop w:val="0"/>
              <w:marBottom w:val="0"/>
              <w:divBdr>
                <w:top w:val="none" w:sz="0" w:space="0" w:color="auto"/>
                <w:left w:val="none" w:sz="0" w:space="0" w:color="auto"/>
                <w:bottom w:val="none" w:sz="0" w:space="0" w:color="auto"/>
                <w:right w:val="none" w:sz="0" w:space="0" w:color="auto"/>
              </w:divBdr>
            </w:div>
          </w:divsChild>
        </w:div>
        <w:div w:id="344330419">
          <w:marLeft w:val="0"/>
          <w:marRight w:val="0"/>
          <w:marTop w:val="0"/>
          <w:marBottom w:val="0"/>
          <w:divBdr>
            <w:top w:val="none" w:sz="0" w:space="0" w:color="auto"/>
            <w:left w:val="none" w:sz="0" w:space="0" w:color="auto"/>
            <w:bottom w:val="none" w:sz="0" w:space="0" w:color="auto"/>
            <w:right w:val="none" w:sz="0" w:space="0" w:color="auto"/>
          </w:divBdr>
          <w:divsChild>
            <w:div w:id="1423185328">
              <w:marLeft w:val="0"/>
              <w:marRight w:val="0"/>
              <w:marTop w:val="0"/>
              <w:marBottom w:val="0"/>
              <w:divBdr>
                <w:top w:val="none" w:sz="0" w:space="0" w:color="auto"/>
                <w:left w:val="none" w:sz="0" w:space="0" w:color="auto"/>
                <w:bottom w:val="none" w:sz="0" w:space="0" w:color="auto"/>
                <w:right w:val="none" w:sz="0" w:space="0" w:color="auto"/>
              </w:divBdr>
            </w:div>
          </w:divsChild>
        </w:div>
        <w:div w:id="348063795">
          <w:marLeft w:val="0"/>
          <w:marRight w:val="0"/>
          <w:marTop w:val="0"/>
          <w:marBottom w:val="0"/>
          <w:divBdr>
            <w:top w:val="none" w:sz="0" w:space="0" w:color="auto"/>
            <w:left w:val="none" w:sz="0" w:space="0" w:color="auto"/>
            <w:bottom w:val="none" w:sz="0" w:space="0" w:color="auto"/>
            <w:right w:val="none" w:sz="0" w:space="0" w:color="auto"/>
          </w:divBdr>
          <w:divsChild>
            <w:div w:id="1452018105">
              <w:marLeft w:val="0"/>
              <w:marRight w:val="0"/>
              <w:marTop w:val="0"/>
              <w:marBottom w:val="0"/>
              <w:divBdr>
                <w:top w:val="none" w:sz="0" w:space="0" w:color="auto"/>
                <w:left w:val="none" w:sz="0" w:space="0" w:color="auto"/>
                <w:bottom w:val="none" w:sz="0" w:space="0" w:color="auto"/>
                <w:right w:val="none" w:sz="0" w:space="0" w:color="auto"/>
              </w:divBdr>
            </w:div>
          </w:divsChild>
        </w:div>
        <w:div w:id="354188344">
          <w:marLeft w:val="0"/>
          <w:marRight w:val="0"/>
          <w:marTop w:val="0"/>
          <w:marBottom w:val="0"/>
          <w:divBdr>
            <w:top w:val="none" w:sz="0" w:space="0" w:color="auto"/>
            <w:left w:val="none" w:sz="0" w:space="0" w:color="auto"/>
            <w:bottom w:val="none" w:sz="0" w:space="0" w:color="auto"/>
            <w:right w:val="none" w:sz="0" w:space="0" w:color="auto"/>
          </w:divBdr>
          <w:divsChild>
            <w:div w:id="415397693">
              <w:marLeft w:val="0"/>
              <w:marRight w:val="0"/>
              <w:marTop w:val="0"/>
              <w:marBottom w:val="0"/>
              <w:divBdr>
                <w:top w:val="none" w:sz="0" w:space="0" w:color="auto"/>
                <w:left w:val="none" w:sz="0" w:space="0" w:color="auto"/>
                <w:bottom w:val="none" w:sz="0" w:space="0" w:color="auto"/>
                <w:right w:val="none" w:sz="0" w:space="0" w:color="auto"/>
              </w:divBdr>
            </w:div>
          </w:divsChild>
        </w:div>
        <w:div w:id="367417847">
          <w:marLeft w:val="0"/>
          <w:marRight w:val="0"/>
          <w:marTop w:val="0"/>
          <w:marBottom w:val="0"/>
          <w:divBdr>
            <w:top w:val="none" w:sz="0" w:space="0" w:color="auto"/>
            <w:left w:val="none" w:sz="0" w:space="0" w:color="auto"/>
            <w:bottom w:val="none" w:sz="0" w:space="0" w:color="auto"/>
            <w:right w:val="none" w:sz="0" w:space="0" w:color="auto"/>
          </w:divBdr>
          <w:divsChild>
            <w:div w:id="1220171212">
              <w:marLeft w:val="0"/>
              <w:marRight w:val="0"/>
              <w:marTop w:val="0"/>
              <w:marBottom w:val="0"/>
              <w:divBdr>
                <w:top w:val="none" w:sz="0" w:space="0" w:color="auto"/>
                <w:left w:val="none" w:sz="0" w:space="0" w:color="auto"/>
                <w:bottom w:val="none" w:sz="0" w:space="0" w:color="auto"/>
                <w:right w:val="none" w:sz="0" w:space="0" w:color="auto"/>
              </w:divBdr>
            </w:div>
          </w:divsChild>
        </w:div>
        <w:div w:id="369965008">
          <w:marLeft w:val="0"/>
          <w:marRight w:val="0"/>
          <w:marTop w:val="0"/>
          <w:marBottom w:val="0"/>
          <w:divBdr>
            <w:top w:val="none" w:sz="0" w:space="0" w:color="auto"/>
            <w:left w:val="none" w:sz="0" w:space="0" w:color="auto"/>
            <w:bottom w:val="none" w:sz="0" w:space="0" w:color="auto"/>
            <w:right w:val="none" w:sz="0" w:space="0" w:color="auto"/>
          </w:divBdr>
          <w:divsChild>
            <w:div w:id="1750496231">
              <w:marLeft w:val="0"/>
              <w:marRight w:val="0"/>
              <w:marTop w:val="0"/>
              <w:marBottom w:val="0"/>
              <w:divBdr>
                <w:top w:val="none" w:sz="0" w:space="0" w:color="auto"/>
                <w:left w:val="none" w:sz="0" w:space="0" w:color="auto"/>
                <w:bottom w:val="none" w:sz="0" w:space="0" w:color="auto"/>
                <w:right w:val="none" w:sz="0" w:space="0" w:color="auto"/>
              </w:divBdr>
            </w:div>
          </w:divsChild>
        </w:div>
        <w:div w:id="374476456">
          <w:marLeft w:val="0"/>
          <w:marRight w:val="0"/>
          <w:marTop w:val="0"/>
          <w:marBottom w:val="0"/>
          <w:divBdr>
            <w:top w:val="none" w:sz="0" w:space="0" w:color="auto"/>
            <w:left w:val="none" w:sz="0" w:space="0" w:color="auto"/>
            <w:bottom w:val="none" w:sz="0" w:space="0" w:color="auto"/>
            <w:right w:val="none" w:sz="0" w:space="0" w:color="auto"/>
          </w:divBdr>
          <w:divsChild>
            <w:div w:id="286931108">
              <w:marLeft w:val="0"/>
              <w:marRight w:val="0"/>
              <w:marTop w:val="0"/>
              <w:marBottom w:val="0"/>
              <w:divBdr>
                <w:top w:val="none" w:sz="0" w:space="0" w:color="auto"/>
                <w:left w:val="none" w:sz="0" w:space="0" w:color="auto"/>
                <w:bottom w:val="none" w:sz="0" w:space="0" w:color="auto"/>
                <w:right w:val="none" w:sz="0" w:space="0" w:color="auto"/>
              </w:divBdr>
            </w:div>
          </w:divsChild>
        </w:div>
        <w:div w:id="376320774">
          <w:marLeft w:val="0"/>
          <w:marRight w:val="0"/>
          <w:marTop w:val="0"/>
          <w:marBottom w:val="0"/>
          <w:divBdr>
            <w:top w:val="none" w:sz="0" w:space="0" w:color="auto"/>
            <w:left w:val="none" w:sz="0" w:space="0" w:color="auto"/>
            <w:bottom w:val="none" w:sz="0" w:space="0" w:color="auto"/>
            <w:right w:val="none" w:sz="0" w:space="0" w:color="auto"/>
          </w:divBdr>
          <w:divsChild>
            <w:div w:id="121193187">
              <w:marLeft w:val="0"/>
              <w:marRight w:val="0"/>
              <w:marTop w:val="0"/>
              <w:marBottom w:val="0"/>
              <w:divBdr>
                <w:top w:val="none" w:sz="0" w:space="0" w:color="auto"/>
                <w:left w:val="none" w:sz="0" w:space="0" w:color="auto"/>
                <w:bottom w:val="none" w:sz="0" w:space="0" w:color="auto"/>
                <w:right w:val="none" w:sz="0" w:space="0" w:color="auto"/>
              </w:divBdr>
            </w:div>
          </w:divsChild>
        </w:div>
        <w:div w:id="376661991">
          <w:marLeft w:val="0"/>
          <w:marRight w:val="0"/>
          <w:marTop w:val="0"/>
          <w:marBottom w:val="0"/>
          <w:divBdr>
            <w:top w:val="none" w:sz="0" w:space="0" w:color="auto"/>
            <w:left w:val="none" w:sz="0" w:space="0" w:color="auto"/>
            <w:bottom w:val="none" w:sz="0" w:space="0" w:color="auto"/>
            <w:right w:val="none" w:sz="0" w:space="0" w:color="auto"/>
          </w:divBdr>
          <w:divsChild>
            <w:div w:id="1486126526">
              <w:marLeft w:val="0"/>
              <w:marRight w:val="0"/>
              <w:marTop w:val="0"/>
              <w:marBottom w:val="0"/>
              <w:divBdr>
                <w:top w:val="none" w:sz="0" w:space="0" w:color="auto"/>
                <w:left w:val="none" w:sz="0" w:space="0" w:color="auto"/>
                <w:bottom w:val="none" w:sz="0" w:space="0" w:color="auto"/>
                <w:right w:val="none" w:sz="0" w:space="0" w:color="auto"/>
              </w:divBdr>
            </w:div>
          </w:divsChild>
        </w:div>
        <w:div w:id="377243927">
          <w:marLeft w:val="0"/>
          <w:marRight w:val="0"/>
          <w:marTop w:val="0"/>
          <w:marBottom w:val="0"/>
          <w:divBdr>
            <w:top w:val="none" w:sz="0" w:space="0" w:color="auto"/>
            <w:left w:val="none" w:sz="0" w:space="0" w:color="auto"/>
            <w:bottom w:val="none" w:sz="0" w:space="0" w:color="auto"/>
            <w:right w:val="none" w:sz="0" w:space="0" w:color="auto"/>
          </w:divBdr>
          <w:divsChild>
            <w:div w:id="789400248">
              <w:marLeft w:val="0"/>
              <w:marRight w:val="0"/>
              <w:marTop w:val="0"/>
              <w:marBottom w:val="0"/>
              <w:divBdr>
                <w:top w:val="none" w:sz="0" w:space="0" w:color="auto"/>
                <w:left w:val="none" w:sz="0" w:space="0" w:color="auto"/>
                <w:bottom w:val="none" w:sz="0" w:space="0" w:color="auto"/>
                <w:right w:val="none" w:sz="0" w:space="0" w:color="auto"/>
              </w:divBdr>
            </w:div>
          </w:divsChild>
        </w:div>
        <w:div w:id="389572814">
          <w:marLeft w:val="0"/>
          <w:marRight w:val="0"/>
          <w:marTop w:val="0"/>
          <w:marBottom w:val="0"/>
          <w:divBdr>
            <w:top w:val="none" w:sz="0" w:space="0" w:color="auto"/>
            <w:left w:val="none" w:sz="0" w:space="0" w:color="auto"/>
            <w:bottom w:val="none" w:sz="0" w:space="0" w:color="auto"/>
            <w:right w:val="none" w:sz="0" w:space="0" w:color="auto"/>
          </w:divBdr>
          <w:divsChild>
            <w:div w:id="1342658113">
              <w:marLeft w:val="0"/>
              <w:marRight w:val="0"/>
              <w:marTop w:val="0"/>
              <w:marBottom w:val="0"/>
              <w:divBdr>
                <w:top w:val="none" w:sz="0" w:space="0" w:color="auto"/>
                <w:left w:val="none" w:sz="0" w:space="0" w:color="auto"/>
                <w:bottom w:val="none" w:sz="0" w:space="0" w:color="auto"/>
                <w:right w:val="none" w:sz="0" w:space="0" w:color="auto"/>
              </w:divBdr>
            </w:div>
          </w:divsChild>
        </w:div>
        <w:div w:id="391391575">
          <w:marLeft w:val="0"/>
          <w:marRight w:val="0"/>
          <w:marTop w:val="0"/>
          <w:marBottom w:val="0"/>
          <w:divBdr>
            <w:top w:val="none" w:sz="0" w:space="0" w:color="auto"/>
            <w:left w:val="none" w:sz="0" w:space="0" w:color="auto"/>
            <w:bottom w:val="none" w:sz="0" w:space="0" w:color="auto"/>
            <w:right w:val="none" w:sz="0" w:space="0" w:color="auto"/>
          </w:divBdr>
          <w:divsChild>
            <w:div w:id="1861704764">
              <w:marLeft w:val="0"/>
              <w:marRight w:val="0"/>
              <w:marTop w:val="0"/>
              <w:marBottom w:val="0"/>
              <w:divBdr>
                <w:top w:val="none" w:sz="0" w:space="0" w:color="auto"/>
                <w:left w:val="none" w:sz="0" w:space="0" w:color="auto"/>
                <w:bottom w:val="none" w:sz="0" w:space="0" w:color="auto"/>
                <w:right w:val="none" w:sz="0" w:space="0" w:color="auto"/>
              </w:divBdr>
            </w:div>
          </w:divsChild>
        </w:div>
        <w:div w:id="400055474">
          <w:marLeft w:val="0"/>
          <w:marRight w:val="0"/>
          <w:marTop w:val="0"/>
          <w:marBottom w:val="0"/>
          <w:divBdr>
            <w:top w:val="none" w:sz="0" w:space="0" w:color="auto"/>
            <w:left w:val="none" w:sz="0" w:space="0" w:color="auto"/>
            <w:bottom w:val="none" w:sz="0" w:space="0" w:color="auto"/>
            <w:right w:val="none" w:sz="0" w:space="0" w:color="auto"/>
          </w:divBdr>
          <w:divsChild>
            <w:div w:id="1092894752">
              <w:marLeft w:val="0"/>
              <w:marRight w:val="0"/>
              <w:marTop w:val="0"/>
              <w:marBottom w:val="0"/>
              <w:divBdr>
                <w:top w:val="none" w:sz="0" w:space="0" w:color="auto"/>
                <w:left w:val="none" w:sz="0" w:space="0" w:color="auto"/>
                <w:bottom w:val="none" w:sz="0" w:space="0" w:color="auto"/>
                <w:right w:val="none" w:sz="0" w:space="0" w:color="auto"/>
              </w:divBdr>
            </w:div>
          </w:divsChild>
        </w:div>
        <w:div w:id="400711476">
          <w:marLeft w:val="0"/>
          <w:marRight w:val="0"/>
          <w:marTop w:val="0"/>
          <w:marBottom w:val="0"/>
          <w:divBdr>
            <w:top w:val="none" w:sz="0" w:space="0" w:color="auto"/>
            <w:left w:val="none" w:sz="0" w:space="0" w:color="auto"/>
            <w:bottom w:val="none" w:sz="0" w:space="0" w:color="auto"/>
            <w:right w:val="none" w:sz="0" w:space="0" w:color="auto"/>
          </w:divBdr>
          <w:divsChild>
            <w:div w:id="1317150910">
              <w:marLeft w:val="0"/>
              <w:marRight w:val="0"/>
              <w:marTop w:val="0"/>
              <w:marBottom w:val="0"/>
              <w:divBdr>
                <w:top w:val="none" w:sz="0" w:space="0" w:color="auto"/>
                <w:left w:val="none" w:sz="0" w:space="0" w:color="auto"/>
                <w:bottom w:val="none" w:sz="0" w:space="0" w:color="auto"/>
                <w:right w:val="none" w:sz="0" w:space="0" w:color="auto"/>
              </w:divBdr>
            </w:div>
          </w:divsChild>
        </w:div>
        <w:div w:id="403186292">
          <w:marLeft w:val="0"/>
          <w:marRight w:val="0"/>
          <w:marTop w:val="0"/>
          <w:marBottom w:val="0"/>
          <w:divBdr>
            <w:top w:val="none" w:sz="0" w:space="0" w:color="auto"/>
            <w:left w:val="none" w:sz="0" w:space="0" w:color="auto"/>
            <w:bottom w:val="none" w:sz="0" w:space="0" w:color="auto"/>
            <w:right w:val="none" w:sz="0" w:space="0" w:color="auto"/>
          </w:divBdr>
          <w:divsChild>
            <w:div w:id="1202747171">
              <w:marLeft w:val="0"/>
              <w:marRight w:val="0"/>
              <w:marTop w:val="0"/>
              <w:marBottom w:val="0"/>
              <w:divBdr>
                <w:top w:val="none" w:sz="0" w:space="0" w:color="auto"/>
                <w:left w:val="none" w:sz="0" w:space="0" w:color="auto"/>
                <w:bottom w:val="none" w:sz="0" w:space="0" w:color="auto"/>
                <w:right w:val="none" w:sz="0" w:space="0" w:color="auto"/>
              </w:divBdr>
            </w:div>
          </w:divsChild>
        </w:div>
        <w:div w:id="413823581">
          <w:marLeft w:val="0"/>
          <w:marRight w:val="0"/>
          <w:marTop w:val="0"/>
          <w:marBottom w:val="0"/>
          <w:divBdr>
            <w:top w:val="none" w:sz="0" w:space="0" w:color="auto"/>
            <w:left w:val="none" w:sz="0" w:space="0" w:color="auto"/>
            <w:bottom w:val="none" w:sz="0" w:space="0" w:color="auto"/>
            <w:right w:val="none" w:sz="0" w:space="0" w:color="auto"/>
          </w:divBdr>
          <w:divsChild>
            <w:div w:id="833952654">
              <w:marLeft w:val="0"/>
              <w:marRight w:val="0"/>
              <w:marTop w:val="0"/>
              <w:marBottom w:val="0"/>
              <w:divBdr>
                <w:top w:val="none" w:sz="0" w:space="0" w:color="auto"/>
                <w:left w:val="none" w:sz="0" w:space="0" w:color="auto"/>
                <w:bottom w:val="none" w:sz="0" w:space="0" w:color="auto"/>
                <w:right w:val="none" w:sz="0" w:space="0" w:color="auto"/>
              </w:divBdr>
            </w:div>
          </w:divsChild>
        </w:div>
        <w:div w:id="418065219">
          <w:marLeft w:val="0"/>
          <w:marRight w:val="0"/>
          <w:marTop w:val="0"/>
          <w:marBottom w:val="0"/>
          <w:divBdr>
            <w:top w:val="none" w:sz="0" w:space="0" w:color="auto"/>
            <w:left w:val="none" w:sz="0" w:space="0" w:color="auto"/>
            <w:bottom w:val="none" w:sz="0" w:space="0" w:color="auto"/>
            <w:right w:val="none" w:sz="0" w:space="0" w:color="auto"/>
          </w:divBdr>
          <w:divsChild>
            <w:div w:id="362942392">
              <w:marLeft w:val="0"/>
              <w:marRight w:val="0"/>
              <w:marTop w:val="0"/>
              <w:marBottom w:val="0"/>
              <w:divBdr>
                <w:top w:val="none" w:sz="0" w:space="0" w:color="auto"/>
                <w:left w:val="none" w:sz="0" w:space="0" w:color="auto"/>
                <w:bottom w:val="none" w:sz="0" w:space="0" w:color="auto"/>
                <w:right w:val="none" w:sz="0" w:space="0" w:color="auto"/>
              </w:divBdr>
            </w:div>
          </w:divsChild>
        </w:div>
        <w:div w:id="422185152">
          <w:marLeft w:val="0"/>
          <w:marRight w:val="0"/>
          <w:marTop w:val="0"/>
          <w:marBottom w:val="0"/>
          <w:divBdr>
            <w:top w:val="none" w:sz="0" w:space="0" w:color="auto"/>
            <w:left w:val="none" w:sz="0" w:space="0" w:color="auto"/>
            <w:bottom w:val="none" w:sz="0" w:space="0" w:color="auto"/>
            <w:right w:val="none" w:sz="0" w:space="0" w:color="auto"/>
          </w:divBdr>
          <w:divsChild>
            <w:div w:id="1291403880">
              <w:marLeft w:val="0"/>
              <w:marRight w:val="0"/>
              <w:marTop w:val="0"/>
              <w:marBottom w:val="0"/>
              <w:divBdr>
                <w:top w:val="none" w:sz="0" w:space="0" w:color="auto"/>
                <w:left w:val="none" w:sz="0" w:space="0" w:color="auto"/>
                <w:bottom w:val="none" w:sz="0" w:space="0" w:color="auto"/>
                <w:right w:val="none" w:sz="0" w:space="0" w:color="auto"/>
              </w:divBdr>
            </w:div>
          </w:divsChild>
        </w:div>
        <w:div w:id="433745904">
          <w:marLeft w:val="0"/>
          <w:marRight w:val="0"/>
          <w:marTop w:val="0"/>
          <w:marBottom w:val="0"/>
          <w:divBdr>
            <w:top w:val="none" w:sz="0" w:space="0" w:color="auto"/>
            <w:left w:val="none" w:sz="0" w:space="0" w:color="auto"/>
            <w:bottom w:val="none" w:sz="0" w:space="0" w:color="auto"/>
            <w:right w:val="none" w:sz="0" w:space="0" w:color="auto"/>
          </w:divBdr>
          <w:divsChild>
            <w:div w:id="1564297091">
              <w:marLeft w:val="0"/>
              <w:marRight w:val="0"/>
              <w:marTop w:val="0"/>
              <w:marBottom w:val="0"/>
              <w:divBdr>
                <w:top w:val="none" w:sz="0" w:space="0" w:color="auto"/>
                <w:left w:val="none" w:sz="0" w:space="0" w:color="auto"/>
                <w:bottom w:val="none" w:sz="0" w:space="0" w:color="auto"/>
                <w:right w:val="none" w:sz="0" w:space="0" w:color="auto"/>
              </w:divBdr>
            </w:div>
          </w:divsChild>
        </w:div>
        <w:div w:id="439296303">
          <w:marLeft w:val="0"/>
          <w:marRight w:val="0"/>
          <w:marTop w:val="0"/>
          <w:marBottom w:val="0"/>
          <w:divBdr>
            <w:top w:val="none" w:sz="0" w:space="0" w:color="auto"/>
            <w:left w:val="none" w:sz="0" w:space="0" w:color="auto"/>
            <w:bottom w:val="none" w:sz="0" w:space="0" w:color="auto"/>
            <w:right w:val="none" w:sz="0" w:space="0" w:color="auto"/>
          </w:divBdr>
          <w:divsChild>
            <w:div w:id="1194878487">
              <w:marLeft w:val="0"/>
              <w:marRight w:val="0"/>
              <w:marTop w:val="0"/>
              <w:marBottom w:val="0"/>
              <w:divBdr>
                <w:top w:val="none" w:sz="0" w:space="0" w:color="auto"/>
                <w:left w:val="none" w:sz="0" w:space="0" w:color="auto"/>
                <w:bottom w:val="none" w:sz="0" w:space="0" w:color="auto"/>
                <w:right w:val="none" w:sz="0" w:space="0" w:color="auto"/>
              </w:divBdr>
            </w:div>
          </w:divsChild>
        </w:div>
        <w:div w:id="443352734">
          <w:marLeft w:val="0"/>
          <w:marRight w:val="0"/>
          <w:marTop w:val="0"/>
          <w:marBottom w:val="0"/>
          <w:divBdr>
            <w:top w:val="none" w:sz="0" w:space="0" w:color="auto"/>
            <w:left w:val="none" w:sz="0" w:space="0" w:color="auto"/>
            <w:bottom w:val="none" w:sz="0" w:space="0" w:color="auto"/>
            <w:right w:val="none" w:sz="0" w:space="0" w:color="auto"/>
          </w:divBdr>
          <w:divsChild>
            <w:div w:id="938755127">
              <w:marLeft w:val="0"/>
              <w:marRight w:val="0"/>
              <w:marTop w:val="0"/>
              <w:marBottom w:val="0"/>
              <w:divBdr>
                <w:top w:val="none" w:sz="0" w:space="0" w:color="auto"/>
                <w:left w:val="none" w:sz="0" w:space="0" w:color="auto"/>
                <w:bottom w:val="none" w:sz="0" w:space="0" w:color="auto"/>
                <w:right w:val="none" w:sz="0" w:space="0" w:color="auto"/>
              </w:divBdr>
            </w:div>
          </w:divsChild>
        </w:div>
        <w:div w:id="445127074">
          <w:marLeft w:val="0"/>
          <w:marRight w:val="0"/>
          <w:marTop w:val="0"/>
          <w:marBottom w:val="0"/>
          <w:divBdr>
            <w:top w:val="none" w:sz="0" w:space="0" w:color="auto"/>
            <w:left w:val="none" w:sz="0" w:space="0" w:color="auto"/>
            <w:bottom w:val="none" w:sz="0" w:space="0" w:color="auto"/>
            <w:right w:val="none" w:sz="0" w:space="0" w:color="auto"/>
          </w:divBdr>
          <w:divsChild>
            <w:div w:id="372773219">
              <w:marLeft w:val="0"/>
              <w:marRight w:val="0"/>
              <w:marTop w:val="0"/>
              <w:marBottom w:val="0"/>
              <w:divBdr>
                <w:top w:val="none" w:sz="0" w:space="0" w:color="auto"/>
                <w:left w:val="none" w:sz="0" w:space="0" w:color="auto"/>
                <w:bottom w:val="none" w:sz="0" w:space="0" w:color="auto"/>
                <w:right w:val="none" w:sz="0" w:space="0" w:color="auto"/>
              </w:divBdr>
            </w:div>
          </w:divsChild>
        </w:div>
        <w:div w:id="450322698">
          <w:marLeft w:val="0"/>
          <w:marRight w:val="0"/>
          <w:marTop w:val="0"/>
          <w:marBottom w:val="0"/>
          <w:divBdr>
            <w:top w:val="none" w:sz="0" w:space="0" w:color="auto"/>
            <w:left w:val="none" w:sz="0" w:space="0" w:color="auto"/>
            <w:bottom w:val="none" w:sz="0" w:space="0" w:color="auto"/>
            <w:right w:val="none" w:sz="0" w:space="0" w:color="auto"/>
          </w:divBdr>
          <w:divsChild>
            <w:div w:id="334650805">
              <w:marLeft w:val="0"/>
              <w:marRight w:val="0"/>
              <w:marTop w:val="0"/>
              <w:marBottom w:val="0"/>
              <w:divBdr>
                <w:top w:val="none" w:sz="0" w:space="0" w:color="auto"/>
                <w:left w:val="none" w:sz="0" w:space="0" w:color="auto"/>
                <w:bottom w:val="none" w:sz="0" w:space="0" w:color="auto"/>
                <w:right w:val="none" w:sz="0" w:space="0" w:color="auto"/>
              </w:divBdr>
            </w:div>
          </w:divsChild>
        </w:div>
        <w:div w:id="461459774">
          <w:marLeft w:val="0"/>
          <w:marRight w:val="0"/>
          <w:marTop w:val="0"/>
          <w:marBottom w:val="0"/>
          <w:divBdr>
            <w:top w:val="none" w:sz="0" w:space="0" w:color="auto"/>
            <w:left w:val="none" w:sz="0" w:space="0" w:color="auto"/>
            <w:bottom w:val="none" w:sz="0" w:space="0" w:color="auto"/>
            <w:right w:val="none" w:sz="0" w:space="0" w:color="auto"/>
          </w:divBdr>
          <w:divsChild>
            <w:div w:id="163783456">
              <w:marLeft w:val="0"/>
              <w:marRight w:val="0"/>
              <w:marTop w:val="0"/>
              <w:marBottom w:val="0"/>
              <w:divBdr>
                <w:top w:val="none" w:sz="0" w:space="0" w:color="auto"/>
                <w:left w:val="none" w:sz="0" w:space="0" w:color="auto"/>
                <w:bottom w:val="none" w:sz="0" w:space="0" w:color="auto"/>
                <w:right w:val="none" w:sz="0" w:space="0" w:color="auto"/>
              </w:divBdr>
            </w:div>
          </w:divsChild>
        </w:div>
        <w:div w:id="461657252">
          <w:marLeft w:val="0"/>
          <w:marRight w:val="0"/>
          <w:marTop w:val="0"/>
          <w:marBottom w:val="0"/>
          <w:divBdr>
            <w:top w:val="none" w:sz="0" w:space="0" w:color="auto"/>
            <w:left w:val="none" w:sz="0" w:space="0" w:color="auto"/>
            <w:bottom w:val="none" w:sz="0" w:space="0" w:color="auto"/>
            <w:right w:val="none" w:sz="0" w:space="0" w:color="auto"/>
          </w:divBdr>
          <w:divsChild>
            <w:div w:id="920988892">
              <w:marLeft w:val="0"/>
              <w:marRight w:val="0"/>
              <w:marTop w:val="0"/>
              <w:marBottom w:val="0"/>
              <w:divBdr>
                <w:top w:val="none" w:sz="0" w:space="0" w:color="auto"/>
                <w:left w:val="none" w:sz="0" w:space="0" w:color="auto"/>
                <w:bottom w:val="none" w:sz="0" w:space="0" w:color="auto"/>
                <w:right w:val="none" w:sz="0" w:space="0" w:color="auto"/>
              </w:divBdr>
            </w:div>
          </w:divsChild>
        </w:div>
        <w:div w:id="484781204">
          <w:marLeft w:val="0"/>
          <w:marRight w:val="0"/>
          <w:marTop w:val="0"/>
          <w:marBottom w:val="0"/>
          <w:divBdr>
            <w:top w:val="none" w:sz="0" w:space="0" w:color="auto"/>
            <w:left w:val="none" w:sz="0" w:space="0" w:color="auto"/>
            <w:bottom w:val="none" w:sz="0" w:space="0" w:color="auto"/>
            <w:right w:val="none" w:sz="0" w:space="0" w:color="auto"/>
          </w:divBdr>
          <w:divsChild>
            <w:div w:id="508373059">
              <w:marLeft w:val="0"/>
              <w:marRight w:val="0"/>
              <w:marTop w:val="0"/>
              <w:marBottom w:val="0"/>
              <w:divBdr>
                <w:top w:val="none" w:sz="0" w:space="0" w:color="auto"/>
                <w:left w:val="none" w:sz="0" w:space="0" w:color="auto"/>
                <w:bottom w:val="none" w:sz="0" w:space="0" w:color="auto"/>
                <w:right w:val="none" w:sz="0" w:space="0" w:color="auto"/>
              </w:divBdr>
            </w:div>
          </w:divsChild>
        </w:div>
        <w:div w:id="485585854">
          <w:marLeft w:val="0"/>
          <w:marRight w:val="0"/>
          <w:marTop w:val="0"/>
          <w:marBottom w:val="0"/>
          <w:divBdr>
            <w:top w:val="none" w:sz="0" w:space="0" w:color="auto"/>
            <w:left w:val="none" w:sz="0" w:space="0" w:color="auto"/>
            <w:bottom w:val="none" w:sz="0" w:space="0" w:color="auto"/>
            <w:right w:val="none" w:sz="0" w:space="0" w:color="auto"/>
          </w:divBdr>
          <w:divsChild>
            <w:div w:id="1398019798">
              <w:marLeft w:val="0"/>
              <w:marRight w:val="0"/>
              <w:marTop w:val="0"/>
              <w:marBottom w:val="0"/>
              <w:divBdr>
                <w:top w:val="none" w:sz="0" w:space="0" w:color="auto"/>
                <w:left w:val="none" w:sz="0" w:space="0" w:color="auto"/>
                <w:bottom w:val="none" w:sz="0" w:space="0" w:color="auto"/>
                <w:right w:val="none" w:sz="0" w:space="0" w:color="auto"/>
              </w:divBdr>
            </w:div>
          </w:divsChild>
        </w:div>
        <w:div w:id="500854431">
          <w:marLeft w:val="0"/>
          <w:marRight w:val="0"/>
          <w:marTop w:val="0"/>
          <w:marBottom w:val="0"/>
          <w:divBdr>
            <w:top w:val="none" w:sz="0" w:space="0" w:color="auto"/>
            <w:left w:val="none" w:sz="0" w:space="0" w:color="auto"/>
            <w:bottom w:val="none" w:sz="0" w:space="0" w:color="auto"/>
            <w:right w:val="none" w:sz="0" w:space="0" w:color="auto"/>
          </w:divBdr>
          <w:divsChild>
            <w:div w:id="944658622">
              <w:marLeft w:val="0"/>
              <w:marRight w:val="0"/>
              <w:marTop w:val="0"/>
              <w:marBottom w:val="0"/>
              <w:divBdr>
                <w:top w:val="none" w:sz="0" w:space="0" w:color="auto"/>
                <w:left w:val="none" w:sz="0" w:space="0" w:color="auto"/>
                <w:bottom w:val="none" w:sz="0" w:space="0" w:color="auto"/>
                <w:right w:val="none" w:sz="0" w:space="0" w:color="auto"/>
              </w:divBdr>
            </w:div>
          </w:divsChild>
        </w:div>
        <w:div w:id="504829872">
          <w:marLeft w:val="0"/>
          <w:marRight w:val="0"/>
          <w:marTop w:val="0"/>
          <w:marBottom w:val="0"/>
          <w:divBdr>
            <w:top w:val="none" w:sz="0" w:space="0" w:color="auto"/>
            <w:left w:val="none" w:sz="0" w:space="0" w:color="auto"/>
            <w:bottom w:val="none" w:sz="0" w:space="0" w:color="auto"/>
            <w:right w:val="none" w:sz="0" w:space="0" w:color="auto"/>
          </w:divBdr>
          <w:divsChild>
            <w:div w:id="1223640623">
              <w:marLeft w:val="0"/>
              <w:marRight w:val="0"/>
              <w:marTop w:val="0"/>
              <w:marBottom w:val="0"/>
              <w:divBdr>
                <w:top w:val="none" w:sz="0" w:space="0" w:color="auto"/>
                <w:left w:val="none" w:sz="0" w:space="0" w:color="auto"/>
                <w:bottom w:val="none" w:sz="0" w:space="0" w:color="auto"/>
                <w:right w:val="none" w:sz="0" w:space="0" w:color="auto"/>
              </w:divBdr>
            </w:div>
          </w:divsChild>
        </w:div>
        <w:div w:id="506747368">
          <w:marLeft w:val="0"/>
          <w:marRight w:val="0"/>
          <w:marTop w:val="0"/>
          <w:marBottom w:val="0"/>
          <w:divBdr>
            <w:top w:val="none" w:sz="0" w:space="0" w:color="auto"/>
            <w:left w:val="none" w:sz="0" w:space="0" w:color="auto"/>
            <w:bottom w:val="none" w:sz="0" w:space="0" w:color="auto"/>
            <w:right w:val="none" w:sz="0" w:space="0" w:color="auto"/>
          </w:divBdr>
          <w:divsChild>
            <w:div w:id="618492813">
              <w:marLeft w:val="0"/>
              <w:marRight w:val="0"/>
              <w:marTop w:val="0"/>
              <w:marBottom w:val="0"/>
              <w:divBdr>
                <w:top w:val="none" w:sz="0" w:space="0" w:color="auto"/>
                <w:left w:val="none" w:sz="0" w:space="0" w:color="auto"/>
                <w:bottom w:val="none" w:sz="0" w:space="0" w:color="auto"/>
                <w:right w:val="none" w:sz="0" w:space="0" w:color="auto"/>
              </w:divBdr>
            </w:div>
          </w:divsChild>
        </w:div>
        <w:div w:id="506949217">
          <w:marLeft w:val="0"/>
          <w:marRight w:val="0"/>
          <w:marTop w:val="0"/>
          <w:marBottom w:val="0"/>
          <w:divBdr>
            <w:top w:val="none" w:sz="0" w:space="0" w:color="auto"/>
            <w:left w:val="none" w:sz="0" w:space="0" w:color="auto"/>
            <w:bottom w:val="none" w:sz="0" w:space="0" w:color="auto"/>
            <w:right w:val="none" w:sz="0" w:space="0" w:color="auto"/>
          </w:divBdr>
          <w:divsChild>
            <w:div w:id="1000692640">
              <w:marLeft w:val="0"/>
              <w:marRight w:val="0"/>
              <w:marTop w:val="0"/>
              <w:marBottom w:val="0"/>
              <w:divBdr>
                <w:top w:val="none" w:sz="0" w:space="0" w:color="auto"/>
                <w:left w:val="none" w:sz="0" w:space="0" w:color="auto"/>
                <w:bottom w:val="none" w:sz="0" w:space="0" w:color="auto"/>
                <w:right w:val="none" w:sz="0" w:space="0" w:color="auto"/>
              </w:divBdr>
            </w:div>
          </w:divsChild>
        </w:div>
        <w:div w:id="513883919">
          <w:marLeft w:val="0"/>
          <w:marRight w:val="0"/>
          <w:marTop w:val="0"/>
          <w:marBottom w:val="0"/>
          <w:divBdr>
            <w:top w:val="none" w:sz="0" w:space="0" w:color="auto"/>
            <w:left w:val="none" w:sz="0" w:space="0" w:color="auto"/>
            <w:bottom w:val="none" w:sz="0" w:space="0" w:color="auto"/>
            <w:right w:val="none" w:sz="0" w:space="0" w:color="auto"/>
          </w:divBdr>
          <w:divsChild>
            <w:div w:id="659775666">
              <w:marLeft w:val="0"/>
              <w:marRight w:val="0"/>
              <w:marTop w:val="0"/>
              <w:marBottom w:val="0"/>
              <w:divBdr>
                <w:top w:val="none" w:sz="0" w:space="0" w:color="auto"/>
                <w:left w:val="none" w:sz="0" w:space="0" w:color="auto"/>
                <w:bottom w:val="none" w:sz="0" w:space="0" w:color="auto"/>
                <w:right w:val="none" w:sz="0" w:space="0" w:color="auto"/>
              </w:divBdr>
            </w:div>
          </w:divsChild>
        </w:div>
        <w:div w:id="520584732">
          <w:marLeft w:val="0"/>
          <w:marRight w:val="0"/>
          <w:marTop w:val="0"/>
          <w:marBottom w:val="0"/>
          <w:divBdr>
            <w:top w:val="none" w:sz="0" w:space="0" w:color="auto"/>
            <w:left w:val="none" w:sz="0" w:space="0" w:color="auto"/>
            <w:bottom w:val="none" w:sz="0" w:space="0" w:color="auto"/>
            <w:right w:val="none" w:sz="0" w:space="0" w:color="auto"/>
          </w:divBdr>
          <w:divsChild>
            <w:div w:id="1369796913">
              <w:marLeft w:val="0"/>
              <w:marRight w:val="0"/>
              <w:marTop w:val="0"/>
              <w:marBottom w:val="0"/>
              <w:divBdr>
                <w:top w:val="none" w:sz="0" w:space="0" w:color="auto"/>
                <w:left w:val="none" w:sz="0" w:space="0" w:color="auto"/>
                <w:bottom w:val="none" w:sz="0" w:space="0" w:color="auto"/>
                <w:right w:val="none" w:sz="0" w:space="0" w:color="auto"/>
              </w:divBdr>
            </w:div>
          </w:divsChild>
        </w:div>
        <w:div w:id="529492113">
          <w:marLeft w:val="0"/>
          <w:marRight w:val="0"/>
          <w:marTop w:val="0"/>
          <w:marBottom w:val="0"/>
          <w:divBdr>
            <w:top w:val="none" w:sz="0" w:space="0" w:color="auto"/>
            <w:left w:val="none" w:sz="0" w:space="0" w:color="auto"/>
            <w:bottom w:val="none" w:sz="0" w:space="0" w:color="auto"/>
            <w:right w:val="none" w:sz="0" w:space="0" w:color="auto"/>
          </w:divBdr>
          <w:divsChild>
            <w:div w:id="1837987706">
              <w:marLeft w:val="0"/>
              <w:marRight w:val="0"/>
              <w:marTop w:val="0"/>
              <w:marBottom w:val="0"/>
              <w:divBdr>
                <w:top w:val="none" w:sz="0" w:space="0" w:color="auto"/>
                <w:left w:val="none" w:sz="0" w:space="0" w:color="auto"/>
                <w:bottom w:val="none" w:sz="0" w:space="0" w:color="auto"/>
                <w:right w:val="none" w:sz="0" w:space="0" w:color="auto"/>
              </w:divBdr>
            </w:div>
          </w:divsChild>
        </w:div>
        <w:div w:id="540365351">
          <w:marLeft w:val="0"/>
          <w:marRight w:val="0"/>
          <w:marTop w:val="0"/>
          <w:marBottom w:val="0"/>
          <w:divBdr>
            <w:top w:val="none" w:sz="0" w:space="0" w:color="auto"/>
            <w:left w:val="none" w:sz="0" w:space="0" w:color="auto"/>
            <w:bottom w:val="none" w:sz="0" w:space="0" w:color="auto"/>
            <w:right w:val="none" w:sz="0" w:space="0" w:color="auto"/>
          </w:divBdr>
          <w:divsChild>
            <w:div w:id="1594557955">
              <w:marLeft w:val="0"/>
              <w:marRight w:val="0"/>
              <w:marTop w:val="0"/>
              <w:marBottom w:val="0"/>
              <w:divBdr>
                <w:top w:val="none" w:sz="0" w:space="0" w:color="auto"/>
                <w:left w:val="none" w:sz="0" w:space="0" w:color="auto"/>
                <w:bottom w:val="none" w:sz="0" w:space="0" w:color="auto"/>
                <w:right w:val="none" w:sz="0" w:space="0" w:color="auto"/>
              </w:divBdr>
            </w:div>
          </w:divsChild>
        </w:div>
        <w:div w:id="542057154">
          <w:marLeft w:val="0"/>
          <w:marRight w:val="0"/>
          <w:marTop w:val="0"/>
          <w:marBottom w:val="0"/>
          <w:divBdr>
            <w:top w:val="none" w:sz="0" w:space="0" w:color="auto"/>
            <w:left w:val="none" w:sz="0" w:space="0" w:color="auto"/>
            <w:bottom w:val="none" w:sz="0" w:space="0" w:color="auto"/>
            <w:right w:val="none" w:sz="0" w:space="0" w:color="auto"/>
          </w:divBdr>
          <w:divsChild>
            <w:div w:id="1364331084">
              <w:marLeft w:val="0"/>
              <w:marRight w:val="0"/>
              <w:marTop w:val="0"/>
              <w:marBottom w:val="0"/>
              <w:divBdr>
                <w:top w:val="none" w:sz="0" w:space="0" w:color="auto"/>
                <w:left w:val="none" w:sz="0" w:space="0" w:color="auto"/>
                <w:bottom w:val="none" w:sz="0" w:space="0" w:color="auto"/>
                <w:right w:val="none" w:sz="0" w:space="0" w:color="auto"/>
              </w:divBdr>
            </w:div>
          </w:divsChild>
        </w:div>
        <w:div w:id="549343302">
          <w:marLeft w:val="0"/>
          <w:marRight w:val="0"/>
          <w:marTop w:val="0"/>
          <w:marBottom w:val="0"/>
          <w:divBdr>
            <w:top w:val="none" w:sz="0" w:space="0" w:color="auto"/>
            <w:left w:val="none" w:sz="0" w:space="0" w:color="auto"/>
            <w:bottom w:val="none" w:sz="0" w:space="0" w:color="auto"/>
            <w:right w:val="none" w:sz="0" w:space="0" w:color="auto"/>
          </w:divBdr>
          <w:divsChild>
            <w:div w:id="1894583845">
              <w:marLeft w:val="0"/>
              <w:marRight w:val="0"/>
              <w:marTop w:val="0"/>
              <w:marBottom w:val="0"/>
              <w:divBdr>
                <w:top w:val="none" w:sz="0" w:space="0" w:color="auto"/>
                <w:left w:val="none" w:sz="0" w:space="0" w:color="auto"/>
                <w:bottom w:val="none" w:sz="0" w:space="0" w:color="auto"/>
                <w:right w:val="none" w:sz="0" w:space="0" w:color="auto"/>
              </w:divBdr>
            </w:div>
          </w:divsChild>
        </w:div>
        <w:div w:id="549541168">
          <w:marLeft w:val="0"/>
          <w:marRight w:val="0"/>
          <w:marTop w:val="0"/>
          <w:marBottom w:val="0"/>
          <w:divBdr>
            <w:top w:val="none" w:sz="0" w:space="0" w:color="auto"/>
            <w:left w:val="none" w:sz="0" w:space="0" w:color="auto"/>
            <w:bottom w:val="none" w:sz="0" w:space="0" w:color="auto"/>
            <w:right w:val="none" w:sz="0" w:space="0" w:color="auto"/>
          </w:divBdr>
          <w:divsChild>
            <w:div w:id="1187020089">
              <w:marLeft w:val="0"/>
              <w:marRight w:val="0"/>
              <w:marTop w:val="0"/>
              <w:marBottom w:val="0"/>
              <w:divBdr>
                <w:top w:val="none" w:sz="0" w:space="0" w:color="auto"/>
                <w:left w:val="none" w:sz="0" w:space="0" w:color="auto"/>
                <w:bottom w:val="none" w:sz="0" w:space="0" w:color="auto"/>
                <w:right w:val="none" w:sz="0" w:space="0" w:color="auto"/>
              </w:divBdr>
            </w:div>
          </w:divsChild>
        </w:div>
        <w:div w:id="552816277">
          <w:marLeft w:val="0"/>
          <w:marRight w:val="0"/>
          <w:marTop w:val="0"/>
          <w:marBottom w:val="0"/>
          <w:divBdr>
            <w:top w:val="none" w:sz="0" w:space="0" w:color="auto"/>
            <w:left w:val="none" w:sz="0" w:space="0" w:color="auto"/>
            <w:bottom w:val="none" w:sz="0" w:space="0" w:color="auto"/>
            <w:right w:val="none" w:sz="0" w:space="0" w:color="auto"/>
          </w:divBdr>
          <w:divsChild>
            <w:div w:id="1904676892">
              <w:marLeft w:val="0"/>
              <w:marRight w:val="0"/>
              <w:marTop w:val="0"/>
              <w:marBottom w:val="0"/>
              <w:divBdr>
                <w:top w:val="none" w:sz="0" w:space="0" w:color="auto"/>
                <w:left w:val="none" w:sz="0" w:space="0" w:color="auto"/>
                <w:bottom w:val="none" w:sz="0" w:space="0" w:color="auto"/>
                <w:right w:val="none" w:sz="0" w:space="0" w:color="auto"/>
              </w:divBdr>
            </w:div>
          </w:divsChild>
        </w:div>
        <w:div w:id="570307804">
          <w:marLeft w:val="0"/>
          <w:marRight w:val="0"/>
          <w:marTop w:val="0"/>
          <w:marBottom w:val="0"/>
          <w:divBdr>
            <w:top w:val="none" w:sz="0" w:space="0" w:color="auto"/>
            <w:left w:val="none" w:sz="0" w:space="0" w:color="auto"/>
            <w:bottom w:val="none" w:sz="0" w:space="0" w:color="auto"/>
            <w:right w:val="none" w:sz="0" w:space="0" w:color="auto"/>
          </w:divBdr>
          <w:divsChild>
            <w:div w:id="1729645401">
              <w:marLeft w:val="0"/>
              <w:marRight w:val="0"/>
              <w:marTop w:val="0"/>
              <w:marBottom w:val="0"/>
              <w:divBdr>
                <w:top w:val="none" w:sz="0" w:space="0" w:color="auto"/>
                <w:left w:val="none" w:sz="0" w:space="0" w:color="auto"/>
                <w:bottom w:val="none" w:sz="0" w:space="0" w:color="auto"/>
                <w:right w:val="none" w:sz="0" w:space="0" w:color="auto"/>
              </w:divBdr>
            </w:div>
          </w:divsChild>
        </w:div>
        <w:div w:id="573274431">
          <w:marLeft w:val="0"/>
          <w:marRight w:val="0"/>
          <w:marTop w:val="0"/>
          <w:marBottom w:val="0"/>
          <w:divBdr>
            <w:top w:val="none" w:sz="0" w:space="0" w:color="auto"/>
            <w:left w:val="none" w:sz="0" w:space="0" w:color="auto"/>
            <w:bottom w:val="none" w:sz="0" w:space="0" w:color="auto"/>
            <w:right w:val="none" w:sz="0" w:space="0" w:color="auto"/>
          </w:divBdr>
          <w:divsChild>
            <w:div w:id="93474782">
              <w:marLeft w:val="0"/>
              <w:marRight w:val="0"/>
              <w:marTop w:val="0"/>
              <w:marBottom w:val="0"/>
              <w:divBdr>
                <w:top w:val="none" w:sz="0" w:space="0" w:color="auto"/>
                <w:left w:val="none" w:sz="0" w:space="0" w:color="auto"/>
                <w:bottom w:val="none" w:sz="0" w:space="0" w:color="auto"/>
                <w:right w:val="none" w:sz="0" w:space="0" w:color="auto"/>
              </w:divBdr>
            </w:div>
          </w:divsChild>
        </w:div>
        <w:div w:id="581916368">
          <w:marLeft w:val="0"/>
          <w:marRight w:val="0"/>
          <w:marTop w:val="0"/>
          <w:marBottom w:val="0"/>
          <w:divBdr>
            <w:top w:val="none" w:sz="0" w:space="0" w:color="auto"/>
            <w:left w:val="none" w:sz="0" w:space="0" w:color="auto"/>
            <w:bottom w:val="none" w:sz="0" w:space="0" w:color="auto"/>
            <w:right w:val="none" w:sz="0" w:space="0" w:color="auto"/>
          </w:divBdr>
          <w:divsChild>
            <w:div w:id="1588266772">
              <w:marLeft w:val="0"/>
              <w:marRight w:val="0"/>
              <w:marTop w:val="0"/>
              <w:marBottom w:val="0"/>
              <w:divBdr>
                <w:top w:val="none" w:sz="0" w:space="0" w:color="auto"/>
                <w:left w:val="none" w:sz="0" w:space="0" w:color="auto"/>
                <w:bottom w:val="none" w:sz="0" w:space="0" w:color="auto"/>
                <w:right w:val="none" w:sz="0" w:space="0" w:color="auto"/>
              </w:divBdr>
            </w:div>
          </w:divsChild>
        </w:div>
        <w:div w:id="588318061">
          <w:marLeft w:val="0"/>
          <w:marRight w:val="0"/>
          <w:marTop w:val="0"/>
          <w:marBottom w:val="0"/>
          <w:divBdr>
            <w:top w:val="none" w:sz="0" w:space="0" w:color="auto"/>
            <w:left w:val="none" w:sz="0" w:space="0" w:color="auto"/>
            <w:bottom w:val="none" w:sz="0" w:space="0" w:color="auto"/>
            <w:right w:val="none" w:sz="0" w:space="0" w:color="auto"/>
          </w:divBdr>
          <w:divsChild>
            <w:div w:id="1245451303">
              <w:marLeft w:val="0"/>
              <w:marRight w:val="0"/>
              <w:marTop w:val="0"/>
              <w:marBottom w:val="0"/>
              <w:divBdr>
                <w:top w:val="none" w:sz="0" w:space="0" w:color="auto"/>
                <w:left w:val="none" w:sz="0" w:space="0" w:color="auto"/>
                <w:bottom w:val="none" w:sz="0" w:space="0" w:color="auto"/>
                <w:right w:val="none" w:sz="0" w:space="0" w:color="auto"/>
              </w:divBdr>
            </w:div>
          </w:divsChild>
        </w:div>
        <w:div w:id="589433363">
          <w:marLeft w:val="0"/>
          <w:marRight w:val="0"/>
          <w:marTop w:val="0"/>
          <w:marBottom w:val="0"/>
          <w:divBdr>
            <w:top w:val="none" w:sz="0" w:space="0" w:color="auto"/>
            <w:left w:val="none" w:sz="0" w:space="0" w:color="auto"/>
            <w:bottom w:val="none" w:sz="0" w:space="0" w:color="auto"/>
            <w:right w:val="none" w:sz="0" w:space="0" w:color="auto"/>
          </w:divBdr>
          <w:divsChild>
            <w:div w:id="230119484">
              <w:marLeft w:val="0"/>
              <w:marRight w:val="0"/>
              <w:marTop w:val="0"/>
              <w:marBottom w:val="0"/>
              <w:divBdr>
                <w:top w:val="none" w:sz="0" w:space="0" w:color="auto"/>
                <w:left w:val="none" w:sz="0" w:space="0" w:color="auto"/>
                <w:bottom w:val="none" w:sz="0" w:space="0" w:color="auto"/>
                <w:right w:val="none" w:sz="0" w:space="0" w:color="auto"/>
              </w:divBdr>
            </w:div>
          </w:divsChild>
        </w:div>
        <w:div w:id="597057806">
          <w:marLeft w:val="0"/>
          <w:marRight w:val="0"/>
          <w:marTop w:val="0"/>
          <w:marBottom w:val="0"/>
          <w:divBdr>
            <w:top w:val="none" w:sz="0" w:space="0" w:color="auto"/>
            <w:left w:val="none" w:sz="0" w:space="0" w:color="auto"/>
            <w:bottom w:val="none" w:sz="0" w:space="0" w:color="auto"/>
            <w:right w:val="none" w:sz="0" w:space="0" w:color="auto"/>
          </w:divBdr>
          <w:divsChild>
            <w:div w:id="508367981">
              <w:marLeft w:val="0"/>
              <w:marRight w:val="0"/>
              <w:marTop w:val="0"/>
              <w:marBottom w:val="0"/>
              <w:divBdr>
                <w:top w:val="none" w:sz="0" w:space="0" w:color="auto"/>
                <w:left w:val="none" w:sz="0" w:space="0" w:color="auto"/>
                <w:bottom w:val="none" w:sz="0" w:space="0" w:color="auto"/>
                <w:right w:val="none" w:sz="0" w:space="0" w:color="auto"/>
              </w:divBdr>
            </w:div>
          </w:divsChild>
        </w:div>
        <w:div w:id="598147758">
          <w:marLeft w:val="0"/>
          <w:marRight w:val="0"/>
          <w:marTop w:val="0"/>
          <w:marBottom w:val="0"/>
          <w:divBdr>
            <w:top w:val="none" w:sz="0" w:space="0" w:color="auto"/>
            <w:left w:val="none" w:sz="0" w:space="0" w:color="auto"/>
            <w:bottom w:val="none" w:sz="0" w:space="0" w:color="auto"/>
            <w:right w:val="none" w:sz="0" w:space="0" w:color="auto"/>
          </w:divBdr>
          <w:divsChild>
            <w:div w:id="792751866">
              <w:marLeft w:val="0"/>
              <w:marRight w:val="0"/>
              <w:marTop w:val="0"/>
              <w:marBottom w:val="0"/>
              <w:divBdr>
                <w:top w:val="none" w:sz="0" w:space="0" w:color="auto"/>
                <w:left w:val="none" w:sz="0" w:space="0" w:color="auto"/>
                <w:bottom w:val="none" w:sz="0" w:space="0" w:color="auto"/>
                <w:right w:val="none" w:sz="0" w:space="0" w:color="auto"/>
              </w:divBdr>
            </w:div>
          </w:divsChild>
        </w:div>
        <w:div w:id="613635480">
          <w:marLeft w:val="0"/>
          <w:marRight w:val="0"/>
          <w:marTop w:val="0"/>
          <w:marBottom w:val="0"/>
          <w:divBdr>
            <w:top w:val="none" w:sz="0" w:space="0" w:color="auto"/>
            <w:left w:val="none" w:sz="0" w:space="0" w:color="auto"/>
            <w:bottom w:val="none" w:sz="0" w:space="0" w:color="auto"/>
            <w:right w:val="none" w:sz="0" w:space="0" w:color="auto"/>
          </w:divBdr>
          <w:divsChild>
            <w:div w:id="818307737">
              <w:marLeft w:val="0"/>
              <w:marRight w:val="0"/>
              <w:marTop w:val="0"/>
              <w:marBottom w:val="0"/>
              <w:divBdr>
                <w:top w:val="none" w:sz="0" w:space="0" w:color="auto"/>
                <w:left w:val="none" w:sz="0" w:space="0" w:color="auto"/>
                <w:bottom w:val="none" w:sz="0" w:space="0" w:color="auto"/>
                <w:right w:val="none" w:sz="0" w:space="0" w:color="auto"/>
              </w:divBdr>
            </w:div>
          </w:divsChild>
        </w:div>
        <w:div w:id="615215691">
          <w:marLeft w:val="0"/>
          <w:marRight w:val="0"/>
          <w:marTop w:val="0"/>
          <w:marBottom w:val="0"/>
          <w:divBdr>
            <w:top w:val="none" w:sz="0" w:space="0" w:color="auto"/>
            <w:left w:val="none" w:sz="0" w:space="0" w:color="auto"/>
            <w:bottom w:val="none" w:sz="0" w:space="0" w:color="auto"/>
            <w:right w:val="none" w:sz="0" w:space="0" w:color="auto"/>
          </w:divBdr>
          <w:divsChild>
            <w:div w:id="827213363">
              <w:marLeft w:val="0"/>
              <w:marRight w:val="0"/>
              <w:marTop w:val="0"/>
              <w:marBottom w:val="0"/>
              <w:divBdr>
                <w:top w:val="none" w:sz="0" w:space="0" w:color="auto"/>
                <w:left w:val="none" w:sz="0" w:space="0" w:color="auto"/>
                <w:bottom w:val="none" w:sz="0" w:space="0" w:color="auto"/>
                <w:right w:val="none" w:sz="0" w:space="0" w:color="auto"/>
              </w:divBdr>
            </w:div>
          </w:divsChild>
        </w:div>
        <w:div w:id="616759930">
          <w:marLeft w:val="0"/>
          <w:marRight w:val="0"/>
          <w:marTop w:val="0"/>
          <w:marBottom w:val="0"/>
          <w:divBdr>
            <w:top w:val="none" w:sz="0" w:space="0" w:color="auto"/>
            <w:left w:val="none" w:sz="0" w:space="0" w:color="auto"/>
            <w:bottom w:val="none" w:sz="0" w:space="0" w:color="auto"/>
            <w:right w:val="none" w:sz="0" w:space="0" w:color="auto"/>
          </w:divBdr>
          <w:divsChild>
            <w:div w:id="1256095066">
              <w:marLeft w:val="0"/>
              <w:marRight w:val="0"/>
              <w:marTop w:val="0"/>
              <w:marBottom w:val="0"/>
              <w:divBdr>
                <w:top w:val="none" w:sz="0" w:space="0" w:color="auto"/>
                <w:left w:val="none" w:sz="0" w:space="0" w:color="auto"/>
                <w:bottom w:val="none" w:sz="0" w:space="0" w:color="auto"/>
                <w:right w:val="none" w:sz="0" w:space="0" w:color="auto"/>
              </w:divBdr>
            </w:div>
          </w:divsChild>
        </w:div>
        <w:div w:id="623577430">
          <w:marLeft w:val="0"/>
          <w:marRight w:val="0"/>
          <w:marTop w:val="0"/>
          <w:marBottom w:val="0"/>
          <w:divBdr>
            <w:top w:val="none" w:sz="0" w:space="0" w:color="auto"/>
            <w:left w:val="none" w:sz="0" w:space="0" w:color="auto"/>
            <w:bottom w:val="none" w:sz="0" w:space="0" w:color="auto"/>
            <w:right w:val="none" w:sz="0" w:space="0" w:color="auto"/>
          </w:divBdr>
          <w:divsChild>
            <w:div w:id="1984191102">
              <w:marLeft w:val="0"/>
              <w:marRight w:val="0"/>
              <w:marTop w:val="0"/>
              <w:marBottom w:val="0"/>
              <w:divBdr>
                <w:top w:val="none" w:sz="0" w:space="0" w:color="auto"/>
                <w:left w:val="none" w:sz="0" w:space="0" w:color="auto"/>
                <w:bottom w:val="none" w:sz="0" w:space="0" w:color="auto"/>
                <w:right w:val="none" w:sz="0" w:space="0" w:color="auto"/>
              </w:divBdr>
            </w:div>
          </w:divsChild>
        </w:div>
        <w:div w:id="639464135">
          <w:marLeft w:val="0"/>
          <w:marRight w:val="0"/>
          <w:marTop w:val="0"/>
          <w:marBottom w:val="0"/>
          <w:divBdr>
            <w:top w:val="none" w:sz="0" w:space="0" w:color="auto"/>
            <w:left w:val="none" w:sz="0" w:space="0" w:color="auto"/>
            <w:bottom w:val="none" w:sz="0" w:space="0" w:color="auto"/>
            <w:right w:val="none" w:sz="0" w:space="0" w:color="auto"/>
          </w:divBdr>
          <w:divsChild>
            <w:div w:id="1509557786">
              <w:marLeft w:val="0"/>
              <w:marRight w:val="0"/>
              <w:marTop w:val="0"/>
              <w:marBottom w:val="0"/>
              <w:divBdr>
                <w:top w:val="none" w:sz="0" w:space="0" w:color="auto"/>
                <w:left w:val="none" w:sz="0" w:space="0" w:color="auto"/>
                <w:bottom w:val="none" w:sz="0" w:space="0" w:color="auto"/>
                <w:right w:val="none" w:sz="0" w:space="0" w:color="auto"/>
              </w:divBdr>
            </w:div>
          </w:divsChild>
        </w:div>
        <w:div w:id="657391865">
          <w:marLeft w:val="0"/>
          <w:marRight w:val="0"/>
          <w:marTop w:val="0"/>
          <w:marBottom w:val="0"/>
          <w:divBdr>
            <w:top w:val="none" w:sz="0" w:space="0" w:color="auto"/>
            <w:left w:val="none" w:sz="0" w:space="0" w:color="auto"/>
            <w:bottom w:val="none" w:sz="0" w:space="0" w:color="auto"/>
            <w:right w:val="none" w:sz="0" w:space="0" w:color="auto"/>
          </w:divBdr>
          <w:divsChild>
            <w:div w:id="183328048">
              <w:marLeft w:val="0"/>
              <w:marRight w:val="0"/>
              <w:marTop w:val="0"/>
              <w:marBottom w:val="0"/>
              <w:divBdr>
                <w:top w:val="none" w:sz="0" w:space="0" w:color="auto"/>
                <w:left w:val="none" w:sz="0" w:space="0" w:color="auto"/>
                <w:bottom w:val="none" w:sz="0" w:space="0" w:color="auto"/>
                <w:right w:val="none" w:sz="0" w:space="0" w:color="auto"/>
              </w:divBdr>
            </w:div>
          </w:divsChild>
        </w:div>
        <w:div w:id="657732539">
          <w:marLeft w:val="0"/>
          <w:marRight w:val="0"/>
          <w:marTop w:val="0"/>
          <w:marBottom w:val="0"/>
          <w:divBdr>
            <w:top w:val="none" w:sz="0" w:space="0" w:color="auto"/>
            <w:left w:val="none" w:sz="0" w:space="0" w:color="auto"/>
            <w:bottom w:val="none" w:sz="0" w:space="0" w:color="auto"/>
            <w:right w:val="none" w:sz="0" w:space="0" w:color="auto"/>
          </w:divBdr>
          <w:divsChild>
            <w:div w:id="1460606101">
              <w:marLeft w:val="0"/>
              <w:marRight w:val="0"/>
              <w:marTop w:val="0"/>
              <w:marBottom w:val="0"/>
              <w:divBdr>
                <w:top w:val="none" w:sz="0" w:space="0" w:color="auto"/>
                <w:left w:val="none" w:sz="0" w:space="0" w:color="auto"/>
                <w:bottom w:val="none" w:sz="0" w:space="0" w:color="auto"/>
                <w:right w:val="none" w:sz="0" w:space="0" w:color="auto"/>
              </w:divBdr>
            </w:div>
          </w:divsChild>
        </w:div>
        <w:div w:id="674959584">
          <w:marLeft w:val="0"/>
          <w:marRight w:val="0"/>
          <w:marTop w:val="0"/>
          <w:marBottom w:val="0"/>
          <w:divBdr>
            <w:top w:val="none" w:sz="0" w:space="0" w:color="auto"/>
            <w:left w:val="none" w:sz="0" w:space="0" w:color="auto"/>
            <w:bottom w:val="none" w:sz="0" w:space="0" w:color="auto"/>
            <w:right w:val="none" w:sz="0" w:space="0" w:color="auto"/>
          </w:divBdr>
          <w:divsChild>
            <w:div w:id="1552616760">
              <w:marLeft w:val="0"/>
              <w:marRight w:val="0"/>
              <w:marTop w:val="0"/>
              <w:marBottom w:val="0"/>
              <w:divBdr>
                <w:top w:val="none" w:sz="0" w:space="0" w:color="auto"/>
                <w:left w:val="none" w:sz="0" w:space="0" w:color="auto"/>
                <w:bottom w:val="none" w:sz="0" w:space="0" w:color="auto"/>
                <w:right w:val="none" w:sz="0" w:space="0" w:color="auto"/>
              </w:divBdr>
            </w:div>
          </w:divsChild>
        </w:div>
        <w:div w:id="675766221">
          <w:marLeft w:val="0"/>
          <w:marRight w:val="0"/>
          <w:marTop w:val="0"/>
          <w:marBottom w:val="0"/>
          <w:divBdr>
            <w:top w:val="none" w:sz="0" w:space="0" w:color="auto"/>
            <w:left w:val="none" w:sz="0" w:space="0" w:color="auto"/>
            <w:bottom w:val="none" w:sz="0" w:space="0" w:color="auto"/>
            <w:right w:val="none" w:sz="0" w:space="0" w:color="auto"/>
          </w:divBdr>
          <w:divsChild>
            <w:div w:id="967125656">
              <w:marLeft w:val="0"/>
              <w:marRight w:val="0"/>
              <w:marTop w:val="0"/>
              <w:marBottom w:val="0"/>
              <w:divBdr>
                <w:top w:val="none" w:sz="0" w:space="0" w:color="auto"/>
                <w:left w:val="none" w:sz="0" w:space="0" w:color="auto"/>
                <w:bottom w:val="none" w:sz="0" w:space="0" w:color="auto"/>
                <w:right w:val="none" w:sz="0" w:space="0" w:color="auto"/>
              </w:divBdr>
            </w:div>
          </w:divsChild>
        </w:div>
        <w:div w:id="680132751">
          <w:marLeft w:val="0"/>
          <w:marRight w:val="0"/>
          <w:marTop w:val="0"/>
          <w:marBottom w:val="0"/>
          <w:divBdr>
            <w:top w:val="none" w:sz="0" w:space="0" w:color="auto"/>
            <w:left w:val="none" w:sz="0" w:space="0" w:color="auto"/>
            <w:bottom w:val="none" w:sz="0" w:space="0" w:color="auto"/>
            <w:right w:val="none" w:sz="0" w:space="0" w:color="auto"/>
          </w:divBdr>
          <w:divsChild>
            <w:div w:id="2074230386">
              <w:marLeft w:val="0"/>
              <w:marRight w:val="0"/>
              <w:marTop w:val="0"/>
              <w:marBottom w:val="0"/>
              <w:divBdr>
                <w:top w:val="none" w:sz="0" w:space="0" w:color="auto"/>
                <w:left w:val="none" w:sz="0" w:space="0" w:color="auto"/>
                <w:bottom w:val="none" w:sz="0" w:space="0" w:color="auto"/>
                <w:right w:val="none" w:sz="0" w:space="0" w:color="auto"/>
              </w:divBdr>
            </w:div>
          </w:divsChild>
        </w:div>
        <w:div w:id="680162670">
          <w:marLeft w:val="0"/>
          <w:marRight w:val="0"/>
          <w:marTop w:val="0"/>
          <w:marBottom w:val="0"/>
          <w:divBdr>
            <w:top w:val="none" w:sz="0" w:space="0" w:color="auto"/>
            <w:left w:val="none" w:sz="0" w:space="0" w:color="auto"/>
            <w:bottom w:val="none" w:sz="0" w:space="0" w:color="auto"/>
            <w:right w:val="none" w:sz="0" w:space="0" w:color="auto"/>
          </w:divBdr>
          <w:divsChild>
            <w:div w:id="391730573">
              <w:marLeft w:val="0"/>
              <w:marRight w:val="0"/>
              <w:marTop w:val="0"/>
              <w:marBottom w:val="0"/>
              <w:divBdr>
                <w:top w:val="none" w:sz="0" w:space="0" w:color="auto"/>
                <w:left w:val="none" w:sz="0" w:space="0" w:color="auto"/>
                <w:bottom w:val="none" w:sz="0" w:space="0" w:color="auto"/>
                <w:right w:val="none" w:sz="0" w:space="0" w:color="auto"/>
              </w:divBdr>
            </w:div>
          </w:divsChild>
        </w:div>
        <w:div w:id="681202739">
          <w:marLeft w:val="0"/>
          <w:marRight w:val="0"/>
          <w:marTop w:val="0"/>
          <w:marBottom w:val="0"/>
          <w:divBdr>
            <w:top w:val="none" w:sz="0" w:space="0" w:color="auto"/>
            <w:left w:val="none" w:sz="0" w:space="0" w:color="auto"/>
            <w:bottom w:val="none" w:sz="0" w:space="0" w:color="auto"/>
            <w:right w:val="none" w:sz="0" w:space="0" w:color="auto"/>
          </w:divBdr>
          <w:divsChild>
            <w:div w:id="1553300610">
              <w:marLeft w:val="0"/>
              <w:marRight w:val="0"/>
              <w:marTop w:val="0"/>
              <w:marBottom w:val="0"/>
              <w:divBdr>
                <w:top w:val="none" w:sz="0" w:space="0" w:color="auto"/>
                <w:left w:val="none" w:sz="0" w:space="0" w:color="auto"/>
                <w:bottom w:val="none" w:sz="0" w:space="0" w:color="auto"/>
                <w:right w:val="none" w:sz="0" w:space="0" w:color="auto"/>
              </w:divBdr>
            </w:div>
          </w:divsChild>
        </w:div>
        <w:div w:id="686760019">
          <w:marLeft w:val="0"/>
          <w:marRight w:val="0"/>
          <w:marTop w:val="0"/>
          <w:marBottom w:val="0"/>
          <w:divBdr>
            <w:top w:val="none" w:sz="0" w:space="0" w:color="auto"/>
            <w:left w:val="none" w:sz="0" w:space="0" w:color="auto"/>
            <w:bottom w:val="none" w:sz="0" w:space="0" w:color="auto"/>
            <w:right w:val="none" w:sz="0" w:space="0" w:color="auto"/>
          </w:divBdr>
          <w:divsChild>
            <w:div w:id="109934501">
              <w:marLeft w:val="0"/>
              <w:marRight w:val="0"/>
              <w:marTop w:val="0"/>
              <w:marBottom w:val="0"/>
              <w:divBdr>
                <w:top w:val="none" w:sz="0" w:space="0" w:color="auto"/>
                <w:left w:val="none" w:sz="0" w:space="0" w:color="auto"/>
                <w:bottom w:val="none" w:sz="0" w:space="0" w:color="auto"/>
                <w:right w:val="none" w:sz="0" w:space="0" w:color="auto"/>
              </w:divBdr>
            </w:div>
          </w:divsChild>
        </w:div>
        <w:div w:id="687606568">
          <w:marLeft w:val="0"/>
          <w:marRight w:val="0"/>
          <w:marTop w:val="0"/>
          <w:marBottom w:val="0"/>
          <w:divBdr>
            <w:top w:val="none" w:sz="0" w:space="0" w:color="auto"/>
            <w:left w:val="none" w:sz="0" w:space="0" w:color="auto"/>
            <w:bottom w:val="none" w:sz="0" w:space="0" w:color="auto"/>
            <w:right w:val="none" w:sz="0" w:space="0" w:color="auto"/>
          </w:divBdr>
          <w:divsChild>
            <w:div w:id="1054086800">
              <w:marLeft w:val="0"/>
              <w:marRight w:val="0"/>
              <w:marTop w:val="0"/>
              <w:marBottom w:val="0"/>
              <w:divBdr>
                <w:top w:val="none" w:sz="0" w:space="0" w:color="auto"/>
                <w:left w:val="none" w:sz="0" w:space="0" w:color="auto"/>
                <w:bottom w:val="none" w:sz="0" w:space="0" w:color="auto"/>
                <w:right w:val="none" w:sz="0" w:space="0" w:color="auto"/>
              </w:divBdr>
            </w:div>
          </w:divsChild>
        </w:div>
        <w:div w:id="704522309">
          <w:marLeft w:val="0"/>
          <w:marRight w:val="0"/>
          <w:marTop w:val="0"/>
          <w:marBottom w:val="0"/>
          <w:divBdr>
            <w:top w:val="none" w:sz="0" w:space="0" w:color="auto"/>
            <w:left w:val="none" w:sz="0" w:space="0" w:color="auto"/>
            <w:bottom w:val="none" w:sz="0" w:space="0" w:color="auto"/>
            <w:right w:val="none" w:sz="0" w:space="0" w:color="auto"/>
          </w:divBdr>
          <w:divsChild>
            <w:div w:id="151337082">
              <w:marLeft w:val="0"/>
              <w:marRight w:val="0"/>
              <w:marTop w:val="0"/>
              <w:marBottom w:val="0"/>
              <w:divBdr>
                <w:top w:val="none" w:sz="0" w:space="0" w:color="auto"/>
                <w:left w:val="none" w:sz="0" w:space="0" w:color="auto"/>
                <w:bottom w:val="none" w:sz="0" w:space="0" w:color="auto"/>
                <w:right w:val="none" w:sz="0" w:space="0" w:color="auto"/>
              </w:divBdr>
            </w:div>
          </w:divsChild>
        </w:div>
        <w:div w:id="707341788">
          <w:marLeft w:val="0"/>
          <w:marRight w:val="0"/>
          <w:marTop w:val="0"/>
          <w:marBottom w:val="0"/>
          <w:divBdr>
            <w:top w:val="none" w:sz="0" w:space="0" w:color="auto"/>
            <w:left w:val="none" w:sz="0" w:space="0" w:color="auto"/>
            <w:bottom w:val="none" w:sz="0" w:space="0" w:color="auto"/>
            <w:right w:val="none" w:sz="0" w:space="0" w:color="auto"/>
          </w:divBdr>
          <w:divsChild>
            <w:div w:id="1429623308">
              <w:marLeft w:val="0"/>
              <w:marRight w:val="0"/>
              <w:marTop w:val="0"/>
              <w:marBottom w:val="0"/>
              <w:divBdr>
                <w:top w:val="none" w:sz="0" w:space="0" w:color="auto"/>
                <w:left w:val="none" w:sz="0" w:space="0" w:color="auto"/>
                <w:bottom w:val="none" w:sz="0" w:space="0" w:color="auto"/>
                <w:right w:val="none" w:sz="0" w:space="0" w:color="auto"/>
              </w:divBdr>
            </w:div>
          </w:divsChild>
        </w:div>
        <w:div w:id="708992887">
          <w:marLeft w:val="0"/>
          <w:marRight w:val="0"/>
          <w:marTop w:val="0"/>
          <w:marBottom w:val="0"/>
          <w:divBdr>
            <w:top w:val="none" w:sz="0" w:space="0" w:color="auto"/>
            <w:left w:val="none" w:sz="0" w:space="0" w:color="auto"/>
            <w:bottom w:val="none" w:sz="0" w:space="0" w:color="auto"/>
            <w:right w:val="none" w:sz="0" w:space="0" w:color="auto"/>
          </w:divBdr>
          <w:divsChild>
            <w:div w:id="1837261975">
              <w:marLeft w:val="0"/>
              <w:marRight w:val="0"/>
              <w:marTop w:val="0"/>
              <w:marBottom w:val="0"/>
              <w:divBdr>
                <w:top w:val="none" w:sz="0" w:space="0" w:color="auto"/>
                <w:left w:val="none" w:sz="0" w:space="0" w:color="auto"/>
                <w:bottom w:val="none" w:sz="0" w:space="0" w:color="auto"/>
                <w:right w:val="none" w:sz="0" w:space="0" w:color="auto"/>
              </w:divBdr>
            </w:div>
          </w:divsChild>
        </w:div>
        <w:div w:id="718896815">
          <w:marLeft w:val="0"/>
          <w:marRight w:val="0"/>
          <w:marTop w:val="0"/>
          <w:marBottom w:val="0"/>
          <w:divBdr>
            <w:top w:val="none" w:sz="0" w:space="0" w:color="auto"/>
            <w:left w:val="none" w:sz="0" w:space="0" w:color="auto"/>
            <w:bottom w:val="none" w:sz="0" w:space="0" w:color="auto"/>
            <w:right w:val="none" w:sz="0" w:space="0" w:color="auto"/>
          </w:divBdr>
          <w:divsChild>
            <w:div w:id="1567448622">
              <w:marLeft w:val="0"/>
              <w:marRight w:val="0"/>
              <w:marTop w:val="0"/>
              <w:marBottom w:val="0"/>
              <w:divBdr>
                <w:top w:val="none" w:sz="0" w:space="0" w:color="auto"/>
                <w:left w:val="none" w:sz="0" w:space="0" w:color="auto"/>
                <w:bottom w:val="none" w:sz="0" w:space="0" w:color="auto"/>
                <w:right w:val="none" w:sz="0" w:space="0" w:color="auto"/>
              </w:divBdr>
            </w:div>
          </w:divsChild>
        </w:div>
        <w:div w:id="719742223">
          <w:marLeft w:val="0"/>
          <w:marRight w:val="0"/>
          <w:marTop w:val="0"/>
          <w:marBottom w:val="0"/>
          <w:divBdr>
            <w:top w:val="none" w:sz="0" w:space="0" w:color="auto"/>
            <w:left w:val="none" w:sz="0" w:space="0" w:color="auto"/>
            <w:bottom w:val="none" w:sz="0" w:space="0" w:color="auto"/>
            <w:right w:val="none" w:sz="0" w:space="0" w:color="auto"/>
          </w:divBdr>
          <w:divsChild>
            <w:div w:id="705452756">
              <w:marLeft w:val="0"/>
              <w:marRight w:val="0"/>
              <w:marTop w:val="0"/>
              <w:marBottom w:val="0"/>
              <w:divBdr>
                <w:top w:val="none" w:sz="0" w:space="0" w:color="auto"/>
                <w:left w:val="none" w:sz="0" w:space="0" w:color="auto"/>
                <w:bottom w:val="none" w:sz="0" w:space="0" w:color="auto"/>
                <w:right w:val="none" w:sz="0" w:space="0" w:color="auto"/>
              </w:divBdr>
            </w:div>
          </w:divsChild>
        </w:div>
        <w:div w:id="740522413">
          <w:marLeft w:val="0"/>
          <w:marRight w:val="0"/>
          <w:marTop w:val="0"/>
          <w:marBottom w:val="0"/>
          <w:divBdr>
            <w:top w:val="none" w:sz="0" w:space="0" w:color="auto"/>
            <w:left w:val="none" w:sz="0" w:space="0" w:color="auto"/>
            <w:bottom w:val="none" w:sz="0" w:space="0" w:color="auto"/>
            <w:right w:val="none" w:sz="0" w:space="0" w:color="auto"/>
          </w:divBdr>
          <w:divsChild>
            <w:div w:id="1714108828">
              <w:marLeft w:val="0"/>
              <w:marRight w:val="0"/>
              <w:marTop w:val="0"/>
              <w:marBottom w:val="0"/>
              <w:divBdr>
                <w:top w:val="none" w:sz="0" w:space="0" w:color="auto"/>
                <w:left w:val="none" w:sz="0" w:space="0" w:color="auto"/>
                <w:bottom w:val="none" w:sz="0" w:space="0" w:color="auto"/>
                <w:right w:val="none" w:sz="0" w:space="0" w:color="auto"/>
              </w:divBdr>
            </w:div>
          </w:divsChild>
        </w:div>
        <w:div w:id="742680224">
          <w:marLeft w:val="0"/>
          <w:marRight w:val="0"/>
          <w:marTop w:val="0"/>
          <w:marBottom w:val="0"/>
          <w:divBdr>
            <w:top w:val="none" w:sz="0" w:space="0" w:color="auto"/>
            <w:left w:val="none" w:sz="0" w:space="0" w:color="auto"/>
            <w:bottom w:val="none" w:sz="0" w:space="0" w:color="auto"/>
            <w:right w:val="none" w:sz="0" w:space="0" w:color="auto"/>
          </w:divBdr>
          <w:divsChild>
            <w:div w:id="787163967">
              <w:marLeft w:val="0"/>
              <w:marRight w:val="0"/>
              <w:marTop w:val="0"/>
              <w:marBottom w:val="0"/>
              <w:divBdr>
                <w:top w:val="none" w:sz="0" w:space="0" w:color="auto"/>
                <w:left w:val="none" w:sz="0" w:space="0" w:color="auto"/>
                <w:bottom w:val="none" w:sz="0" w:space="0" w:color="auto"/>
                <w:right w:val="none" w:sz="0" w:space="0" w:color="auto"/>
              </w:divBdr>
            </w:div>
          </w:divsChild>
        </w:div>
        <w:div w:id="753279989">
          <w:marLeft w:val="0"/>
          <w:marRight w:val="0"/>
          <w:marTop w:val="0"/>
          <w:marBottom w:val="0"/>
          <w:divBdr>
            <w:top w:val="none" w:sz="0" w:space="0" w:color="auto"/>
            <w:left w:val="none" w:sz="0" w:space="0" w:color="auto"/>
            <w:bottom w:val="none" w:sz="0" w:space="0" w:color="auto"/>
            <w:right w:val="none" w:sz="0" w:space="0" w:color="auto"/>
          </w:divBdr>
          <w:divsChild>
            <w:div w:id="1442800475">
              <w:marLeft w:val="0"/>
              <w:marRight w:val="0"/>
              <w:marTop w:val="0"/>
              <w:marBottom w:val="0"/>
              <w:divBdr>
                <w:top w:val="none" w:sz="0" w:space="0" w:color="auto"/>
                <w:left w:val="none" w:sz="0" w:space="0" w:color="auto"/>
                <w:bottom w:val="none" w:sz="0" w:space="0" w:color="auto"/>
                <w:right w:val="none" w:sz="0" w:space="0" w:color="auto"/>
              </w:divBdr>
            </w:div>
          </w:divsChild>
        </w:div>
        <w:div w:id="754130256">
          <w:marLeft w:val="0"/>
          <w:marRight w:val="0"/>
          <w:marTop w:val="0"/>
          <w:marBottom w:val="0"/>
          <w:divBdr>
            <w:top w:val="none" w:sz="0" w:space="0" w:color="auto"/>
            <w:left w:val="none" w:sz="0" w:space="0" w:color="auto"/>
            <w:bottom w:val="none" w:sz="0" w:space="0" w:color="auto"/>
            <w:right w:val="none" w:sz="0" w:space="0" w:color="auto"/>
          </w:divBdr>
          <w:divsChild>
            <w:div w:id="129564686">
              <w:marLeft w:val="0"/>
              <w:marRight w:val="0"/>
              <w:marTop w:val="0"/>
              <w:marBottom w:val="0"/>
              <w:divBdr>
                <w:top w:val="none" w:sz="0" w:space="0" w:color="auto"/>
                <w:left w:val="none" w:sz="0" w:space="0" w:color="auto"/>
                <w:bottom w:val="none" w:sz="0" w:space="0" w:color="auto"/>
                <w:right w:val="none" w:sz="0" w:space="0" w:color="auto"/>
              </w:divBdr>
            </w:div>
          </w:divsChild>
        </w:div>
        <w:div w:id="754324688">
          <w:marLeft w:val="0"/>
          <w:marRight w:val="0"/>
          <w:marTop w:val="0"/>
          <w:marBottom w:val="0"/>
          <w:divBdr>
            <w:top w:val="none" w:sz="0" w:space="0" w:color="auto"/>
            <w:left w:val="none" w:sz="0" w:space="0" w:color="auto"/>
            <w:bottom w:val="none" w:sz="0" w:space="0" w:color="auto"/>
            <w:right w:val="none" w:sz="0" w:space="0" w:color="auto"/>
          </w:divBdr>
          <w:divsChild>
            <w:div w:id="1887712624">
              <w:marLeft w:val="0"/>
              <w:marRight w:val="0"/>
              <w:marTop w:val="0"/>
              <w:marBottom w:val="0"/>
              <w:divBdr>
                <w:top w:val="none" w:sz="0" w:space="0" w:color="auto"/>
                <w:left w:val="none" w:sz="0" w:space="0" w:color="auto"/>
                <w:bottom w:val="none" w:sz="0" w:space="0" w:color="auto"/>
                <w:right w:val="none" w:sz="0" w:space="0" w:color="auto"/>
              </w:divBdr>
            </w:div>
          </w:divsChild>
        </w:div>
        <w:div w:id="755907086">
          <w:marLeft w:val="0"/>
          <w:marRight w:val="0"/>
          <w:marTop w:val="0"/>
          <w:marBottom w:val="0"/>
          <w:divBdr>
            <w:top w:val="none" w:sz="0" w:space="0" w:color="auto"/>
            <w:left w:val="none" w:sz="0" w:space="0" w:color="auto"/>
            <w:bottom w:val="none" w:sz="0" w:space="0" w:color="auto"/>
            <w:right w:val="none" w:sz="0" w:space="0" w:color="auto"/>
          </w:divBdr>
          <w:divsChild>
            <w:div w:id="658004546">
              <w:marLeft w:val="0"/>
              <w:marRight w:val="0"/>
              <w:marTop w:val="0"/>
              <w:marBottom w:val="0"/>
              <w:divBdr>
                <w:top w:val="none" w:sz="0" w:space="0" w:color="auto"/>
                <w:left w:val="none" w:sz="0" w:space="0" w:color="auto"/>
                <w:bottom w:val="none" w:sz="0" w:space="0" w:color="auto"/>
                <w:right w:val="none" w:sz="0" w:space="0" w:color="auto"/>
              </w:divBdr>
            </w:div>
          </w:divsChild>
        </w:div>
        <w:div w:id="766116214">
          <w:marLeft w:val="0"/>
          <w:marRight w:val="0"/>
          <w:marTop w:val="0"/>
          <w:marBottom w:val="0"/>
          <w:divBdr>
            <w:top w:val="none" w:sz="0" w:space="0" w:color="auto"/>
            <w:left w:val="none" w:sz="0" w:space="0" w:color="auto"/>
            <w:bottom w:val="none" w:sz="0" w:space="0" w:color="auto"/>
            <w:right w:val="none" w:sz="0" w:space="0" w:color="auto"/>
          </w:divBdr>
          <w:divsChild>
            <w:div w:id="1160386012">
              <w:marLeft w:val="0"/>
              <w:marRight w:val="0"/>
              <w:marTop w:val="0"/>
              <w:marBottom w:val="0"/>
              <w:divBdr>
                <w:top w:val="none" w:sz="0" w:space="0" w:color="auto"/>
                <w:left w:val="none" w:sz="0" w:space="0" w:color="auto"/>
                <w:bottom w:val="none" w:sz="0" w:space="0" w:color="auto"/>
                <w:right w:val="none" w:sz="0" w:space="0" w:color="auto"/>
              </w:divBdr>
            </w:div>
          </w:divsChild>
        </w:div>
        <w:div w:id="770392899">
          <w:marLeft w:val="0"/>
          <w:marRight w:val="0"/>
          <w:marTop w:val="0"/>
          <w:marBottom w:val="0"/>
          <w:divBdr>
            <w:top w:val="none" w:sz="0" w:space="0" w:color="auto"/>
            <w:left w:val="none" w:sz="0" w:space="0" w:color="auto"/>
            <w:bottom w:val="none" w:sz="0" w:space="0" w:color="auto"/>
            <w:right w:val="none" w:sz="0" w:space="0" w:color="auto"/>
          </w:divBdr>
          <w:divsChild>
            <w:div w:id="1016226600">
              <w:marLeft w:val="0"/>
              <w:marRight w:val="0"/>
              <w:marTop w:val="0"/>
              <w:marBottom w:val="0"/>
              <w:divBdr>
                <w:top w:val="none" w:sz="0" w:space="0" w:color="auto"/>
                <w:left w:val="none" w:sz="0" w:space="0" w:color="auto"/>
                <w:bottom w:val="none" w:sz="0" w:space="0" w:color="auto"/>
                <w:right w:val="none" w:sz="0" w:space="0" w:color="auto"/>
              </w:divBdr>
            </w:div>
          </w:divsChild>
        </w:div>
        <w:div w:id="771820576">
          <w:marLeft w:val="0"/>
          <w:marRight w:val="0"/>
          <w:marTop w:val="0"/>
          <w:marBottom w:val="0"/>
          <w:divBdr>
            <w:top w:val="none" w:sz="0" w:space="0" w:color="auto"/>
            <w:left w:val="none" w:sz="0" w:space="0" w:color="auto"/>
            <w:bottom w:val="none" w:sz="0" w:space="0" w:color="auto"/>
            <w:right w:val="none" w:sz="0" w:space="0" w:color="auto"/>
          </w:divBdr>
          <w:divsChild>
            <w:div w:id="1422488905">
              <w:marLeft w:val="0"/>
              <w:marRight w:val="0"/>
              <w:marTop w:val="0"/>
              <w:marBottom w:val="0"/>
              <w:divBdr>
                <w:top w:val="none" w:sz="0" w:space="0" w:color="auto"/>
                <w:left w:val="none" w:sz="0" w:space="0" w:color="auto"/>
                <w:bottom w:val="none" w:sz="0" w:space="0" w:color="auto"/>
                <w:right w:val="none" w:sz="0" w:space="0" w:color="auto"/>
              </w:divBdr>
            </w:div>
          </w:divsChild>
        </w:div>
        <w:div w:id="775832423">
          <w:marLeft w:val="0"/>
          <w:marRight w:val="0"/>
          <w:marTop w:val="0"/>
          <w:marBottom w:val="0"/>
          <w:divBdr>
            <w:top w:val="none" w:sz="0" w:space="0" w:color="auto"/>
            <w:left w:val="none" w:sz="0" w:space="0" w:color="auto"/>
            <w:bottom w:val="none" w:sz="0" w:space="0" w:color="auto"/>
            <w:right w:val="none" w:sz="0" w:space="0" w:color="auto"/>
          </w:divBdr>
          <w:divsChild>
            <w:div w:id="304746848">
              <w:marLeft w:val="0"/>
              <w:marRight w:val="0"/>
              <w:marTop w:val="0"/>
              <w:marBottom w:val="0"/>
              <w:divBdr>
                <w:top w:val="none" w:sz="0" w:space="0" w:color="auto"/>
                <w:left w:val="none" w:sz="0" w:space="0" w:color="auto"/>
                <w:bottom w:val="none" w:sz="0" w:space="0" w:color="auto"/>
                <w:right w:val="none" w:sz="0" w:space="0" w:color="auto"/>
              </w:divBdr>
            </w:div>
          </w:divsChild>
        </w:div>
        <w:div w:id="802848205">
          <w:marLeft w:val="0"/>
          <w:marRight w:val="0"/>
          <w:marTop w:val="0"/>
          <w:marBottom w:val="0"/>
          <w:divBdr>
            <w:top w:val="none" w:sz="0" w:space="0" w:color="auto"/>
            <w:left w:val="none" w:sz="0" w:space="0" w:color="auto"/>
            <w:bottom w:val="none" w:sz="0" w:space="0" w:color="auto"/>
            <w:right w:val="none" w:sz="0" w:space="0" w:color="auto"/>
          </w:divBdr>
          <w:divsChild>
            <w:div w:id="1700812053">
              <w:marLeft w:val="0"/>
              <w:marRight w:val="0"/>
              <w:marTop w:val="0"/>
              <w:marBottom w:val="0"/>
              <w:divBdr>
                <w:top w:val="none" w:sz="0" w:space="0" w:color="auto"/>
                <w:left w:val="none" w:sz="0" w:space="0" w:color="auto"/>
                <w:bottom w:val="none" w:sz="0" w:space="0" w:color="auto"/>
                <w:right w:val="none" w:sz="0" w:space="0" w:color="auto"/>
              </w:divBdr>
            </w:div>
          </w:divsChild>
        </w:div>
        <w:div w:id="804348212">
          <w:marLeft w:val="0"/>
          <w:marRight w:val="0"/>
          <w:marTop w:val="0"/>
          <w:marBottom w:val="0"/>
          <w:divBdr>
            <w:top w:val="none" w:sz="0" w:space="0" w:color="auto"/>
            <w:left w:val="none" w:sz="0" w:space="0" w:color="auto"/>
            <w:bottom w:val="none" w:sz="0" w:space="0" w:color="auto"/>
            <w:right w:val="none" w:sz="0" w:space="0" w:color="auto"/>
          </w:divBdr>
          <w:divsChild>
            <w:div w:id="243758860">
              <w:marLeft w:val="0"/>
              <w:marRight w:val="0"/>
              <w:marTop w:val="0"/>
              <w:marBottom w:val="0"/>
              <w:divBdr>
                <w:top w:val="none" w:sz="0" w:space="0" w:color="auto"/>
                <w:left w:val="none" w:sz="0" w:space="0" w:color="auto"/>
                <w:bottom w:val="none" w:sz="0" w:space="0" w:color="auto"/>
                <w:right w:val="none" w:sz="0" w:space="0" w:color="auto"/>
              </w:divBdr>
            </w:div>
          </w:divsChild>
        </w:div>
        <w:div w:id="805196795">
          <w:marLeft w:val="0"/>
          <w:marRight w:val="0"/>
          <w:marTop w:val="0"/>
          <w:marBottom w:val="0"/>
          <w:divBdr>
            <w:top w:val="none" w:sz="0" w:space="0" w:color="auto"/>
            <w:left w:val="none" w:sz="0" w:space="0" w:color="auto"/>
            <w:bottom w:val="none" w:sz="0" w:space="0" w:color="auto"/>
            <w:right w:val="none" w:sz="0" w:space="0" w:color="auto"/>
          </w:divBdr>
          <w:divsChild>
            <w:div w:id="2116246475">
              <w:marLeft w:val="0"/>
              <w:marRight w:val="0"/>
              <w:marTop w:val="0"/>
              <w:marBottom w:val="0"/>
              <w:divBdr>
                <w:top w:val="none" w:sz="0" w:space="0" w:color="auto"/>
                <w:left w:val="none" w:sz="0" w:space="0" w:color="auto"/>
                <w:bottom w:val="none" w:sz="0" w:space="0" w:color="auto"/>
                <w:right w:val="none" w:sz="0" w:space="0" w:color="auto"/>
              </w:divBdr>
            </w:div>
          </w:divsChild>
        </w:div>
        <w:div w:id="810944758">
          <w:marLeft w:val="0"/>
          <w:marRight w:val="0"/>
          <w:marTop w:val="0"/>
          <w:marBottom w:val="0"/>
          <w:divBdr>
            <w:top w:val="none" w:sz="0" w:space="0" w:color="auto"/>
            <w:left w:val="none" w:sz="0" w:space="0" w:color="auto"/>
            <w:bottom w:val="none" w:sz="0" w:space="0" w:color="auto"/>
            <w:right w:val="none" w:sz="0" w:space="0" w:color="auto"/>
          </w:divBdr>
          <w:divsChild>
            <w:div w:id="885220747">
              <w:marLeft w:val="0"/>
              <w:marRight w:val="0"/>
              <w:marTop w:val="0"/>
              <w:marBottom w:val="0"/>
              <w:divBdr>
                <w:top w:val="none" w:sz="0" w:space="0" w:color="auto"/>
                <w:left w:val="none" w:sz="0" w:space="0" w:color="auto"/>
                <w:bottom w:val="none" w:sz="0" w:space="0" w:color="auto"/>
                <w:right w:val="none" w:sz="0" w:space="0" w:color="auto"/>
              </w:divBdr>
            </w:div>
          </w:divsChild>
        </w:div>
        <w:div w:id="816999287">
          <w:marLeft w:val="0"/>
          <w:marRight w:val="0"/>
          <w:marTop w:val="0"/>
          <w:marBottom w:val="0"/>
          <w:divBdr>
            <w:top w:val="none" w:sz="0" w:space="0" w:color="auto"/>
            <w:left w:val="none" w:sz="0" w:space="0" w:color="auto"/>
            <w:bottom w:val="none" w:sz="0" w:space="0" w:color="auto"/>
            <w:right w:val="none" w:sz="0" w:space="0" w:color="auto"/>
          </w:divBdr>
          <w:divsChild>
            <w:div w:id="1779062384">
              <w:marLeft w:val="0"/>
              <w:marRight w:val="0"/>
              <w:marTop w:val="0"/>
              <w:marBottom w:val="0"/>
              <w:divBdr>
                <w:top w:val="none" w:sz="0" w:space="0" w:color="auto"/>
                <w:left w:val="none" w:sz="0" w:space="0" w:color="auto"/>
                <w:bottom w:val="none" w:sz="0" w:space="0" w:color="auto"/>
                <w:right w:val="none" w:sz="0" w:space="0" w:color="auto"/>
              </w:divBdr>
            </w:div>
          </w:divsChild>
        </w:div>
        <w:div w:id="818503025">
          <w:marLeft w:val="0"/>
          <w:marRight w:val="0"/>
          <w:marTop w:val="0"/>
          <w:marBottom w:val="0"/>
          <w:divBdr>
            <w:top w:val="none" w:sz="0" w:space="0" w:color="auto"/>
            <w:left w:val="none" w:sz="0" w:space="0" w:color="auto"/>
            <w:bottom w:val="none" w:sz="0" w:space="0" w:color="auto"/>
            <w:right w:val="none" w:sz="0" w:space="0" w:color="auto"/>
          </w:divBdr>
          <w:divsChild>
            <w:div w:id="1188716822">
              <w:marLeft w:val="0"/>
              <w:marRight w:val="0"/>
              <w:marTop w:val="0"/>
              <w:marBottom w:val="0"/>
              <w:divBdr>
                <w:top w:val="none" w:sz="0" w:space="0" w:color="auto"/>
                <w:left w:val="none" w:sz="0" w:space="0" w:color="auto"/>
                <w:bottom w:val="none" w:sz="0" w:space="0" w:color="auto"/>
                <w:right w:val="none" w:sz="0" w:space="0" w:color="auto"/>
              </w:divBdr>
            </w:div>
          </w:divsChild>
        </w:div>
        <w:div w:id="829059728">
          <w:marLeft w:val="0"/>
          <w:marRight w:val="0"/>
          <w:marTop w:val="0"/>
          <w:marBottom w:val="0"/>
          <w:divBdr>
            <w:top w:val="none" w:sz="0" w:space="0" w:color="auto"/>
            <w:left w:val="none" w:sz="0" w:space="0" w:color="auto"/>
            <w:bottom w:val="none" w:sz="0" w:space="0" w:color="auto"/>
            <w:right w:val="none" w:sz="0" w:space="0" w:color="auto"/>
          </w:divBdr>
          <w:divsChild>
            <w:div w:id="1171214099">
              <w:marLeft w:val="0"/>
              <w:marRight w:val="0"/>
              <w:marTop w:val="0"/>
              <w:marBottom w:val="0"/>
              <w:divBdr>
                <w:top w:val="none" w:sz="0" w:space="0" w:color="auto"/>
                <w:left w:val="none" w:sz="0" w:space="0" w:color="auto"/>
                <w:bottom w:val="none" w:sz="0" w:space="0" w:color="auto"/>
                <w:right w:val="none" w:sz="0" w:space="0" w:color="auto"/>
              </w:divBdr>
            </w:div>
          </w:divsChild>
        </w:div>
        <w:div w:id="831212814">
          <w:marLeft w:val="0"/>
          <w:marRight w:val="0"/>
          <w:marTop w:val="0"/>
          <w:marBottom w:val="0"/>
          <w:divBdr>
            <w:top w:val="none" w:sz="0" w:space="0" w:color="auto"/>
            <w:left w:val="none" w:sz="0" w:space="0" w:color="auto"/>
            <w:bottom w:val="none" w:sz="0" w:space="0" w:color="auto"/>
            <w:right w:val="none" w:sz="0" w:space="0" w:color="auto"/>
          </w:divBdr>
          <w:divsChild>
            <w:div w:id="2121877670">
              <w:marLeft w:val="0"/>
              <w:marRight w:val="0"/>
              <w:marTop w:val="0"/>
              <w:marBottom w:val="0"/>
              <w:divBdr>
                <w:top w:val="none" w:sz="0" w:space="0" w:color="auto"/>
                <w:left w:val="none" w:sz="0" w:space="0" w:color="auto"/>
                <w:bottom w:val="none" w:sz="0" w:space="0" w:color="auto"/>
                <w:right w:val="none" w:sz="0" w:space="0" w:color="auto"/>
              </w:divBdr>
            </w:div>
          </w:divsChild>
        </w:div>
        <w:div w:id="832337236">
          <w:marLeft w:val="0"/>
          <w:marRight w:val="0"/>
          <w:marTop w:val="0"/>
          <w:marBottom w:val="0"/>
          <w:divBdr>
            <w:top w:val="none" w:sz="0" w:space="0" w:color="auto"/>
            <w:left w:val="none" w:sz="0" w:space="0" w:color="auto"/>
            <w:bottom w:val="none" w:sz="0" w:space="0" w:color="auto"/>
            <w:right w:val="none" w:sz="0" w:space="0" w:color="auto"/>
          </w:divBdr>
          <w:divsChild>
            <w:div w:id="441143987">
              <w:marLeft w:val="0"/>
              <w:marRight w:val="0"/>
              <w:marTop w:val="0"/>
              <w:marBottom w:val="0"/>
              <w:divBdr>
                <w:top w:val="none" w:sz="0" w:space="0" w:color="auto"/>
                <w:left w:val="none" w:sz="0" w:space="0" w:color="auto"/>
                <w:bottom w:val="none" w:sz="0" w:space="0" w:color="auto"/>
                <w:right w:val="none" w:sz="0" w:space="0" w:color="auto"/>
              </w:divBdr>
            </w:div>
          </w:divsChild>
        </w:div>
        <w:div w:id="835537896">
          <w:marLeft w:val="0"/>
          <w:marRight w:val="0"/>
          <w:marTop w:val="0"/>
          <w:marBottom w:val="0"/>
          <w:divBdr>
            <w:top w:val="none" w:sz="0" w:space="0" w:color="auto"/>
            <w:left w:val="none" w:sz="0" w:space="0" w:color="auto"/>
            <w:bottom w:val="none" w:sz="0" w:space="0" w:color="auto"/>
            <w:right w:val="none" w:sz="0" w:space="0" w:color="auto"/>
          </w:divBdr>
          <w:divsChild>
            <w:div w:id="1048264903">
              <w:marLeft w:val="0"/>
              <w:marRight w:val="0"/>
              <w:marTop w:val="0"/>
              <w:marBottom w:val="0"/>
              <w:divBdr>
                <w:top w:val="none" w:sz="0" w:space="0" w:color="auto"/>
                <w:left w:val="none" w:sz="0" w:space="0" w:color="auto"/>
                <w:bottom w:val="none" w:sz="0" w:space="0" w:color="auto"/>
                <w:right w:val="none" w:sz="0" w:space="0" w:color="auto"/>
              </w:divBdr>
            </w:div>
          </w:divsChild>
        </w:div>
        <w:div w:id="846020802">
          <w:marLeft w:val="0"/>
          <w:marRight w:val="0"/>
          <w:marTop w:val="0"/>
          <w:marBottom w:val="0"/>
          <w:divBdr>
            <w:top w:val="none" w:sz="0" w:space="0" w:color="auto"/>
            <w:left w:val="none" w:sz="0" w:space="0" w:color="auto"/>
            <w:bottom w:val="none" w:sz="0" w:space="0" w:color="auto"/>
            <w:right w:val="none" w:sz="0" w:space="0" w:color="auto"/>
          </w:divBdr>
          <w:divsChild>
            <w:div w:id="1940140430">
              <w:marLeft w:val="0"/>
              <w:marRight w:val="0"/>
              <w:marTop w:val="0"/>
              <w:marBottom w:val="0"/>
              <w:divBdr>
                <w:top w:val="none" w:sz="0" w:space="0" w:color="auto"/>
                <w:left w:val="none" w:sz="0" w:space="0" w:color="auto"/>
                <w:bottom w:val="none" w:sz="0" w:space="0" w:color="auto"/>
                <w:right w:val="none" w:sz="0" w:space="0" w:color="auto"/>
              </w:divBdr>
            </w:div>
          </w:divsChild>
        </w:div>
        <w:div w:id="846941773">
          <w:marLeft w:val="0"/>
          <w:marRight w:val="0"/>
          <w:marTop w:val="0"/>
          <w:marBottom w:val="0"/>
          <w:divBdr>
            <w:top w:val="none" w:sz="0" w:space="0" w:color="auto"/>
            <w:left w:val="none" w:sz="0" w:space="0" w:color="auto"/>
            <w:bottom w:val="none" w:sz="0" w:space="0" w:color="auto"/>
            <w:right w:val="none" w:sz="0" w:space="0" w:color="auto"/>
          </w:divBdr>
          <w:divsChild>
            <w:div w:id="136067077">
              <w:marLeft w:val="0"/>
              <w:marRight w:val="0"/>
              <w:marTop w:val="0"/>
              <w:marBottom w:val="0"/>
              <w:divBdr>
                <w:top w:val="none" w:sz="0" w:space="0" w:color="auto"/>
                <w:left w:val="none" w:sz="0" w:space="0" w:color="auto"/>
                <w:bottom w:val="none" w:sz="0" w:space="0" w:color="auto"/>
                <w:right w:val="none" w:sz="0" w:space="0" w:color="auto"/>
              </w:divBdr>
            </w:div>
          </w:divsChild>
        </w:div>
        <w:div w:id="848636436">
          <w:marLeft w:val="0"/>
          <w:marRight w:val="0"/>
          <w:marTop w:val="0"/>
          <w:marBottom w:val="0"/>
          <w:divBdr>
            <w:top w:val="none" w:sz="0" w:space="0" w:color="auto"/>
            <w:left w:val="none" w:sz="0" w:space="0" w:color="auto"/>
            <w:bottom w:val="none" w:sz="0" w:space="0" w:color="auto"/>
            <w:right w:val="none" w:sz="0" w:space="0" w:color="auto"/>
          </w:divBdr>
          <w:divsChild>
            <w:div w:id="2115051687">
              <w:marLeft w:val="0"/>
              <w:marRight w:val="0"/>
              <w:marTop w:val="0"/>
              <w:marBottom w:val="0"/>
              <w:divBdr>
                <w:top w:val="none" w:sz="0" w:space="0" w:color="auto"/>
                <w:left w:val="none" w:sz="0" w:space="0" w:color="auto"/>
                <w:bottom w:val="none" w:sz="0" w:space="0" w:color="auto"/>
                <w:right w:val="none" w:sz="0" w:space="0" w:color="auto"/>
              </w:divBdr>
            </w:div>
          </w:divsChild>
        </w:div>
        <w:div w:id="854728820">
          <w:marLeft w:val="0"/>
          <w:marRight w:val="0"/>
          <w:marTop w:val="0"/>
          <w:marBottom w:val="0"/>
          <w:divBdr>
            <w:top w:val="none" w:sz="0" w:space="0" w:color="auto"/>
            <w:left w:val="none" w:sz="0" w:space="0" w:color="auto"/>
            <w:bottom w:val="none" w:sz="0" w:space="0" w:color="auto"/>
            <w:right w:val="none" w:sz="0" w:space="0" w:color="auto"/>
          </w:divBdr>
          <w:divsChild>
            <w:div w:id="846292647">
              <w:marLeft w:val="0"/>
              <w:marRight w:val="0"/>
              <w:marTop w:val="0"/>
              <w:marBottom w:val="0"/>
              <w:divBdr>
                <w:top w:val="none" w:sz="0" w:space="0" w:color="auto"/>
                <w:left w:val="none" w:sz="0" w:space="0" w:color="auto"/>
                <w:bottom w:val="none" w:sz="0" w:space="0" w:color="auto"/>
                <w:right w:val="none" w:sz="0" w:space="0" w:color="auto"/>
              </w:divBdr>
            </w:div>
          </w:divsChild>
        </w:div>
        <w:div w:id="890190830">
          <w:marLeft w:val="0"/>
          <w:marRight w:val="0"/>
          <w:marTop w:val="0"/>
          <w:marBottom w:val="0"/>
          <w:divBdr>
            <w:top w:val="none" w:sz="0" w:space="0" w:color="auto"/>
            <w:left w:val="none" w:sz="0" w:space="0" w:color="auto"/>
            <w:bottom w:val="none" w:sz="0" w:space="0" w:color="auto"/>
            <w:right w:val="none" w:sz="0" w:space="0" w:color="auto"/>
          </w:divBdr>
          <w:divsChild>
            <w:div w:id="387340636">
              <w:marLeft w:val="0"/>
              <w:marRight w:val="0"/>
              <w:marTop w:val="0"/>
              <w:marBottom w:val="0"/>
              <w:divBdr>
                <w:top w:val="none" w:sz="0" w:space="0" w:color="auto"/>
                <w:left w:val="none" w:sz="0" w:space="0" w:color="auto"/>
                <w:bottom w:val="none" w:sz="0" w:space="0" w:color="auto"/>
                <w:right w:val="none" w:sz="0" w:space="0" w:color="auto"/>
              </w:divBdr>
            </w:div>
          </w:divsChild>
        </w:div>
        <w:div w:id="900018817">
          <w:marLeft w:val="0"/>
          <w:marRight w:val="0"/>
          <w:marTop w:val="0"/>
          <w:marBottom w:val="0"/>
          <w:divBdr>
            <w:top w:val="none" w:sz="0" w:space="0" w:color="auto"/>
            <w:left w:val="none" w:sz="0" w:space="0" w:color="auto"/>
            <w:bottom w:val="none" w:sz="0" w:space="0" w:color="auto"/>
            <w:right w:val="none" w:sz="0" w:space="0" w:color="auto"/>
          </w:divBdr>
          <w:divsChild>
            <w:div w:id="935820715">
              <w:marLeft w:val="0"/>
              <w:marRight w:val="0"/>
              <w:marTop w:val="0"/>
              <w:marBottom w:val="0"/>
              <w:divBdr>
                <w:top w:val="none" w:sz="0" w:space="0" w:color="auto"/>
                <w:left w:val="none" w:sz="0" w:space="0" w:color="auto"/>
                <w:bottom w:val="none" w:sz="0" w:space="0" w:color="auto"/>
                <w:right w:val="none" w:sz="0" w:space="0" w:color="auto"/>
              </w:divBdr>
            </w:div>
          </w:divsChild>
        </w:div>
        <w:div w:id="920867283">
          <w:marLeft w:val="0"/>
          <w:marRight w:val="0"/>
          <w:marTop w:val="0"/>
          <w:marBottom w:val="0"/>
          <w:divBdr>
            <w:top w:val="none" w:sz="0" w:space="0" w:color="auto"/>
            <w:left w:val="none" w:sz="0" w:space="0" w:color="auto"/>
            <w:bottom w:val="none" w:sz="0" w:space="0" w:color="auto"/>
            <w:right w:val="none" w:sz="0" w:space="0" w:color="auto"/>
          </w:divBdr>
          <w:divsChild>
            <w:div w:id="1365249767">
              <w:marLeft w:val="0"/>
              <w:marRight w:val="0"/>
              <w:marTop w:val="0"/>
              <w:marBottom w:val="0"/>
              <w:divBdr>
                <w:top w:val="none" w:sz="0" w:space="0" w:color="auto"/>
                <w:left w:val="none" w:sz="0" w:space="0" w:color="auto"/>
                <w:bottom w:val="none" w:sz="0" w:space="0" w:color="auto"/>
                <w:right w:val="none" w:sz="0" w:space="0" w:color="auto"/>
              </w:divBdr>
            </w:div>
          </w:divsChild>
        </w:div>
        <w:div w:id="923150945">
          <w:marLeft w:val="0"/>
          <w:marRight w:val="0"/>
          <w:marTop w:val="0"/>
          <w:marBottom w:val="0"/>
          <w:divBdr>
            <w:top w:val="none" w:sz="0" w:space="0" w:color="auto"/>
            <w:left w:val="none" w:sz="0" w:space="0" w:color="auto"/>
            <w:bottom w:val="none" w:sz="0" w:space="0" w:color="auto"/>
            <w:right w:val="none" w:sz="0" w:space="0" w:color="auto"/>
          </w:divBdr>
          <w:divsChild>
            <w:div w:id="1747262761">
              <w:marLeft w:val="0"/>
              <w:marRight w:val="0"/>
              <w:marTop w:val="0"/>
              <w:marBottom w:val="0"/>
              <w:divBdr>
                <w:top w:val="none" w:sz="0" w:space="0" w:color="auto"/>
                <w:left w:val="none" w:sz="0" w:space="0" w:color="auto"/>
                <w:bottom w:val="none" w:sz="0" w:space="0" w:color="auto"/>
                <w:right w:val="none" w:sz="0" w:space="0" w:color="auto"/>
              </w:divBdr>
            </w:div>
          </w:divsChild>
        </w:div>
        <w:div w:id="929580438">
          <w:marLeft w:val="0"/>
          <w:marRight w:val="0"/>
          <w:marTop w:val="0"/>
          <w:marBottom w:val="0"/>
          <w:divBdr>
            <w:top w:val="none" w:sz="0" w:space="0" w:color="auto"/>
            <w:left w:val="none" w:sz="0" w:space="0" w:color="auto"/>
            <w:bottom w:val="none" w:sz="0" w:space="0" w:color="auto"/>
            <w:right w:val="none" w:sz="0" w:space="0" w:color="auto"/>
          </w:divBdr>
          <w:divsChild>
            <w:div w:id="1762750193">
              <w:marLeft w:val="0"/>
              <w:marRight w:val="0"/>
              <w:marTop w:val="0"/>
              <w:marBottom w:val="0"/>
              <w:divBdr>
                <w:top w:val="none" w:sz="0" w:space="0" w:color="auto"/>
                <w:left w:val="none" w:sz="0" w:space="0" w:color="auto"/>
                <w:bottom w:val="none" w:sz="0" w:space="0" w:color="auto"/>
                <w:right w:val="none" w:sz="0" w:space="0" w:color="auto"/>
              </w:divBdr>
            </w:div>
          </w:divsChild>
        </w:div>
        <w:div w:id="944310180">
          <w:marLeft w:val="0"/>
          <w:marRight w:val="0"/>
          <w:marTop w:val="0"/>
          <w:marBottom w:val="0"/>
          <w:divBdr>
            <w:top w:val="none" w:sz="0" w:space="0" w:color="auto"/>
            <w:left w:val="none" w:sz="0" w:space="0" w:color="auto"/>
            <w:bottom w:val="none" w:sz="0" w:space="0" w:color="auto"/>
            <w:right w:val="none" w:sz="0" w:space="0" w:color="auto"/>
          </w:divBdr>
          <w:divsChild>
            <w:div w:id="948927041">
              <w:marLeft w:val="0"/>
              <w:marRight w:val="0"/>
              <w:marTop w:val="0"/>
              <w:marBottom w:val="0"/>
              <w:divBdr>
                <w:top w:val="none" w:sz="0" w:space="0" w:color="auto"/>
                <w:left w:val="none" w:sz="0" w:space="0" w:color="auto"/>
                <w:bottom w:val="none" w:sz="0" w:space="0" w:color="auto"/>
                <w:right w:val="none" w:sz="0" w:space="0" w:color="auto"/>
              </w:divBdr>
            </w:div>
          </w:divsChild>
        </w:div>
        <w:div w:id="945648845">
          <w:marLeft w:val="0"/>
          <w:marRight w:val="0"/>
          <w:marTop w:val="0"/>
          <w:marBottom w:val="0"/>
          <w:divBdr>
            <w:top w:val="none" w:sz="0" w:space="0" w:color="auto"/>
            <w:left w:val="none" w:sz="0" w:space="0" w:color="auto"/>
            <w:bottom w:val="none" w:sz="0" w:space="0" w:color="auto"/>
            <w:right w:val="none" w:sz="0" w:space="0" w:color="auto"/>
          </w:divBdr>
          <w:divsChild>
            <w:div w:id="1047266195">
              <w:marLeft w:val="0"/>
              <w:marRight w:val="0"/>
              <w:marTop w:val="0"/>
              <w:marBottom w:val="0"/>
              <w:divBdr>
                <w:top w:val="none" w:sz="0" w:space="0" w:color="auto"/>
                <w:left w:val="none" w:sz="0" w:space="0" w:color="auto"/>
                <w:bottom w:val="none" w:sz="0" w:space="0" w:color="auto"/>
                <w:right w:val="none" w:sz="0" w:space="0" w:color="auto"/>
              </w:divBdr>
            </w:div>
          </w:divsChild>
        </w:div>
        <w:div w:id="949319482">
          <w:marLeft w:val="0"/>
          <w:marRight w:val="0"/>
          <w:marTop w:val="0"/>
          <w:marBottom w:val="0"/>
          <w:divBdr>
            <w:top w:val="none" w:sz="0" w:space="0" w:color="auto"/>
            <w:left w:val="none" w:sz="0" w:space="0" w:color="auto"/>
            <w:bottom w:val="none" w:sz="0" w:space="0" w:color="auto"/>
            <w:right w:val="none" w:sz="0" w:space="0" w:color="auto"/>
          </w:divBdr>
          <w:divsChild>
            <w:div w:id="364140371">
              <w:marLeft w:val="0"/>
              <w:marRight w:val="0"/>
              <w:marTop w:val="0"/>
              <w:marBottom w:val="0"/>
              <w:divBdr>
                <w:top w:val="none" w:sz="0" w:space="0" w:color="auto"/>
                <w:left w:val="none" w:sz="0" w:space="0" w:color="auto"/>
                <w:bottom w:val="none" w:sz="0" w:space="0" w:color="auto"/>
                <w:right w:val="none" w:sz="0" w:space="0" w:color="auto"/>
              </w:divBdr>
            </w:div>
          </w:divsChild>
        </w:div>
        <w:div w:id="955328651">
          <w:marLeft w:val="0"/>
          <w:marRight w:val="0"/>
          <w:marTop w:val="0"/>
          <w:marBottom w:val="0"/>
          <w:divBdr>
            <w:top w:val="none" w:sz="0" w:space="0" w:color="auto"/>
            <w:left w:val="none" w:sz="0" w:space="0" w:color="auto"/>
            <w:bottom w:val="none" w:sz="0" w:space="0" w:color="auto"/>
            <w:right w:val="none" w:sz="0" w:space="0" w:color="auto"/>
          </w:divBdr>
          <w:divsChild>
            <w:div w:id="1040200973">
              <w:marLeft w:val="0"/>
              <w:marRight w:val="0"/>
              <w:marTop w:val="0"/>
              <w:marBottom w:val="0"/>
              <w:divBdr>
                <w:top w:val="none" w:sz="0" w:space="0" w:color="auto"/>
                <w:left w:val="none" w:sz="0" w:space="0" w:color="auto"/>
                <w:bottom w:val="none" w:sz="0" w:space="0" w:color="auto"/>
                <w:right w:val="none" w:sz="0" w:space="0" w:color="auto"/>
              </w:divBdr>
            </w:div>
          </w:divsChild>
        </w:div>
        <w:div w:id="958410411">
          <w:marLeft w:val="0"/>
          <w:marRight w:val="0"/>
          <w:marTop w:val="0"/>
          <w:marBottom w:val="0"/>
          <w:divBdr>
            <w:top w:val="none" w:sz="0" w:space="0" w:color="auto"/>
            <w:left w:val="none" w:sz="0" w:space="0" w:color="auto"/>
            <w:bottom w:val="none" w:sz="0" w:space="0" w:color="auto"/>
            <w:right w:val="none" w:sz="0" w:space="0" w:color="auto"/>
          </w:divBdr>
          <w:divsChild>
            <w:div w:id="1817911693">
              <w:marLeft w:val="0"/>
              <w:marRight w:val="0"/>
              <w:marTop w:val="0"/>
              <w:marBottom w:val="0"/>
              <w:divBdr>
                <w:top w:val="none" w:sz="0" w:space="0" w:color="auto"/>
                <w:left w:val="none" w:sz="0" w:space="0" w:color="auto"/>
                <w:bottom w:val="none" w:sz="0" w:space="0" w:color="auto"/>
                <w:right w:val="none" w:sz="0" w:space="0" w:color="auto"/>
              </w:divBdr>
            </w:div>
          </w:divsChild>
        </w:div>
        <w:div w:id="970284499">
          <w:marLeft w:val="0"/>
          <w:marRight w:val="0"/>
          <w:marTop w:val="0"/>
          <w:marBottom w:val="0"/>
          <w:divBdr>
            <w:top w:val="none" w:sz="0" w:space="0" w:color="auto"/>
            <w:left w:val="none" w:sz="0" w:space="0" w:color="auto"/>
            <w:bottom w:val="none" w:sz="0" w:space="0" w:color="auto"/>
            <w:right w:val="none" w:sz="0" w:space="0" w:color="auto"/>
          </w:divBdr>
          <w:divsChild>
            <w:div w:id="1528059234">
              <w:marLeft w:val="0"/>
              <w:marRight w:val="0"/>
              <w:marTop w:val="0"/>
              <w:marBottom w:val="0"/>
              <w:divBdr>
                <w:top w:val="none" w:sz="0" w:space="0" w:color="auto"/>
                <w:left w:val="none" w:sz="0" w:space="0" w:color="auto"/>
                <w:bottom w:val="none" w:sz="0" w:space="0" w:color="auto"/>
                <w:right w:val="none" w:sz="0" w:space="0" w:color="auto"/>
              </w:divBdr>
            </w:div>
          </w:divsChild>
        </w:div>
        <w:div w:id="972717570">
          <w:marLeft w:val="0"/>
          <w:marRight w:val="0"/>
          <w:marTop w:val="0"/>
          <w:marBottom w:val="0"/>
          <w:divBdr>
            <w:top w:val="none" w:sz="0" w:space="0" w:color="auto"/>
            <w:left w:val="none" w:sz="0" w:space="0" w:color="auto"/>
            <w:bottom w:val="none" w:sz="0" w:space="0" w:color="auto"/>
            <w:right w:val="none" w:sz="0" w:space="0" w:color="auto"/>
          </w:divBdr>
          <w:divsChild>
            <w:div w:id="1631402043">
              <w:marLeft w:val="0"/>
              <w:marRight w:val="0"/>
              <w:marTop w:val="0"/>
              <w:marBottom w:val="0"/>
              <w:divBdr>
                <w:top w:val="none" w:sz="0" w:space="0" w:color="auto"/>
                <w:left w:val="none" w:sz="0" w:space="0" w:color="auto"/>
                <w:bottom w:val="none" w:sz="0" w:space="0" w:color="auto"/>
                <w:right w:val="none" w:sz="0" w:space="0" w:color="auto"/>
              </w:divBdr>
            </w:div>
          </w:divsChild>
        </w:div>
        <w:div w:id="993148744">
          <w:marLeft w:val="0"/>
          <w:marRight w:val="0"/>
          <w:marTop w:val="0"/>
          <w:marBottom w:val="0"/>
          <w:divBdr>
            <w:top w:val="none" w:sz="0" w:space="0" w:color="auto"/>
            <w:left w:val="none" w:sz="0" w:space="0" w:color="auto"/>
            <w:bottom w:val="none" w:sz="0" w:space="0" w:color="auto"/>
            <w:right w:val="none" w:sz="0" w:space="0" w:color="auto"/>
          </w:divBdr>
          <w:divsChild>
            <w:div w:id="1960599190">
              <w:marLeft w:val="0"/>
              <w:marRight w:val="0"/>
              <w:marTop w:val="0"/>
              <w:marBottom w:val="0"/>
              <w:divBdr>
                <w:top w:val="none" w:sz="0" w:space="0" w:color="auto"/>
                <w:left w:val="none" w:sz="0" w:space="0" w:color="auto"/>
                <w:bottom w:val="none" w:sz="0" w:space="0" w:color="auto"/>
                <w:right w:val="none" w:sz="0" w:space="0" w:color="auto"/>
              </w:divBdr>
            </w:div>
          </w:divsChild>
        </w:div>
        <w:div w:id="996299497">
          <w:marLeft w:val="0"/>
          <w:marRight w:val="0"/>
          <w:marTop w:val="0"/>
          <w:marBottom w:val="0"/>
          <w:divBdr>
            <w:top w:val="none" w:sz="0" w:space="0" w:color="auto"/>
            <w:left w:val="none" w:sz="0" w:space="0" w:color="auto"/>
            <w:bottom w:val="none" w:sz="0" w:space="0" w:color="auto"/>
            <w:right w:val="none" w:sz="0" w:space="0" w:color="auto"/>
          </w:divBdr>
          <w:divsChild>
            <w:div w:id="454906434">
              <w:marLeft w:val="0"/>
              <w:marRight w:val="0"/>
              <w:marTop w:val="0"/>
              <w:marBottom w:val="0"/>
              <w:divBdr>
                <w:top w:val="none" w:sz="0" w:space="0" w:color="auto"/>
                <w:left w:val="none" w:sz="0" w:space="0" w:color="auto"/>
                <w:bottom w:val="none" w:sz="0" w:space="0" w:color="auto"/>
                <w:right w:val="none" w:sz="0" w:space="0" w:color="auto"/>
              </w:divBdr>
            </w:div>
          </w:divsChild>
        </w:div>
        <w:div w:id="1023442074">
          <w:marLeft w:val="0"/>
          <w:marRight w:val="0"/>
          <w:marTop w:val="0"/>
          <w:marBottom w:val="0"/>
          <w:divBdr>
            <w:top w:val="none" w:sz="0" w:space="0" w:color="auto"/>
            <w:left w:val="none" w:sz="0" w:space="0" w:color="auto"/>
            <w:bottom w:val="none" w:sz="0" w:space="0" w:color="auto"/>
            <w:right w:val="none" w:sz="0" w:space="0" w:color="auto"/>
          </w:divBdr>
          <w:divsChild>
            <w:div w:id="587543073">
              <w:marLeft w:val="0"/>
              <w:marRight w:val="0"/>
              <w:marTop w:val="0"/>
              <w:marBottom w:val="0"/>
              <w:divBdr>
                <w:top w:val="none" w:sz="0" w:space="0" w:color="auto"/>
                <w:left w:val="none" w:sz="0" w:space="0" w:color="auto"/>
                <w:bottom w:val="none" w:sz="0" w:space="0" w:color="auto"/>
                <w:right w:val="none" w:sz="0" w:space="0" w:color="auto"/>
              </w:divBdr>
            </w:div>
          </w:divsChild>
        </w:div>
        <w:div w:id="1040976209">
          <w:marLeft w:val="0"/>
          <w:marRight w:val="0"/>
          <w:marTop w:val="0"/>
          <w:marBottom w:val="0"/>
          <w:divBdr>
            <w:top w:val="none" w:sz="0" w:space="0" w:color="auto"/>
            <w:left w:val="none" w:sz="0" w:space="0" w:color="auto"/>
            <w:bottom w:val="none" w:sz="0" w:space="0" w:color="auto"/>
            <w:right w:val="none" w:sz="0" w:space="0" w:color="auto"/>
          </w:divBdr>
          <w:divsChild>
            <w:div w:id="248584579">
              <w:marLeft w:val="0"/>
              <w:marRight w:val="0"/>
              <w:marTop w:val="0"/>
              <w:marBottom w:val="0"/>
              <w:divBdr>
                <w:top w:val="none" w:sz="0" w:space="0" w:color="auto"/>
                <w:left w:val="none" w:sz="0" w:space="0" w:color="auto"/>
                <w:bottom w:val="none" w:sz="0" w:space="0" w:color="auto"/>
                <w:right w:val="none" w:sz="0" w:space="0" w:color="auto"/>
              </w:divBdr>
            </w:div>
          </w:divsChild>
        </w:div>
        <w:div w:id="1041396030">
          <w:marLeft w:val="0"/>
          <w:marRight w:val="0"/>
          <w:marTop w:val="0"/>
          <w:marBottom w:val="0"/>
          <w:divBdr>
            <w:top w:val="none" w:sz="0" w:space="0" w:color="auto"/>
            <w:left w:val="none" w:sz="0" w:space="0" w:color="auto"/>
            <w:bottom w:val="none" w:sz="0" w:space="0" w:color="auto"/>
            <w:right w:val="none" w:sz="0" w:space="0" w:color="auto"/>
          </w:divBdr>
          <w:divsChild>
            <w:div w:id="894007996">
              <w:marLeft w:val="0"/>
              <w:marRight w:val="0"/>
              <w:marTop w:val="0"/>
              <w:marBottom w:val="0"/>
              <w:divBdr>
                <w:top w:val="none" w:sz="0" w:space="0" w:color="auto"/>
                <w:left w:val="none" w:sz="0" w:space="0" w:color="auto"/>
                <w:bottom w:val="none" w:sz="0" w:space="0" w:color="auto"/>
                <w:right w:val="none" w:sz="0" w:space="0" w:color="auto"/>
              </w:divBdr>
            </w:div>
          </w:divsChild>
        </w:div>
        <w:div w:id="1064567214">
          <w:marLeft w:val="0"/>
          <w:marRight w:val="0"/>
          <w:marTop w:val="0"/>
          <w:marBottom w:val="0"/>
          <w:divBdr>
            <w:top w:val="none" w:sz="0" w:space="0" w:color="auto"/>
            <w:left w:val="none" w:sz="0" w:space="0" w:color="auto"/>
            <w:bottom w:val="none" w:sz="0" w:space="0" w:color="auto"/>
            <w:right w:val="none" w:sz="0" w:space="0" w:color="auto"/>
          </w:divBdr>
          <w:divsChild>
            <w:div w:id="285965222">
              <w:marLeft w:val="0"/>
              <w:marRight w:val="0"/>
              <w:marTop w:val="0"/>
              <w:marBottom w:val="0"/>
              <w:divBdr>
                <w:top w:val="none" w:sz="0" w:space="0" w:color="auto"/>
                <w:left w:val="none" w:sz="0" w:space="0" w:color="auto"/>
                <w:bottom w:val="none" w:sz="0" w:space="0" w:color="auto"/>
                <w:right w:val="none" w:sz="0" w:space="0" w:color="auto"/>
              </w:divBdr>
            </w:div>
          </w:divsChild>
        </w:div>
        <w:div w:id="1083835805">
          <w:marLeft w:val="0"/>
          <w:marRight w:val="0"/>
          <w:marTop w:val="0"/>
          <w:marBottom w:val="0"/>
          <w:divBdr>
            <w:top w:val="none" w:sz="0" w:space="0" w:color="auto"/>
            <w:left w:val="none" w:sz="0" w:space="0" w:color="auto"/>
            <w:bottom w:val="none" w:sz="0" w:space="0" w:color="auto"/>
            <w:right w:val="none" w:sz="0" w:space="0" w:color="auto"/>
          </w:divBdr>
          <w:divsChild>
            <w:div w:id="2122919901">
              <w:marLeft w:val="0"/>
              <w:marRight w:val="0"/>
              <w:marTop w:val="0"/>
              <w:marBottom w:val="0"/>
              <w:divBdr>
                <w:top w:val="none" w:sz="0" w:space="0" w:color="auto"/>
                <w:left w:val="none" w:sz="0" w:space="0" w:color="auto"/>
                <w:bottom w:val="none" w:sz="0" w:space="0" w:color="auto"/>
                <w:right w:val="none" w:sz="0" w:space="0" w:color="auto"/>
              </w:divBdr>
            </w:div>
          </w:divsChild>
        </w:div>
        <w:div w:id="1098792040">
          <w:marLeft w:val="0"/>
          <w:marRight w:val="0"/>
          <w:marTop w:val="0"/>
          <w:marBottom w:val="0"/>
          <w:divBdr>
            <w:top w:val="none" w:sz="0" w:space="0" w:color="auto"/>
            <w:left w:val="none" w:sz="0" w:space="0" w:color="auto"/>
            <w:bottom w:val="none" w:sz="0" w:space="0" w:color="auto"/>
            <w:right w:val="none" w:sz="0" w:space="0" w:color="auto"/>
          </w:divBdr>
          <w:divsChild>
            <w:div w:id="285544280">
              <w:marLeft w:val="0"/>
              <w:marRight w:val="0"/>
              <w:marTop w:val="0"/>
              <w:marBottom w:val="0"/>
              <w:divBdr>
                <w:top w:val="none" w:sz="0" w:space="0" w:color="auto"/>
                <w:left w:val="none" w:sz="0" w:space="0" w:color="auto"/>
                <w:bottom w:val="none" w:sz="0" w:space="0" w:color="auto"/>
                <w:right w:val="none" w:sz="0" w:space="0" w:color="auto"/>
              </w:divBdr>
            </w:div>
          </w:divsChild>
        </w:div>
        <w:div w:id="1101335370">
          <w:marLeft w:val="0"/>
          <w:marRight w:val="0"/>
          <w:marTop w:val="0"/>
          <w:marBottom w:val="0"/>
          <w:divBdr>
            <w:top w:val="none" w:sz="0" w:space="0" w:color="auto"/>
            <w:left w:val="none" w:sz="0" w:space="0" w:color="auto"/>
            <w:bottom w:val="none" w:sz="0" w:space="0" w:color="auto"/>
            <w:right w:val="none" w:sz="0" w:space="0" w:color="auto"/>
          </w:divBdr>
          <w:divsChild>
            <w:div w:id="1258638073">
              <w:marLeft w:val="0"/>
              <w:marRight w:val="0"/>
              <w:marTop w:val="0"/>
              <w:marBottom w:val="0"/>
              <w:divBdr>
                <w:top w:val="none" w:sz="0" w:space="0" w:color="auto"/>
                <w:left w:val="none" w:sz="0" w:space="0" w:color="auto"/>
                <w:bottom w:val="none" w:sz="0" w:space="0" w:color="auto"/>
                <w:right w:val="none" w:sz="0" w:space="0" w:color="auto"/>
              </w:divBdr>
            </w:div>
          </w:divsChild>
        </w:div>
        <w:div w:id="1101687470">
          <w:marLeft w:val="0"/>
          <w:marRight w:val="0"/>
          <w:marTop w:val="0"/>
          <w:marBottom w:val="0"/>
          <w:divBdr>
            <w:top w:val="none" w:sz="0" w:space="0" w:color="auto"/>
            <w:left w:val="none" w:sz="0" w:space="0" w:color="auto"/>
            <w:bottom w:val="none" w:sz="0" w:space="0" w:color="auto"/>
            <w:right w:val="none" w:sz="0" w:space="0" w:color="auto"/>
          </w:divBdr>
          <w:divsChild>
            <w:div w:id="960110295">
              <w:marLeft w:val="0"/>
              <w:marRight w:val="0"/>
              <w:marTop w:val="0"/>
              <w:marBottom w:val="0"/>
              <w:divBdr>
                <w:top w:val="none" w:sz="0" w:space="0" w:color="auto"/>
                <w:left w:val="none" w:sz="0" w:space="0" w:color="auto"/>
                <w:bottom w:val="none" w:sz="0" w:space="0" w:color="auto"/>
                <w:right w:val="none" w:sz="0" w:space="0" w:color="auto"/>
              </w:divBdr>
            </w:div>
          </w:divsChild>
        </w:div>
        <w:div w:id="1107390750">
          <w:marLeft w:val="0"/>
          <w:marRight w:val="0"/>
          <w:marTop w:val="0"/>
          <w:marBottom w:val="0"/>
          <w:divBdr>
            <w:top w:val="none" w:sz="0" w:space="0" w:color="auto"/>
            <w:left w:val="none" w:sz="0" w:space="0" w:color="auto"/>
            <w:bottom w:val="none" w:sz="0" w:space="0" w:color="auto"/>
            <w:right w:val="none" w:sz="0" w:space="0" w:color="auto"/>
          </w:divBdr>
          <w:divsChild>
            <w:div w:id="1888174843">
              <w:marLeft w:val="0"/>
              <w:marRight w:val="0"/>
              <w:marTop w:val="0"/>
              <w:marBottom w:val="0"/>
              <w:divBdr>
                <w:top w:val="none" w:sz="0" w:space="0" w:color="auto"/>
                <w:left w:val="none" w:sz="0" w:space="0" w:color="auto"/>
                <w:bottom w:val="none" w:sz="0" w:space="0" w:color="auto"/>
                <w:right w:val="none" w:sz="0" w:space="0" w:color="auto"/>
              </w:divBdr>
            </w:div>
          </w:divsChild>
        </w:div>
        <w:div w:id="1107509245">
          <w:marLeft w:val="0"/>
          <w:marRight w:val="0"/>
          <w:marTop w:val="0"/>
          <w:marBottom w:val="0"/>
          <w:divBdr>
            <w:top w:val="none" w:sz="0" w:space="0" w:color="auto"/>
            <w:left w:val="none" w:sz="0" w:space="0" w:color="auto"/>
            <w:bottom w:val="none" w:sz="0" w:space="0" w:color="auto"/>
            <w:right w:val="none" w:sz="0" w:space="0" w:color="auto"/>
          </w:divBdr>
          <w:divsChild>
            <w:div w:id="1184633625">
              <w:marLeft w:val="0"/>
              <w:marRight w:val="0"/>
              <w:marTop w:val="0"/>
              <w:marBottom w:val="0"/>
              <w:divBdr>
                <w:top w:val="none" w:sz="0" w:space="0" w:color="auto"/>
                <w:left w:val="none" w:sz="0" w:space="0" w:color="auto"/>
                <w:bottom w:val="none" w:sz="0" w:space="0" w:color="auto"/>
                <w:right w:val="none" w:sz="0" w:space="0" w:color="auto"/>
              </w:divBdr>
            </w:div>
          </w:divsChild>
        </w:div>
        <w:div w:id="1112869289">
          <w:marLeft w:val="0"/>
          <w:marRight w:val="0"/>
          <w:marTop w:val="0"/>
          <w:marBottom w:val="0"/>
          <w:divBdr>
            <w:top w:val="none" w:sz="0" w:space="0" w:color="auto"/>
            <w:left w:val="none" w:sz="0" w:space="0" w:color="auto"/>
            <w:bottom w:val="none" w:sz="0" w:space="0" w:color="auto"/>
            <w:right w:val="none" w:sz="0" w:space="0" w:color="auto"/>
          </w:divBdr>
          <w:divsChild>
            <w:div w:id="128715308">
              <w:marLeft w:val="0"/>
              <w:marRight w:val="0"/>
              <w:marTop w:val="0"/>
              <w:marBottom w:val="0"/>
              <w:divBdr>
                <w:top w:val="none" w:sz="0" w:space="0" w:color="auto"/>
                <w:left w:val="none" w:sz="0" w:space="0" w:color="auto"/>
                <w:bottom w:val="none" w:sz="0" w:space="0" w:color="auto"/>
                <w:right w:val="none" w:sz="0" w:space="0" w:color="auto"/>
              </w:divBdr>
            </w:div>
          </w:divsChild>
        </w:div>
        <w:div w:id="1118645376">
          <w:marLeft w:val="0"/>
          <w:marRight w:val="0"/>
          <w:marTop w:val="0"/>
          <w:marBottom w:val="0"/>
          <w:divBdr>
            <w:top w:val="none" w:sz="0" w:space="0" w:color="auto"/>
            <w:left w:val="none" w:sz="0" w:space="0" w:color="auto"/>
            <w:bottom w:val="none" w:sz="0" w:space="0" w:color="auto"/>
            <w:right w:val="none" w:sz="0" w:space="0" w:color="auto"/>
          </w:divBdr>
          <w:divsChild>
            <w:div w:id="1647663482">
              <w:marLeft w:val="0"/>
              <w:marRight w:val="0"/>
              <w:marTop w:val="0"/>
              <w:marBottom w:val="0"/>
              <w:divBdr>
                <w:top w:val="none" w:sz="0" w:space="0" w:color="auto"/>
                <w:left w:val="none" w:sz="0" w:space="0" w:color="auto"/>
                <w:bottom w:val="none" w:sz="0" w:space="0" w:color="auto"/>
                <w:right w:val="none" w:sz="0" w:space="0" w:color="auto"/>
              </w:divBdr>
            </w:div>
          </w:divsChild>
        </w:div>
        <w:div w:id="1119567340">
          <w:marLeft w:val="0"/>
          <w:marRight w:val="0"/>
          <w:marTop w:val="0"/>
          <w:marBottom w:val="0"/>
          <w:divBdr>
            <w:top w:val="none" w:sz="0" w:space="0" w:color="auto"/>
            <w:left w:val="none" w:sz="0" w:space="0" w:color="auto"/>
            <w:bottom w:val="none" w:sz="0" w:space="0" w:color="auto"/>
            <w:right w:val="none" w:sz="0" w:space="0" w:color="auto"/>
          </w:divBdr>
          <w:divsChild>
            <w:div w:id="1575971128">
              <w:marLeft w:val="0"/>
              <w:marRight w:val="0"/>
              <w:marTop w:val="0"/>
              <w:marBottom w:val="0"/>
              <w:divBdr>
                <w:top w:val="none" w:sz="0" w:space="0" w:color="auto"/>
                <w:left w:val="none" w:sz="0" w:space="0" w:color="auto"/>
                <w:bottom w:val="none" w:sz="0" w:space="0" w:color="auto"/>
                <w:right w:val="none" w:sz="0" w:space="0" w:color="auto"/>
              </w:divBdr>
            </w:div>
          </w:divsChild>
        </w:div>
        <w:div w:id="1120415038">
          <w:marLeft w:val="0"/>
          <w:marRight w:val="0"/>
          <w:marTop w:val="0"/>
          <w:marBottom w:val="0"/>
          <w:divBdr>
            <w:top w:val="none" w:sz="0" w:space="0" w:color="auto"/>
            <w:left w:val="none" w:sz="0" w:space="0" w:color="auto"/>
            <w:bottom w:val="none" w:sz="0" w:space="0" w:color="auto"/>
            <w:right w:val="none" w:sz="0" w:space="0" w:color="auto"/>
          </w:divBdr>
          <w:divsChild>
            <w:div w:id="679894438">
              <w:marLeft w:val="0"/>
              <w:marRight w:val="0"/>
              <w:marTop w:val="0"/>
              <w:marBottom w:val="0"/>
              <w:divBdr>
                <w:top w:val="none" w:sz="0" w:space="0" w:color="auto"/>
                <w:left w:val="none" w:sz="0" w:space="0" w:color="auto"/>
                <w:bottom w:val="none" w:sz="0" w:space="0" w:color="auto"/>
                <w:right w:val="none" w:sz="0" w:space="0" w:color="auto"/>
              </w:divBdr>
            </w:div>
          </w:divsChild>
        </w:div>
        <w:div w:id="1121654737">
          <w:marLeft w:val="0"/>
          <w:marRight w:val="0"/>
          <w:marTop w:val="0"/>
          <w:marBottom w:val="0"/>
          <w:divBdr>
            <w:top w:val="none" w:sz="0" w:space="0" w:color="auto"/>
            <w:left w:val="none" w:sz="0" w:space="0" w:color="auto"/>
            <w:bottom w:val="none" w:sz="0" w:space="0" w:color="auto"/>
            <w:right w:val="none" w:sz="0" w:space="0" w:color="auto"/>
          </w:divBdr>
          <w:divsChild>
            <w:div w:id="540213780">
              <w:marLeft w:val="0"/>
              <w:marRight w:val="0"/>
              <w:marTop w:val="0"/>
              <w:marBottom w:val="0"/>
              <w:divBdr>
                <w:top w:val="none" w:sz="0" w:space="0" w:color="auto"/>
                <w:left w:val="none" w:sz="0" w:space="0" w:color="auto"/>
                <w:bottom w:val="none" w:sz="0" w:space="0" w:color="auto"/>
                <w:right w:val="none" w:sz="0" w:space="0" w:color="auto"/>
              </w:divBdr>
            </w:div>
          </w:divsChild>
        </w:div>
        <w:div w:id="1127966706">
          <w:marLeft w:val="0"/>
          <w:marRight w:val="0"/>
          <w:marTop w:val="0"/>
          <w:marBottom w:val="0"/>
          <w:divBdr>
            <w:top w:val="none" w:sz="0" w:space="0" w:color="auto"/>
            <w:left w:val="none" w:sz="0" w:space="0" w:color="auto"/>
            <w:bottom w:val="none" w:sz="0" w:space="0" w:color="auto"/>
            <w:right w:val="none" w:sz="0" w:space="0" w:color="auto"/>
          </w:divBdr>
          <w:divsChild>
            <w:div w:id="1398161931">
              <w:marLeft w:val="0"/>
              <w:marRight w:val="0"/>
              <w:marTop w:val="0"/>
              <w:marBottom w:val="0"/>
              <w:divBdr>
                <w:top w:val="none" w:sz="0" w:space="0" w:color="auto"/>
                <w:left w:val="none" w:sz="0" w:space="0" w:color="auto"/>
                <w:bottom w:val="none" w:sz="0" w:space="0" w:color="auto"/>
                <w:right w:val="none" w:sz="0" w:space="0" w:color="auto"/>
              </w:divBdr>
            </w:div>
          </w:divsChild>
        </w:div>
        <w:div w:id="1132597184">
          <w:marLeft w:val="0"/>
          <w:marRight w:val="0"/>
          <w:marTop w:val="0"/>
          <w:marBottom w:val="0"/>
          <w:divBdr>
            <w:top w:val="none" w:sz="0" w:space="0" w:color="auto"/>
            <w:left w:val="none" w:sz="0" w:space="0" w:color="auto"/>
            <w:bottom w:val="none" w:sz="0" w:space="0" w:color="auto"/>
            <w:right w:val="none" w:sz="0" w:space="0" w:color="auto"/>
          </w:divBdr>
          <w:divsChild>
            <w:div w:id="1228491042">
              <w:marLeft w:val="0"/>
              <w:marRight w:val="0"/>
              <w:marTop w:val="0"/>
              <w:marBottom w:val="0"/>
              <w:divBdr>
                <w:top w:val="none" w:sz="0" w:space="0" w:color="auto"/>
                <w:left w:val="none" w:sz="0" w:space="0" w:color="auto"/>
                <w:bottom w:val="none" w:sz="0" w:space="0" w:color="auto"/>
                <w:right w:val="none" w:sz="0" w:space="0" w:color="auto"/>
              </w:divBdr>
            </w:div>
          </w:divsChild>
        </w:div>
        <w:div w:id="1140657324">
          <w:marLeft w:val="0"/>
          <w:marRight w:val="0"/>
          <w:marTop w:val="0"/>
          <w:marBottom w:val="0"/>
          <w:divBdr>
            <w:top w:val="none" w:sz="0" w:space="0" w:color="auto"/>
            <w:left w:val="none" w:sz="0" w:space="0" w:color="auto"/>
            <w:bottom w:val="none" w:sz="0" w:space="0" w:color="auto"/>
            <w:right w:val="none" w:sz="0" w:space="0" w:color="auto"/>
          </w:divBdr>
          <w:divsChild>
            <w:div w:id="988175271">
              <w:marLeft w:val="0"/>
              <w:marRight w:val="0"/>
              <w:marTop w:val="0"/>
              <w:marBottom w:val="0"/>
              <w:divBdr>
                <w:top w:val="none" w:sz="0" w:space="0" w:color="auto"/>
                <w:left w:val="none" w:sz="0" w:space="0" w:color="auto"/>
                <w:bottom w:val="none" w:sz="0" w:space="0" w:color="auto"/>
                <w:right w:val="none" w:sz="0" w:space="0" w:color="auto"/>
              </w:divBdr>
            </w:div>
          </w:divsChild>
        </w:div>
        <w:div w:id="1141269249">
          <w:marLeft w:val="0"/>
          <w:marRight w:val="0"/>
          <w:marTop w:val="0"/>
          <w:marBottom w:val="0"/>
          <w:divBdr>
            <w:top w:val="none" w:sz="0" w:space="0" w:color="auto"/>
            <w:left w:val="none" w:sz="0" w:space="0" w:color="auto"/>
            <w:bottom w:val="none" w:sz="0" w:space="0" w:color="auto"/>
            <w:right w:val="none" w:sz="0" w:space="0" w:color="auto"/>
          </w:divBdr>
          <w:divsChild>
            <w:div w:id="506334471">
              <w:marLeft w:val="0"/>
              <w:marRight w:val="0"/>
              <w:marTop w:val="0"/>
              <w:marBottom w:val="0"/>
              <w:divBdr>
                <w:top w:val="none" w:sz="0" w:space="0" w:color="auto"/>
                <w:left w:val="none" w:sz="0" w:space="0" w:color="auto"/>
                <w:bottom w:val="none" w:sz="0" w:space="0" w:color="auto"/>
                <w:right w:val="none" w:sz="0" w:space="0" w:color="auto"/>
              </w:divBdr>
            </w:div>
          </w:divsChild>
        </w:div>
        <w:div w:id="1158351310">
          <w:marLeft w:val="0"/>
          <w:marRight w:val="0"/>
          <w:marTop w:val="0"/>
          <w:marBottom w:val="0"/>
          <w:divBdr>
            <w:top w:val="none" w:sz="0" w:space="0" w:color="auto"/>
            <w:left w:val="none" w:sz="0" w:space="0" w:color="auto"/>
            <w:bottom w:val="none" w:sz="0" w:space="0" w:color="auto"/>
            <w:right w:val="none" w:sz="0" w:space="0" w:color="auto"/>
          </w:divBdr>
          <w:divsChild>
            <w:div w:id="725303672">
              <w:marLeft w:val="0"/>
              <w:marRight w:val="0"/>
              <w:marTop w:val="0"/>
              <w:marBottom w:val="0"/>
              <w:divBdr>
                <w:top w:val="none" w:sz="0" w:space="0" w:color="auto"/>
                <w:left w:val="none" w:sz="0" w:space="0" w:color="auto"/>
                <w:bottom w:val="none" w:sz="0" w:space="0" w:color="auto"/>
                <w:right w:val="none" w:sz="0" w:space="0" w:color="auto"/>
              </w:divBdr>
            </w:div>
          </w:divsChild>
        </w:div>
        <w:div w:id="1158959610">
          <w:marLeft w:val="0"/>
          <w:marRight w:val="0"/>
          <w:marTop w:val="0"/>
          <w:marBottom w:val="0"/>
          <w:divBdr>
            <w:top w:val="none" w:sz="0" w:space="0" w:color="auto"/>
            <w:left w:val="none" w:sz="0" w:space="0" w:color="auto"/>
            <w:bottom w:val="none" w:sz="0" w:space="0" w:color="auto"/>
            <w:right w:val="none" w:sz="0" w:space="0" w:color="auto"/>
          </w:divBdr>
          <w:divsChild>
            <w:div w:id="394865218">
              <w:marLeft w:val="0"/>
              <w:marRight w:val="0"/>
              <w:marTop w:val="0"/>
              <w:marBottom w:val="0"/>
              <w:divBdr>
                <w:top w:val="none" w:sz="0" w:space="0" w:color="auto"/>
                <w:left w:val="none" w:sz="0" w:space="0" w:color="auto"/>
                <w:bottom w:val="none" w:sz="0" w:space="0" w:color="auto"/>
                <w:right w:val="none" w:sz="0" w:space="0" w:color="auto"/>
              </w:divBdr>
            </w:div>
          </w:divsChild>
        </w:div>
        <w:div w:id="1181122203">
          <w:marLeft w:val="0"/>
          <w:marRight w:val="0"/>
          <w:marTop w:val="0"/>
          <w:marBottom w:val="0"/>
          <w:divBdr>
            <w:top w:val="none" w:sz="0" w:space="0" w:color="auto"/>
            <w:left w:val="none" w:sz="0" w:space="0" w:color="auto"/>
            <w:bottom w:val="none" w:sz="0" w:space="0" w:color="auto"/>
            <w:right w:val="none" w:sz="0" w:space="0" w:color="auto"/>
          </w:divBdr>
          <w:divsChild>
            <w:div w:id="1652908804">
              <w:marLeft w:val="0"/>
              <w:marRight w:val="0"/>
              <w:marTop w:val="0"/>
              <w:marBottom w:val="0"/>
              <w:divBdr>
                <w:top w:val="none" w:sz="0" w:space="0" w:color="auto"/>
                <w:left w:val="none" w:sz="0" w:space="0" w:color="auto"/>
                <w:bottom w:val="none" w:sz="0" w:space="0" w:color="auto"/>
                <w:right w:val="none" w:sz="0" w:space="0" w:color="auto"/>
              </w:divBdr>
            </w:div>
          </w:divsChild>
        </w:div>
        <w:div w:id="1181748512">
          <w:marLeft w:val="0"/>
          <w:marRight w:val="0"/>
          <w:marTop w:val="0"/>
          <w:marBottom w:val="0"/>
          <w:divBdr>
            <w:top w:val="none" w:sz="0" w:space="0" w:color="auto"/>
            <w:left w:val="none" w:sz="0" w:space="0" w:color="auto"/>
            <w:bottom w:val="none" w:sz="0" w:space="0" w:color="auto"/>
            <w:right w:val="none" w:sz="0" w:space="0" w:color="auto"/>
          </w:divBdr>
          <w:divsChild>
            <w:div w:id="1099062070">
              <w:marLeft w:val="0"/>
              <w:marRight w:val="0"/>
              <w:marTop w:val="0"/>
              <w:marBottom w:val="0"/>
              <w:divBdr>
                <w:top w:val="none" w:sz="0" w:space="0" w:color="auto"/>
                <w:left w:val="none" w:sz="0" w:space="0" w:color="auto"/>
                <w:bottom w:val="none" w:sz="0" w:space="0" w:color="auto"/>
                <w:right w:val="none" w:sz="0" w:space="0" w:color="auto"/>
              </w:divBdr>
            </w:div>
          </w:divsChild>
        </w:div>
        <w:div w:id="1189296370">
          <w:marLeft w:val="0"/>
          <w:marRight w:val="0"/>
          <w:marTop w:val="0"/>
          <w:marBottom w:val="0"/>
          <w:divBdr>
            <w:top w:val="none" w:sz="0" w:space="0" w:color="auto"/>
            <w:left w:val="none" w:sz="0" w:space="0" w:color="auto"/>
            <w:bottom w:val="none" w:sz="0" w:space="0" w:color="auto"/>
            <w:right w:val="none" w:sz="0" w:space="0" w:color="auto"/>
          </w:divBdr>
          <w:divsChild>
            <w:div w:id="2145346642">
              <w:marLeft w:val="0"/>
              <w:marRight w:val="0"/>
              <w:marTop w:val="0"/>
              <w:marBottom w:val="0"/>
              <w:divBdr>
                <w:top w:val="none" w:sz="0" w:space="0" w:color="auto"/>
                <w:left w:val="none" w:sz="0" w:space="0" w:color="auto"/>
                <w:bottom w:val="none" w:sz="0" w:space="0" w:color="auto"/>
                <w:right w:val="none" w:sz="0" w:space="0" w:color="auto"/>
              </w:divBdr>
            </w:div>
          </w:divsChild>
        </w:div>
        <w:div w:id="1190220727">
          <w:marLeft w:val="0"/>
          <w:marRight w:val="0"/>
          <w:marTop w:val="0"/>
          <w:marBottom w:val="0"/>
          <w:divBdr>
            <w:top w:val="none" w:sz="0" w:space="0" w:color="auto"/>
            <w:left w:val="none" w:sz="0" w:space="0" w:color="auto"/>
            <w:bottom w:val="none" w:sz="0" w:space="0" w:color="auto"/>
            <w:right w:val="none" w:sz="0" w:space="0" w:color="auto"/>
          </w:divBdr>
          <w:divsChild>
            <w:div w:id="46607558">
              <w:marLeft w:val="0"/>
              <w:marRight w:val="0"/>
              <w:marTop w:val="0"/>
              <w:marBottom w:val="0"/>
              <w:divBdr>
                <w:top w:val="none" w:sz="0" w:space="0" w:color="auto"/>
                <w:left w:val="none" w:sz="0" w:space="0" w:color="auto"/>
                <w:bottom w:val="none" w:sz="0" w:space="0" w:color="auto"/>
                <w:right w:val="none" w:sz="0" w:space="0" w:color="auto"/>
              </w:divBdr>
            </w:div>
          </w:divsChild>
        </w:div>
        <w:div w:id="1210386671">
          <w:marLeft w:val="0"/>
          <w:marRight w:val="0"/>
          <w:marTop w:val="0"/>
          <w:marBottom w:val="0"/>
          <w:divBdr>
            <w:top w:val="none" w:sz="0" w:space="0" w:color="auto"/>
            <w:left w:val="none" w:sz="0" w:space="0" w:color="auto"/>
            <w:bottom w:val="none" w:sz="0" w:space="0" w:color="auto"/>
            <w:right w:val="none" w:sz="0" w:space="0" w:color="auto"/>
          </w:divBdr>
          <w:divsChild>
            <w:div w:id="819463203">
              <w:marLeft w:val="0"/>
              <w:marRight w:val="0"/>
              <w:marTop w:val="0"/>
              <w:marBottom w:val="0"/>
              <w:divBdr>
                <w:top w:val="none" w:sz="0" w:space="0" w:color="auto"/>
                <w:left w:val="none" w:sz="0" w:space="0" w:color="auto"/>
                <w:bottom w:val="none" w:sz="0" w:space="0" w:color="auto"/>
                <w:right w:val="none" w:sz="0" w:space="0" w:color="auto"/>
              </w:divBdr>
            </w:div>
          </w:divsChild>
        </w:div>
        <w:div w:id="1210847932">
          <w:marLeft w:val="0"/>
          <w:marRight w:val="0"/>
          <w:marTop w:val="0"/>
          <w:marBottom w:val="0"/>
          <w:divBdr>
            <w:top w:val="none" w:sz="0" w:space="0" w:color="auto"/>
            <w:left w:val="none" w:sz="0" w:space="0" w:color="auto"/>
            <w:bottom w:val="none" w:sz="0" w:space="0" w:color="auto"/>
            <w:right w:val="none" w:sz="0" w:space="0" w:color="auto"/>
          </w:divBdr>
          <w:divsChild>
            <w:div w:id="627931036">
              <w:marLeft w:val="0"/>
              <w:marRight w:val="0"/>
              <w:marTop w:val="0"/>
              <w:marBottom w:val="0"/>
              <w:divBdr>
                <w:top w:val="none" w:sz="0" w:space="0" w:color="auto"/>
                <w:left w:val="none" w:sz="0" w:space="0" w:color="auto"/>
                <w:bottom w:val="none" w:sz="0" w:space="0" w:color="auto"/>
                <w:right w:val="none" w:sz="0" w:space="0" w:color="auto"/>
              </w:divBdr>
            </w:div>
          </w:divsChild>
        </w:div>
        <w:div w:id="1214461524">
          <w:marLeft w:val="0"/>
          <w:marRight w:val="0"/>
          <w:marTop w:val="0"/>
          <w:marBottom w:val="0"/>
          <w:divBdr>
            <w:top w:val="none" w:sz="0" w:space="0" w:color="auto"/>
            <w:left w:val="none" w:sz="0" w:space="0" w:color="auto"/>
            <w:bottom w:val="none" w:sz="0" w:space="0" w:color="auto"/>
            <w:right w:val="none" w:sz="0" w:space="0" w:color="auto"/>
          </w:divBdr>
          <w:divsChild>
            <w:div w:id="1226525713">
              <w:marLeft w:val="0"/>
              <w:marRight w:val="0"/>
              <w:marTop w:val="0"/>
              <w:marBottom w:val="0"/>
              <w:divBdr>
                <w:top w:val="none" w:sz="0" w:space="0" w:color="auto"/>
                <w:left w:val="none" w:sz="0" w:space="0" w:color="auto"/>
                <w:bottom w:val="none" w:sz="0" w:space="0" w:color="auto"/>
                <w:right w:val="none" w:sz="0" w:space="0" w:color="auto"/>
              </w:divBdr>
            </w:div>
          </w:divsChild>
        </w:div>
        <w:div w:id="1238901358">
          <w:marLeft w:val="0"/>
          <w:marRight w:val="0"/>
          <w:marTop w:val="0"/>
          <w:marBottom w:val="0"/>
          <w:divBdr>
            <w:top w:val="none" w:sz="0" w:space="0" w:color="auto"/>
            <w:left w:val="none" w:sz="0" w:space="0" w:color="auto"/>
            <w:bottom w:val="none" w:sz="0" w:space="0" w:color="auto"/>
            <w:right w:val="none" w:sz="0" w:space="0" w:color="auto"/>
          </w:divBdr>
          <w:divsChild>
            <w:div w:id="131408316">
              <w:marLeft w:val="0"/>
              <w:marRight w:val="0"/>
              <w:marTop w:val="0"/>
              <w:marBottom w:val="0"/>
              <w:divBdr>
                <w:top w:val="none" w:sz="0" w:space="0" w:color="auto"/>
                <w:left w:val="none" w:sz="0" w:space="0" w:color="auto"/>
                <w:bottom w:val="none" w:sz="0" w:space="0" w:color="auto"/>
                <w:right w:val="none" w:sz="0" w:space="0" w:color="auto"/>
              </w:divBdr>
            </w:div>
          </w:divsChild>
        </w:div>
        <w:div w:id="1244026389">
          <w:marLeft w:val="0"/>
          <w:marRight w:val="0"/>
          <w:marTop w:val="0"/>
          <w:marBottom w:val="0"/>
          <w:divBdr>
            <w:top w:val="none" w:sz="0" w:space="0" w:color="auto"/>
            <w:left w:val="none" w:sz="0" w:space="0" w:color="auto"/>
            <w:bottom w:val="none" w:sz="0" w:space="0" w:color="auto"/>
            <w:right w:val="none" w:sz="0" w:space="0" w:color="auto"/>
          </w:divBdr>
          <w:divsChild>
            <w:div w:id="2139565198">
              <w:marLeft w:val="0"/>
              <w:marRight w:val="0"/>
              <w:marTop w:val="0"/>
              <w:marBottom w:val="0"/>
              <w:divBdr>
                <w:top w:val="none" w:sz="0" w:space="0" w:color="auto"/>
                <w:left w:val="none" w:sz="0" w:space="0" w:color="auto"/>
                <w:bottom w:val="none" w:sz="0" w:space="0" w:color="auto"/>
                <w:right w:val="none" w:sz="0" w:space="0" w:color="auto"/>
              </w:divBdr>
            </w:div>
          </w:divsChild>
        </w:div>
        <w:div w:id="1256475683">
          <w:marLeft w:val="0"/>
          <w:marRight w:val="0"/>
          <w:marTop w:val="0"/>
          <w:marBottom w:val="0"/>
          <w:divBdr>
            <w:top w:val="none" w:sz="0" w:space="0" w:color="auto"/>
            <w:left w:val="none" w:sz="0" w:space="0" w:color="auto"/>
            <w:bottom w:val="none" w:sz="0" w:space="0" w:color="auto"/>
            <w:right w:val="none" w:sz="0" w:space="0" w:color="auto"/>
          </w:divBdr>
          <w:divsChild>
            <w:div w:id="1671057686">
              <w:marLeft w:val="0"/>
              <w:marRight w:val="0"/>
              <w:marTop w:val="0"/>
              <w:marBottom w:val="0"/>
              <w:divBdr>
                <w:top w:val="none" w:sz="0" w:space="0" w:color="auto"/>
                <w:left w:val="none" w:sz="0" w:space="0" w:color="auto"/>
                <w:bottom w:val="none" w:sz="0" w:space="0" w:color="auto"/>
                <w:right w:val="none" w:sz="0" w:space="0" w:color="auto"/>
              </w:divBdr>
            </w:div>
          </w:divsChild>
        </w:div>
        <w:div w:id="1263027617">
          <w:marLeft w:val="0"/>
          <w:marRight w:val="0"/>
          <w:marTop w:val="0"/>
          <w:marBottom w:val="0"/>
          <w:divBdr>
            <w:top w:val="none" w:sz="0" w:space="0" w:color="auto"/>
            <w:left w:val="none" w:sz="0" w:space="0" w:color="auto"/>
            <w:bottom w:val="none" w:sz="0" w:space="0" w:color="auto"/>
            <w:right w:val="none" w:sz="0" w:space="0" w:color="auto"/>
          </w:divBdr>
          <w:divsChild>
            <w:div w:id="1924727380">
              <w:marLeft w:val="0"/>
              <w:marRight w:val="0"/>
              <w:marTop w:val="0"/>
              <w:marBottom w:val="0"/>
              <w:divBdr>
                <w:top w:val="none" w:sz="0" w:space="0" w:color="auto"/>
                <w:left w:val="none" w:sz="0" w:space="0" w:color="auto"/>
                <w:bottom w:val="none" w:sz="0" w:space="0" w:color="auto"/>
                <w:right w:val="none" w:sz="0" w:space="0" w:color="auto"/>
              </w:divBdr>
            </w:div>
          </w:divsChild>
        </w:div>
        <w:div w:id="1274558198">
          <w:marLeft w:val="0"/>
          <w:marRight w:val="0"/>
          <w:marTop w:val="0"/>
          <w:marBottom w:val="0"/>
          <w:divBdr>
            <w:top w:val="none" w:sz="0" w:space="0" w:color="auto"/>
            <w:left w:val="none" w:sz="0" w:space="0" w:color="auto"/>
            <w:bottom w:val="none" w:sz="0" w:space="0" w:color="auto"/>
            <w:right w:val="none" w:sz="0" w:space="0" w:color="auto"/>
          </w:divBdr>
          <w:divsChild>
            <w:div w:id="688726661">
              <w:marLeft w:val="0"/>
              <w:marRight w:val="0"/>
              <w:marTop w:val="0"/>
              <w:marBottom w:val="0"/>
              <w:divBdr>
                <w:top w:val="none" w:sz="0" w:space="0" w:color="auto"/>
                <w:left w:val="none" w:sz="0" w:space="0" w:color="auto"/>
                <w:bottom w:val="none" w:sz="0" w:space="0" w:color="auto"/>
                <w:right w:val="none" w:sz="0" w:space="0" w:color="auto"/>
              </w:divBdr>
            </w:div>
          </w:divsChild>
        </w:div>
        <w:div w:id="1276596190">
          <w:marLeft w:val="0"/>
          <w:marRight w:val="0"/>
          <w:marTop w:val="0"/>
          <w:marBottom w:val="0"/>
          <w:divBdr>
            <w:top w:val="none" w:sz="0" w:space="0" w:color="auto"/>
            <w:left w:val="none" w:sz="0" w:space="0" w:color="auto"/>
            <w:bottom w:val="none" w:sz="0" w:space="0" w:color="auto"/>
            <w:right w:val="none" w:sz="0" w:space="0" w:color="auto"/>
          </w:divBdr>
          <w:divsChild>
            <w:div w:id="1428574709">
              <w:marLeft w:val="0"/>
              <w:marRight w:val="0"/>
              <w:marTop w:val="0"/>
              <w:marBottom w:val="0"/>
              <w:divBdr>
                <w:top w:val="none" w:sz="0" w:space="0" w:color="auto"/>
                <w:left w:val="none" w:sz="0" w:space="0" w:color="auto"/>
                <w:bottom w:val="none" w:sz="0" w:space="0" w:color="auto"/>
                <w:right w:val="none" w:sz="0" w:space="0" w:color="auto"/>
              </w:divBdr>
            </w:div>
          </w:divsChild>
        </w:div>
        <w:div w:id="1277567424">
          <w:marLeft w:val="0"/>
          <w:marRight w:val="0"/>
          <w:marTop w:val="0"/>
          <w:marBottom w:val="0"/>
          <w:divBdr>
            <w:top w:val="none" w:sz="0" w:space="0" w:color="auto"/>
            <w:left w:val="none" w:sz="0" w:space="0" w:color="auto"/>
            <w:bottom w:val="none" w:sz="0" w:space="0" w:color="auto"/>
            <w:right w:val="none" w:sz="0" w:space="0" w:color="auto"/>
          </w:divBdr>
          <w:divsChild>
            <w:div w:id="1793861023">
              <w:marLeft w:val="0"/>
              <w:marRight w:val="0"/>
              <w:marTop w:val="0"/>
              <w:marBottom w:val="0"/>
              <w:divBdr>
                <w:top w:val="none" w:sz="0" w:space="0" w:color="auto"/>
                <w:left w:val="none" w:sz="0" w:space="0" w:color="auto"/>
                <w:bottom w:val="none" w:sz="0" w:space="0" w:color="auto"/>
                <w:right w:val="none" w:sz="0" w:space="0" w:color="auto"/>
              </w:divBdr>
            </w:div>
          </w:divsChild>
        </w:div>
        <w:div w:id="1296179809">
          <w:marLeft w:val="0"/>
          <w:marRight w:val="0"/>
          <w:marTop w:val="0"/>
          <w:marBottom w:val="0"/>
          <w:divBdr>
            <w:top w:val="none" w:sz="0" w:space="0" w:color="auto"/>
            <w:left w:val="none" w:sz="0" w:space="0" w:color="auto"/>
            <w:bottom w:val="none" w:sz="0" w:space="0" w:color="auto"/>
            <w:right w:val="none" w:sz="0" w:space="0" w:color="auto"/>
          </w:divBdr>
          <w:divsChild>
            <w:div w:id="490562435">
              <w:marLeft w:val="0"/>
              <w:marRight w:val="0"/>
              <w:marTop w:val="0"/>
              <w:marBottom w:val="0"/>
              <w:divBdr>
                <w:top w:val="none" w:sz="0" w:space="0" w:color="auto"/>
                <w:left w:val="none" w:sz="0" w:space="0" w:color="auto"/>
                <w:bottom w:val="none" w:sz="0" w:space="0" w:color="auto"/>
                <w:right w:val="none" w:sz="0" w:space="0" w:color="auto"/>
              </w:divBdr>
            </w:div>
          </w:divsChild>
        </w:div>
        <w:div w:id="1299141195">
          <w:marLeft w:val="0"/>
          <w:marRight w:val="0"/>
          <w:marTop w:val="0"/>
          <w:marBottom w:val="0"/>
          <w:divBdr>
            <w:top w:val="none" w:sz="0" w:space="0" w:color="auto"/>
            <w:left w:val="none" w:sz="0" w:space="0" w:color="auto"/>
            <w:bottom w:val="none" w:sz="0" w:space="0" w:color="auto"/>
            <w:right w:val="none" w:sz="0" w:space="0" w:color="auto"/>
          </w:divBdr>
          <w:divsChild>
            <w:div w:id="1659383373">
              <w:marLeft w:val="0"/>
              <w:marRight w:val="0"/>
              <w:marTop w:val="0"/>
              <w:marBottom w:val="0"/>
              <w:divBdr>
                <w:top w:val="none" w:sz="0" w:space="0" w:color="auto"/>
                <w:left w:val="none" w:sz="0" w:space="0" w:color="auto"/>
                <w:bottom w:val="none" w:sz="0" w:space="0" w:color="auto"/>
                <w:right w:val="none" w:sz="0" w:space="0" w:color="auto"/>
              </w:divBdr>
            </w:div>
          </w:divsChild>
        </w:div>
        <w:div w:id="1300527501">
          <w:marLeft w:val="0"/>
          <w:marRight w:val="0"/>
          <w:marTop w:val="0"/>
          <w:marBottom w:val="0"/>
          <w:divBdr>
            <w:top w:val="none" w:sz="0" w:space="0" w:color="auto"/>
            <w:left w:val="none" w:sz="0" w:space="0" w:color="auto"/>
            <w:bottom w:val="none" w:sz="0" w:space="0" w:color="auto"/>
            <w:right w:val="none" w:sz="0" w:space="0" w:color="auto"/>
          </w:divBdr>
          <w:divsChild>
            <w:div w:id="336470671">
              <w:marLeft w:val="0"/>
              <w:marRight w:val="0"/>
              <w:marTop w:val="0"/>
              <w:marBottom w:val="0"/>
              <w:divBdr>
                <w:top w:val="none" w:sz="0" w:space="0" w:color="auto"/>
                <w:left w:val="none" w:sz="0" w:space="0" w:color="auto"/>
                <w:bottom w:val="none" w:sz="0" w:space="0" w:color="auto"/>
                <w:right w:val="none" w:sz="0" w:space="0" w:color="auto"/>
              </w:divBdr>
            </w:div>
          </w:divsChild>
        </w:div>
        <w:div w:id="1302422651">
          <w:marLeft w:val="0"/>
          <w:marRight w:val="0"/>
          <w:marTop w:val="0"/>
          <w:marBottom w:val="0"/>
          <w:divBdr>
            <w:top w:val="none" w:sz="0" w:space="0" w:color="auto"/>
            <w:left w:val="none" w:sz="0" w:space="0" w:color="auto"/>
            <w:bottom w:val="none" w:sz="0" w:space="0" w:color="auto"/>
            <w:right w:val="none" w:sz="0" w:space="0" w:color="auto"/>
          </w:divBdr>
          <w:divsChild>
            <w:div w:id="141696394">
              <w:marLeft w:val="0"/>
              <w:marRight w:val="0"/>
              <w:marTop w:val="0"/>
              <w:marBottom w:val="0"/>
              <w:divBdr>
                <w:top w:val="none" w:sz="0" w:space="0" w:color="auto"/>
                <w:left w:val="none" w:sz="0" w:space="0" w:color="auto"/>
                <w:bottom w:val="none" w:sz="0" w:space="0" w:color="auto"/>
                <w:right w:val="none" w:sz="0" w:space="0" w:color="auto"/>
              </w:divBdr>
            </w:div>
          </w:divsChild>
        </w:div>
        <w:div w:id="1302729750">
          <w:marLeft w:val="0"/>
          <w:marRight w:val="0"/>
          <w:marTop w:val="0"/>
          <w:marBottom w:val="0"/>
          <w:divBdr>
            <w:top w:val="none" w:sz="0" w:space="0" w:color="auto"/>
            <w:left w:val="none" w:sz="0" w:space="0" w:color="auto"/>
            <w:bottom w:val="none" w:sz="0" w:space="0" w:color="auto"/>
            <w:right w:val="none" w:sz="0" w:space="0" w:color="auto"/>
          </w:divBdr>
          <w:divsChild>
            <w:div w:id="978727438">
              <w:marLeft w:val="0"/>
              <w:marRight w:val="0"/>
              <w:marTop w:val="0"/>
              <w:marBottom w:val="0"/>
              <w:divBdr>
                <w:top w:val="none" w:sz="0" w:space="0" w:color="auto"/>
                <w:left w:val="none" w:sz="0" w:space="0" w:color="auto"/>
                <w:bottom w:val="none" w:sz="0" w:space="0" w:color="auto"/>
                <w:right w:val="none" w:sz="0" w:space="0" w:color="auto"/>
              </w:divBdr>
            </w:div>
          </w:divsChild>
        </w:div>
        <w:div w:id="1319505593">
          <w:marLeft w:val="0"/>
          <w:marRight w:val="0"/>
          <w:marTop w:val="0"/>
          <w:marBottom w:val="0"/>
          <w:divBdr>
            <w:top w:val="none" w:sz="0" w:space="0" w:color="auto"/>
            <w:left w:val="none" w:sz="0" w:space="0" w:color="auto"/>
            <w:bottom w:val="none" w:sz="0" w:space="0" w:color="auto"/>
            <w:right w:val="none" w:sz="0" w:space="0" w:color="auto"/>
          </w:divBdr>
          <w:divsChild>
            <w:div w:id="1993869658">
              <w:marLeft w:val="0"/>
              <w:marRight w:val="0"/>
              <w:marTop w:val="0"/>
              <w:marBottom w:val="0"/>
              <w:divBdr>
                <w:top w:val="none" w:sz="0" w:space="0" w:color="auto"/>
                <w:left w:val="none" w:sz="0" w:space="0" w:color="auto"/>
                <w:bottom w:val="none" w:sz="0" w:space="0" w:color="auto"/>
                <w:right w:val="none" w:sz="0" w:space="0" w:color="auto"/>
              </w:divBdr>
            </w:div>
          </w:divsChild>
        </w:div>
        <w:div w:id="1330907878">
          <w:marLeft w:val="0"/>
          <w:marRight w:val="0"/>
          <w:marTop w:val="0"/>
          <w:marBottom w:val="0"/>
          <w:divBdr>
            <w:top w:val="none" w:sz="0" w:space="0" w:color="auto"/>
            <w:left w:val="none" w:sz="0" w:space="0" w:color="auto"/>
            <w:bottom w:val="none" w:sz="0" w:space="0" w:color="auto"/>
            <w:right w:val="none" w:sz="0" w:space="0" w:color="auto"/>
          </w:divBdr>
          <w:divsChild>
            <w:div w:id="1143889468">
              <w:marLeft w:val="0"/>
              <w:marRight w:val="0"/>
              <w:marTop w:val="0"/>
              <w:marBottom w:val="0"/>
              <w:divBdr>
                <w:top w:val="none" w:sz="0" w:space="0" w:color="auto"/>
                <w:left w:val="none" w:sz="0" w:space="0" w:color="auto"/>
                <w:bottom w:val="none" w:sz="0" w:space="0" w:color="auto"/>
                <w:right w:val="none" w:sz="0" w:space="0" w:color="auto"/>
              </w:divBdr>
            </w:div>
          </w:divsChild>
        </w:div>
        <w:div w:id="1346513040">
          <w:marLeft w:val="0"/>
          <w:marRight w:val="0"/>
          <w:marTop w:val="0"/>
          <w:marBottom w:val="0"/>
          <w:divBdr>
            <w:top w:val="none" w:sz="0" w:space="0" w:color="auto"/>
            <w:left w:val="none" w:sz="0" w:space="0" w:color="auto"/>
            <w:bottom w:val="none" w:sz="0" w:space="0" w:color="auto"/>
            <w:right w:val="none" w:sz="0" w:space="0" w:color="auto"/>
          </w:divBdr>
          <w:divsChild>
            <w:div w:id="1442795437">
              <w:marLeft w:val="0"/>
              <w:marRight w:val="0"/>
              <w:marTop w:val="0"/>
              <w:marBottom w:val="0"/>
              <w:divBdr>
                <w:top w:val="none" w:sz="0" w:space="0" w:color="auto"/>
                <w:left w:val="none" w:sz="0" w:space="0" w:color="auto"/>
                <w:bottom w:val="none" w:sz="0" w:space="0" w:color="auto"/>
                <w:right w:val="none" w:sz="0" w:space="0" w:color="auto"/>
              </w:divBdr>
            </w:div>
          </w:divsChild>
        </w:div>
        <w:div w:id="1346900309">
          <w:marLeft w:val="0"/>
          <w:marRight w:val="0"/>
          <w:marTop w:val="0"/>
          <w:marBottom w:val="0"/>
          <w:divBdr>
            <w:top w:val="none" w:sz="0" w:space="0" w:color="auto"/>
            <w:left w:val="none" w:sz="0" w:space="0" w:color="auto"/>
            <w:bottom w:val="none" w:sz="0" w:space="0" w:color="auto"/>
            <w:right w:val="none" w:sz="0" w:space="0" w:color="auto"/>
          </w:divBdr>
          <w:divsChild>
            <w:div w:id="551844898">
              <w:marLeft w:val="0"/>
              <w:marRight w:val="0"/>
              <w:marTop w:val="0"/>
              <w:marBottom w:val="0"/>
              <w:divBdr>
                <w:top w:val="none" w:sz="0" w:space="0" w:color="auto"/>
                <w:left w:val="none" w:sz="0" w:space="0" w:color="auto"/>
                <w:bottom w:val="none" w:sz="0" w:space="0" w:color="auto"/>
                <w:right w:val="none" w:sz="0" w:space="0" w:color="auto"/>
              </w:divBdr>
            </w:div>
          </w:divsChild>
        </w:div>
        <w:div w:id="1351954695">
          <w:marLeft w:val="0"/>
          <w:marRight w:val="0"/>
          <w:marTop w:val="0"/>
          <w:marBottom w:val="0"/>
          <w:divBdr>
            <w:top w:val="none" w:sz="0" w:space="0" w:color="auto"/>
            <w:left w:val="none" w:sz="0" w:space="0" w:color="auto"/>
            <w:bottom w:val="none" w:sz="0" w:space="0" w:color="auto"/>
            <w:right w:val="none" w:sz="0" w:space="0" w:color="auto"/>
          </w:divBdr>
          <w:divsChild>
            <w:div w:id="1755856045">
              <w:marLeft w:val="0"/>
              <w:marRight w:val="0"/>
              <w:marTop w:val="0"/>
              <w:marBottom w:val="0"/>
              <w:divBdr>
                <w:top w:val="none" w:sz="0" w:space="0" w:color="auto"/>
                <w:left w:val="none" w:sz="0" w:space="0" w:color="auto"/>
                <w:bottom w:val="none" w:sz="0" w:space="0" w:color="auto"/>
                <w:right w:val="none" w:sz="0" w:space="0" w:color="auto"/>
              </w:divBdr>
            </w:div>
          </w:divsChild>
        </w:div>
        <w:div w:id="1355813289">
          <w:marLeft w:val="0"/>
          <w:marRight w:val="0"/>
          <w:marTop w:val="0"/>
          <w:marBottom w:val="0"/>
          <w:divBdr>
            <w:top w:val="none" w:sz="0" w:space="0" w:color="auto"/>
            <w:left w:val="none" w:sz="0" w:space="0" w:color="auto"/>
            <w:bottom w:val="none" w:sz="0" w:space="0" w:color="auto"/>
            <w:right w:val="none" w:sz="0" w:space="0" w:color="auto"/>
          </w:divBdr>
          <w:divsChild>
            <w:div w:id="801312344">
              <w:marLeft w:val="0"/>
              <w:marRight w:val="0"/>
              <w:marTop w:val="0"/>
              <w:marBottom w:val="0"/>
              <w:divBdr>
                <w:top w:val="none" w:sz="0" w:space="0" w:color="auto"/>
                <w:left w:val="none" w:sz="0" w:space="0" w:color="auto"/>
                <w:bottom w:val="none" w:sz="0" w:space="0" w:color="auto"/>
                <w:right w:val="none" w:sz="0" w:space="0" w:color="auto"/>
              </w:divBdr>
            </w:div>
          </w:divsChild>
        </w:div>
        <w:div w:id="1367020513">
          <w:marLeft w:val="0"/>
          <w:marRight w:val="0"/>
          <w:marTop w:val="0"/>
          <w:marBottom w:val="0"/>
          <w:divBdr>
            <w:top w:val="none" w:sz="0" w:space="0" w:color="auto"/>
            <w:left w:val="none" w:sz="0" w:space="0" w:color="auto"/>
            <w:bottom w:val="none" w:sz="0" w:space="0" w:color="auto"/>
            <w:right w:val="none" w:sz="0" w:space="0" w:color="auto"/>
          </w:divBdr>
          <w:divsChild>
            <w:div w:id="497383021">
              <w:marLeft w:val="0"/>
              <w:marRight w:val="0"/>
              <w:marTop w:val="0"/>
              <w:marBottom w:val="0"/>
              <w:divBdr>
                <w:top w:val="none" w:sz="0" w:space="0" w:color="auto"/>
                <w:left w:val="none" w:sz="0" w:space="0" w:color="auto"/>
                <w:bottom w:val="none" w:sz="0" w:space="0" w:color="auto"/>
                <w:right w:val="none" w:sz="0" w:space="0" w:color="auto"/>
              </w:divBdr>
            </w:div>
          </w:divsChild>
        </w:div>
        <w:div w:id="1376807971">
          <w:marLeft w:val="0"/>
          <w:marRight w:val="0"/>
          <w:marTop w:val="0"/>
          <w:marBottom w:val="0"/>
          <w:divBdr>
            <w:top w:val="none" w:sz="0" w:space="0" w:color="auto"/>
            <w:left w:val="none" w:sz="0" w:space="0" w:color="auto"/>
            <w:bottom w:val="none" w:sz="0" w:space="0" w:color="auto"/>
            <w:right w:val="none" w:sz="0" w:space="0" w:color="auto"/>
          </w:divBdr>
          <w:divsChild>
            <w:div w:id="810026660">
              <w:marLeft w:val="0"/>
              <w:marRight w:val="0"/>
              <w:marTop w:val="0"/>
              <w:marBottom w:val="0"/>
              <w:divBdr>
                <w:top w:val="none" w:sz="0" w:space="0" w:color="auto"/>
                <w:left w:val="none" w:sz="0" w:space="0" w:color="auto"/>
                <w:bottom w:val="none" w:sz="0" w:space="0" w:color="auto"/>
                <w:right w:val="none" w:sz="0" w:space="0" w:color="auto"/>
              </w:divBdr>
            </w:div>
          </w:divsChild>
        </w:div>
        <w:div w:id="1379476419">
          <w:marLeft w:val="0"/>
          <w:marRight w:val="0"/>
          <w:marTop w:val="0"/>
          <w:marBottom w:val="0"/>
          <w:divBdr>
            <w:top w:val="none" w:sz="0" w:space="0" w:color="auto"/>
            <w:left w:val="none" w:sz="0" w:space="0" w:color="auto"/>
            <w:bottom w:val="none" w:sz="0" w:space="0" w:color="auto"/>
            <w:right w:val="none" w:sz="0" w:space="0" w:color="auto"/>
          </w:divBdr>
          <w:divsChild>
            <w:div w:id="767628241">
              <w:marLeft w:val="0"/>
              <w:marRight w:val="0"/>
              <w:marTop w:val="0"/>
              <w:marBottom w:val="0"/>
              <w:divBdr>
                <w:top w:val="none" w:sz="0" w:space="0" w:color="auto"/>
                <w:left w:val="none" w:sz="0" w:space="0" w:color="auto"/>
                <w:bottom w:val="none" w:sz="0" w:space="0" w:color="auto"/>
                <w:right w:val="none" w:sz="0" w:space="0" w:color="auto"/>
              </w:divBdr>
            </w:div>
          </w:divsChild>
        </w:div>
        <w:div w:id="1397587651">
          <w:marLeft w:val="0"/>
          <w:marRight w:val="0"/>
          <w:marTop w:val="0"/>
          <w:marBottom w:val="0"/>
          <w:divBdr>
            <w:top w:val="none" w:sz="0" w:space="0" w:color="auto"/>
            <w:left w:val="none" w:sz="0" w:space="0" w:color="auto"/>
            <w:bottom w:val="none" w:sz="0" w:space="0" w:color="auto"/>
            <w:right w:val="none" w:sz="0" w:space="0" w:color="auto"/>
          </w:divBdr>
          <w:divsChild>
            <w:div w:id="1940941967">
              <w:marLeft w:val="0"/>
              <w:marRight w:val="0"/>
              <w:marTop w:val="0"/>
              <w:marBottom w:val="0"/>
              <w:divBdr>
                <w:top w:val="none" w:sz="0" w:space="0" w:color="auto"/>
                <w:left w:val="none" w:sz="0" w:space="0" w:color="auto"/>
                <w:bottom w:val="none" w:sz="0" w:space="0" w:color="auto"/>
                <w:right w:val="none" w:sz="0" w:space="0" w:color="auto"/>
              </w:divBdr>
            </w:div>
          </w:divsChild>
        </w:div>
        <w:div w:id="1417243281">
          <w:marLeft w:val="0"/>
          <w:marRight w:val="0"/>
          <w:marTop w:val="0"/>
          <w:marBottom w:val="0"/>
          <w:divBdr>
            <w:top w:val="none" w:sz="0" w:space="0" w:color="auto"/>
            <w:left w:val="none" w:sz="0" w:space="0" w:color="auto"/>
            <w:bottom w:val="none" w:sz="0" w:space="0" w:color="auto"/>
            <w:right w:val="none" w:sz="0" w:space="0" w:color="auto"/>
          </w:divBdr>
          <w:divsChild>
            <w:div w:id="1418020791">
              <w:marLeft w:val="0"/>
              <w:marRight w:val="0"/>
              <w:marTop w:val="0"/>
              <w:marBottom w:val="0"/>
              <w:divBdr>
                <w:top w:val="none" w:sz="0" w:space="0" w:color="auto"/>
                <w:left w:val="none" w:sz="0" w:space="0" w:color="auto"/>
                <w:bottom w:val="none" w:sz="0" w:space="0" w:color="auto"/>
                <w:right w:val="none" w:sz="0" w:space="0" w:color="auto"/>
              </w:divBdr>
            </w:div>
          </w:divsChild>
        </w:div>
        <w:div w:id="1418282944">
          <w:marLeft w:val="0"/>
          <w:marRight w:val="0"/>
          <w:marTop w:val="0"/>
          <w:marBottom w:val="0"/>
          <w:divBdr>
            <w:top w:val="none" w:sz="0" w:space="0" w:color="auto"/>
            <w:left w:val="none" w:sz="0" w:space="0" w:color="auto"/>
            <w:bottom w:val="none" w:sz="0" w:space="0" w:color="auto"/>
            <w:right w:val="none" w:sz="0" w:space="0" w:color="auto"/>
          </w:divBdr>
          <w:divsChild>
            <w:div w:id="570503247">
              <w:marLeft w:val="0"/>
              <w:marRight w:val="0"/>
              <w:marTop w:val="0"/>
              <w:marBottom w:val="0"/>
              <w:divBdr>
                <w:top w:val="none" w:sz="0" w:space="0" w:color="auto"/>
                <w:left w:val="none" w:sz="0" w:space="0" w:color="auto"/>
                <w:bottom w:val="none" w:sz="0" w:space="0" w:color="auto"/>
                <w:right w:val="none" w:sz="0" w:space="0" w:color="auto"/>
              </w:divBdr>
            </w:div>
          </w:divsChild>
        </w:div>
        <w:div w:id="1422294218">
          <w:marLeft w:val="0"/>
          <w:marRight w:val="0"/>
          <w:marTop w:val="0"/>
          <w:marBottom w:val="0"/>
          <w:divBdr>
            <w:top w:val="none" w:sz="0" w:space="0" w:color="auto"/>
            <w:left w:val="none" w:sz="0" w:space="0" w:color="auto"/>
            <w:bottom w:val="none" w:sz="0" w:space="0" w:color="auto"/>
            <w:right w:val="none" w:sz="0" w:space="0" w:color="auto"/>
          </w:divBdr>
          <w:divsChild>
            <w:div w:id="1857427450">
              <w:marLeft w:val="0"/>
              <w:marRight w:val="0"/>
              <w:marTop w:val="0"/>
              <w:marBottom w:val="0"/>
              <w:divBdr>
                <w:top w:val="none" w:sz="0" w:space="0" w:color="auto"/>
                <w:left w:val="none" w:sz="0" w:space="0" w:color="auto"/>
                <w:bottom w:val="none" w:sz="0" w:space="0" w:color="auto"/>
                <w:right w:val="none" w:sz="0" w:space="0" w:color="auto"/>
              </w:divBdr>
            </w:div>
          </w:divsChild>
        </w:div>
        <w:div w:id="1424254140">
          <w:marLeft w:val="0"/>
          <w:marRight w:val="0"/>
          <w:marTop w:val="0"/>
          <w:marBottom w:val="0"/>
          <w:divBdr>
            <w:top w:val="none" w:sz="0" w:space="0" w:color="auto"/>
            <w:left w:val="none" w:sz="0" w:space="0" w:color="auto"/>
            <w:bottom w:val="none" w:sz="0" w:space="0" w:color="auto"/>
            <w:right w:val="none" w:sz="0" w:space="0" w:color="auto"/>
          </w:divBdr>
          <w:divsChild>
            <w:div w:id="579339320">
              <w:marLeft w:val="0"/>
              <w:marRight w:val="0"/>
              <w:marTop w:val="0"/>
              <w:marBottom w:val="0"/>
              <w:divBdr>
                <w:top w:val="none" w:sz="0" w:space="0" w:color="auto"/>
                <w:left w:val="none" w:sz="0" w:space="0" w:color="auto"/>
                <w:bottom w:val="none" w:sz="0" w:space="0" w:color="auto"/>
                <w:right w:val="none" w:sz="0" w:space="0" w:color="auto"/>
              </w:divBdr>
            </w:div>
          </w:divsChild>
        </w:div>
        <w:div w:id="1427845460">
          <w:marLeft w:val="0"/>
          <w:marRight w:val="0"/>
          <w:marTop w:val="0"/>
          <w:marBottom w:val="0"/>
          <w:divBdr>
            <w:top w:val="none" w:sz="0" w:space="0" w:color="auto"/>
            <w:left w:val="none" w:sz="0" w:space="0" w:color="auto"/>
            <w:bottom w:val="none" w:sz="0" w:space="0" w:color="auto"/>
            <w:right w:val="none" w:sz="0" w:space="0" w:color="auto"/>
          </w:divBdr>
          <w:divsChild>
            <w:div w:id="300621091">
              <w:marLeft w:val="0"/>
              <w:marRight w:val="0"/>
              <w:marTop w:val="0"/>
              <w:marBottom w:val="0"/>
              <w:divBdr>
                <w:top w:val="none" w:sz="0" w:space="0" w:color="auto"/>
                <w:left w:val="none" w:sz="0" w:space="0" w:color="auto"/>
                <w:bottom w:val="none" w:sz="0" w:space="0" w:color="auto"/>
                <w:right w:val="none" w:sz="0" w:space="0" w:color="auto"/>
              </w:divBdr>
            </w:div>
          </w:divsChild>
        </w:div>
        <w:div w:id="1437292537">
          <w:marLeft w:val="0"/>
          <w:marRight w:val="0"/>
          <w:marTop w:val="0"/>
          <w:marBottom w:val="0"/>
          <w:divBdr>
            <w:top w:val="none" w:sz="0" w:space="0" w:color="auto"/>
            <w:left w:val="none" w:sz="0" w:space="0" w:color="auto"/>
            <w:bottom w:val="none" w:sz="0" w:space="0" w:color="auto"/>
            <w:right w:val="none" w:sz="0" w:space="0" w:color="auto"/>
          </w:divBdr>
          <w:divsChild>
            <w:div w:id="1458530086">
              <w:marLeft w:val="0"/>
              <w:marRight w:val="0"/>
              <w:marTop w:val="0"/>
              <w:marBottom w:val="0"/>
              <w:divBdr>
                <w:top w:val="none" w:sz="0" w:space="0" w:color="auto"/>
                <w:left w:val="none" w:sz="0" w:space="0" w:color="auto"/>
                <w:bottom w:val="none" w:sz="0" w:space="0" w:color="auto"/>
                <w:right w:val="none" w:sz="0" w:space="0" w:color="auto"/>
              </w:divBdr>
            </w:div>
          </w:divsChild>
        </w:div>
        <w:div w:id="1438209793">
          <w:marLeft w:val="0"/>
          <w:marRight w:val="0"/>
          <w:marTop w:val="0"/>
          <w:marBottom w:val="0"/>
          <w:divBdr>
            <w:top w:val="none" w:sz="0" w:space="0" w:color="auto"/>
            <w:left w:val="none" w:sz="0" w:space="0" w:color="auto"/>
            <w:bottom w:val="none" w:sz="0" w:space="0" w:color="auto"/>
            <w:right w:val="none" w:sz="0" w:space="0" w:color="auto"/>
          </w:divBdr>
          <w:divsChild>
            <w:div w:id="2081563369">
              <w:marLeft w:val="0"/>
              <w:marRight w:val="0"/>
              <w:marTop w:val="0"/>
              <w:marBottom w:val="0"/>
              <w:divBdr>
                <w:top w:val="none" w:sz="0" w:space="0" w:color="auto"/>
                <w:left w:val="none" w:sz="0" w:space="0" w:color="auto"/>
                <w:bottom w:val="none" w:sz="0" w:space="0" w:color="auto"/>
                <w:right w:val="none" w:sz="0" w:space="0" w:color="auto"/>
              </w:divBdr>
            </w:div>
          </w:divsChild>
        </w:div>
        <w:div w:id="1445349507">
          <w:marLeft w:val="0"/>
          <w:marRight w:val="0"/>
          <w:marTop w:val="0"/>
          <w:marBottom w:val="0"/>
          <w:divBdr>
            <w:top w:val="none" w:sz="0" w:space="0" w:color="auto"/>
            <w:left w:val="none" w:sz="0" w:space="0" w:color="auto"/>
            <w:bottom w:val="none" w:sz="0" w:space="0" w:color="auto"/>
            <w:right w:val="none" w:sz="0" w:space="0" w:color="auto"/>
          </w:divBdr>
          <w:divsChild>
            <w:div w:id="2110732417">
              <w:marLeft w:val="0"/>
              <w:marRight w:val="0"/>
              <w:marTop w:val="0"/>
              <w:marBottom w:val="0"/>
              <w:divBdr>
                <w:top w:val="none" w:sz="0" w:space="0" w:color="auto"/>
                <w:left w:val="none" w:sz="0" w:space="0" w:color="auto"/>
                <w:bottom w:val="none" w:sz="0" w:space="0" w:color="auto"/>
                <w:right w:val="none" w:sz="0" w:space="0" w:color="auto"/>
              </w:divBdr>
            </w:div>
          </w:divsChild>
        </w:div>
        <w:div w:id="1457527388">
          <w:marLeft w:val="0"/>
          <w:marRight w:val="0"/>
          <w:marTop w:val="0"/>
          <w:marBottom w:val="0"/>
          <w:divBdr>
            <w:top w:val="none" w:sz="0" w:space="0" w:color="auto"/>
            <w:left w:val="none" w:sz="0" w:space="0" w:color="auto"/>
            <w:bottom w:val="none" w:sz="0" w:space="0" w:color="auto"/>
            <w:right w:val="none" w:sz="0" w:space="0" w:color="auto"/>
          </w:divBdr>
          <w:divsChild>
            <w:div w:id="680861824">
              <w:marLeft w:val="0"/>
              <w:marRight w:val="0"/>
              <w:marTop w:val="0"/>
              <w:marBottom w:val="0"/>
              <w:divBdr>
                <w:top w:val="none" w:sz="0" w:space="0" w:color="auto"/>
                <w:left w:val="none" w:sz="0" w:space="0" w:color="auto"/>
                <w:bottom w:val="none" w:sz="0" w:space="0" w:color="auto"/>
                <w:right w:val="none" w:sz="0" w:space="0" w:color="auto"/>
              </w:divBdr>
            </w:div>
          </w:divsChild>
        </w:div>
        <w:div w:id="1474369436">
          <w:marLeft w:val="0"/>
          <w:marRight w:val="0"/>
          <w:marTop w:val="0"/>
          <w:marBottom w:val="0"/>
          <w:divBdr>
            <w:top w:val="none" w:sz="0" w:space="0" w:color="auto"/>
            <w:left w:val="none" w:sz="0" w:space="0" w:color="auto"/>
            <w:bottom w:val="none" w:sz="0" w:space="0" w:color="auto"/>
            <w:right w:val="none" w:sz="0" w:space="0" w:color="auto"/>
          </w:divBdr>
          <w:divsChild>
            <w:div w:id="1182401962">
              <w:marLeft w:val="0"/>
              <w:marRight w:val="0"/>
              <w:marTop w:val="0"/>
              <w:marBottom w:val="0"/>
              <w:divBdr>
                <w:top w:val="none" w:sz="0" w:space="0" w:color="auto"/>
                <w:left w:val="none" w:sz="0" w:space="0" w:color="auto"/>
                <w:bottom w:val="none" w:sz="0" w:space="0" w:color="auto"/>
                <w:right w:val="none" w:sz="0" w:space="0" w:color="auto"/>
              </w:divBdr>
            </w:div>
          </w:divsChild>
        </w:div>
        <w:div w:id="1476727576">
          <w:marLeft w:val="0"/>
          <w:marRight w:val="0"/>
          <w:marTop w:val="0"/>
          <w:marBottom w:val="0"/>
          <w:divBdr>
            <w:top w:val="none" w:sz="0" w:space="0" w:color="auto"/>
            <w:left w:val="none" w:sz="0" w:space="0" w:color="auto"/>
            <w:bottom w:val="none" w:sz="0" w:space="0" w:color="auto"/>
            <w:right w:val="none" w:sz="0" w:space="0" w:color="auto"/>
          </w:divBdr>
          <w:divsChild>
            <w:div w:id="1296913673">
              <w:marLeft w:val="0"/>
              <w:marRight w:val="0"/>
              <w:marTop w:val="0"/>
              <w:marBottom w:val="0"/>
              <w:divBdr>
                <w:top w:val="none" w:sz="0" w:space="0" w:color="auto"/>
                <w:left w:val="none" w:sz="0" w:space="0" w:color="auto"/>
                <w:bottom w:val="none" w:sz="0" w:space="0" w:color="auto"/>
                <w:right w:val="none" w:sz="0" w:space="0" w:color="auto"/>
              </w:divBdr>
            </w:div>
          </w:divsChild>
        </w:div>
        <w:div w:id="1478842949">
          <w:marLeft w:val="0"/>
          <w:marRight w:val="0"/>
          <w:marTop w:val="0"/>
          <w:marBottom w:val="0"/>
          <w:divBdr>
            <w:top w:val="none" w:sz="0" w:space="0" w:color="auto"/>
            <w:left w:val="none" w:sz="0" w:space="0" w:color="auto"/>
            <w:bottom w:val="none" w:sz="0" w:space="0" w:color="auto"/>
            <w:right w:val="none" w:sz="0" w:space="0" w:color="auto"/>
          </w:divBdr>
          <w:divsChild>
            <w:div w:id="196551037">
              <w:marLeft w:val="0"/>
              <w:marRight w:val="0"/>
              <w:marTop w:val="0"/>
              <w:marBottom w:val="0"/>
              <w:divBdr>
                <w:top w:val="none" w:sz="0" w:space="0" w:color="auto"/>
                <w:left w:val="none" w:sz="0" w:space="0" w:color="auto"/>
                <w:bottom w:val="none" w:sz="0" w:space="0" w:color="auto"/>
                <w:right w:val="none" w:sz="0" w:space="0" w:color="auto"/>
              </w:divBdr>
            </w:div>
          </w:divsChild>
        </w:div>
        <w:div w:id="1481728002">
          <w:marLeft w:val="0"/>
          <w:marRight w:val="0"/>
          <w:marTop w:val="0"/>
          <w:marBottom w:val="0"/>
          <w:divBdr>
            <w:top w:val="none" w:sz="0" w:space="0" w:color="auto"/>
            <w:left w:val="none" w:sz="0" w:space="0" w:color="auto"/>
            <w:bottom w:val="none" w:sz="0" w:space="0" w:color="auto"/>
            <w:right w:val="none" w:sz="0" w:space="0" w:color="auto"/>
          </w:divBdr>
          <w:divsChild>
            <w:div w:id="670525756">
              <w:marLeft w:val="0"/>
              <w:marRight w:val="0"/>
              <w:marTop w:val="0"/>
              <w:marBottom w:val="0"/>
              <w:divBdr>
                <w:top w:val="none" w:sz="0" w:space="0" w:color="auto"/>
                <w:left w:val="none" w:sz="0" w:space="0" w:color="auto"/>
                <w:bottom w:val="none" w:sz="0" w:space="0" w:color="auto"/>
                <w:right w:val="none" w:sz="0" w:space="0" w:color="auto"/>
              </w:divBdr>
            </w:div>
          </w:divsChild>
        </w:div>
        <w:div w:id="1490630411">
          <w:marLeft w:val="0"/>
          <w:marRight w:val="0"/>
          <w:marTop w:val="0"/>
          <w:marBottom w:val="0"/>
          <w:divBdr>
            <w:top w:val="none" w:sz="0" w:space="0" w:color="auto"/>
            <w:left w:val="none" w:sz="0" w:space="0" w:color="auto"/>
            <w:bottom w:val="none" w:sz="0" w:space="0" w:color="auto"/>
            <w:right w:val="none" w:sz="0" w:space="0" w:color="auto"/>
          </w:divBdr>
          <w:divsChild>
            <w:div w:id="1909530718">
              <w:marLeft w:val="0"/>
              <w:marRight w:val="0"/>
              <w:marTop w:val="0"/>
              <w:marBottom w:val="0"/>
              <w:divBdr>
                <w:top w:val="none" w:sz="0" w:space="0" w:color="auto"/>
                <w:left w:val="none" w:sz="0" w:space="0" w:color="auto"/>
                <w:bottom w:val="none" w:sz="0" w:space="0" w:color="auto"/>
                <w:right w:val="none" w:sz="0" w:space="0" w:color="auto"/>
              </w:divBdr>
            </w:div>
          </w:divsChild>
        </w:div>
        <w:div w:id="1491747487">
          <w:marLeft w:val="0"/>
          <w:marRight w:val="0"/>
          <w:marTop w:val="0"/>
          <w:marBottom w:val="0"/>
          <w:divBdr>
            <w:top w:val="none" w:sz="0" w:space="0" w:color="auto"/>
            <w:left w:val="none" w:sz="0" w:space="0" w:color="auto"/>
            <w:bottom w:val="none" w:sz="0" w:space="0" w:color="auto"/>
            <w:right w:val="none" w:sz="0" w:space="0" w:color="auto"/>
          </w:divBdr>
          <w:divsChild>
            <w:div w:id="481579383">
              <w:marLeft w:val="0"/>
              <w:marRight w:val="0"/>
              <w:marTop w:val="0"/>
              <w:marBottom w:val="0"/>
              <w:divBdr>
                <w:top w:val="none" w:sz="0" w:space="0" w:color="auto"/>
                <w:left w:val="none" w:sz="0" w:space="0" w:color="auto"/>
                <w:bottom w:val="none" w:sz="0" w:space="0" w:color="auto"/>
                <w:right w:val="none" w:sz="0" w:space="0" w:color="auto"/>
              </w:divBdr>
            </w:div>
          </w:divsChild>
        </w:div>
        <w:div w:id="1499811176">
          <w:marLeft w:val="0"/>
          <w:marRight w:val="0"/>
          <w:marTop w:val="0"/>
          <w:marBottom w:val="0"/>
          <w:divBdr>
            <w:top w:val="none" w:sz="0" w:space="0" w:color="auto"/>
            <w:left w:val="none" w:sz="0" w:space="0" w:color="auto"/>
            <w:bottom w:val="none" w:sz="0" w:space="0" w:color="auto"/>
            <w:right w:val="none" w:sz="0" w:space="0" w:color="auto"/>
          </w:divBdr>
          <w:divsChild>
            <w:div w:id="588780481">
              <w:marLeft w:val="0"/>
              <w:marRight w:val="0"/>
              <w:marTop w:val="0"/>
              <w:marBottom w:val="0"/>
              <w:divBdr>
                <w:top w:val="none" w:sz="0" w:space="0" w:color="auto"/>
                <w:left w:val="none" w:sz="0" w:space="0" w:color="auto"/>
                <w:bottom w:val="none" w:sz="0" w:space="0" w:color="auto"/>
                <w:right w:val="none" w:sz="0" w:space="0" w:color="auto"/>
              </w:divBdr>
            </w:div>
          </w:divsChild>
        </w:div>
        <w:div w:id="1505784827">
          <w:marLeft w:val="0"/>
          <w:marRight w:val="0"/>
          <w:marTop w:val="0"/>
          <w:marBottom w:val="0"/>
          <w:divBdr>
            <w:top w:val="none" w:sz="0" w:space="0" w:color="auto"/>
            <w:left w:val="none" w:sz="0" w:space="0" w:color="auto"/>
            <w:bottom w:val="none" w:sz="0" w:space="0" w:color="auto"/>
            <w:right w:val="none" w:sz="0" w:space="0" w:color="auto"/>
          </w:divBdr>
          <w:divsChild>
            <w:div w:id="1941182308">
              <w:marLeft w:val="0"/>
              <w:marRight w:val="0"/>
              <w:marTop w:val="0"/>
              <w:marBottom w:val="0"/>
              <w:divBdr>
                <w:top w:val="none" w:sz="0" w:space="0" w:color="auto"/>
                <w:left w:val="none" w:sz="0" w:space="0" w:color="auto"/>
                <w:bottom w:val="none" w:sz="0" w:space="0" w:color="auto"/>
                <w:right w:val="none" w:sz="0" w:space="0" w:color="auto"/>
              </w:divBdr>
            </w:div>
          </w:divsChild>
        </w:div>
        <w:div w:id="1515071934">
          <w:marLeft w:val="0"/>
          <w:marRight w:val="0"/>
          <w:marTop w:val="0"/>
          <w:marBottom w:val="0"/>
          <w:divBdr>
            <w:top w:val="none" w:sz="0" w:space="0" w:color="auto"/>
            <w:left w:val="none" w:sz="0" w:space="0" w:color="auto"/>
            <w:bottom w:val="none" w:sz="0" w:space="0" w:color="auto"/>
            <w:right w:val="none" w:sz="0" w:space="0" w:color="auto"/>
          </w:divBdr>
          <w:divsChild>
            <w:div w:id="724447167">
              <w:marLeft w:val="0"/>
              <w:marRight w:val="0"/>
              <w:marTop w:val="0"/>
              <w:marBottom w:val="0"/>
              <w:divBdr>
                <w:top w:val="none" w:sz="0" w:space="0" w:color="auto"/>
                <w:left w:val="none" w:sz="0" w:space="0" w:color="auto"/>
                <w:bottom w:val="none" w:sz="0" w:space="0" w:color="auto"/>
                <w:right w:val="none" w:sz="0" w:space="0" w:color="auto"/>
              </w:divBdr>
            </w:div>
          </w:divsChild>
        </w:div>
        <w:div w:id="1524979930">
          <w:marLeft w:val="0"/>
          <w:marRight w:val="0"/>
          <w:marTop w:val="0"/>
          <w:marBottom w:val="0"/>
          <w:divBdr>
            <w:top w:val="none" w:sz="0" w:space="0" w:color="auto"/>
            <w:left w:val="none" w:sz="0" w:space="0" w:color="auto"/>
            <w:bottom w:val="none" w:sz="0" w:space="0" w:color="auto"/>
            <w:right w:val="none" w:sz="0" w:space="0" w:color="auto"/>
          </w:divBdr>
          <w:divsChild>
            <w:div w:id="319620899">
              <w:marLeft w:val="0"/>
              <w:marRight w:val="0"/>
              <w:marTop w:val="0"/>
              <w:marBottom w:val="0"/>
              <w:divBdr>
                <w:top w:val="none" w:sz="0" w:space="0" w:color="auto"/>
                <w:left w:val="none" w:sz="0" w:space="0" w:color="auto"/>
                <w:bottom w:val="none" w:sz="0" w:space="0" w:color="auto"/>
                <w:right w:val="none" w:sz="0" w:space="0" w:color="auto"/>
              </w:divBdr>
            </w:div>
          </w:divsChild>
        </w:div>
        <w:div w:id="1525051359">
          <w:marLeft w:val="0"/>
          <w:marRight w:val="0"/>
          <w:marTop w:val="0"/>
          <w:marBottom w:val="0"/>
          <w:divBdr>
            <w:top w:val="none" w:sz="0" w:space="0" w:color="auto"/>
            <w:left w:val="none" w:sz="0" w:space="0" w:color="auto"/>
            <w:bottom w:val="none" w:sz="0" w:space="0" w:color="auto"/>
            <w:right w:val="none" w:sz="0" w:space="0" w:color="auto"/>
          </w:divBdr>
          <w:divsChild>
            <w:div w:id="856652801">
              <w:marLeft w:val="0"/>
              <w:marRight w:val="0"/>
              <w:marTop w:val="0"/>
              <w:marBottom w:val="0"/>
              <w:divBdr>
                <w:top w:val="none" w:sz="0" w:space="0" w:color="auto"/>
                <w:left w:val="none" w:sz="0" w:space="0" w:color="auto"/>
                <w:bottom w:val="none" w:sz="0" w:space="0" w:color="auto"/>
                <w:right w:val="none" w:sz="0" w:space="0" w:color="auto"/>
              </w:divBdr>
            </w:div>
          </w:divsChild>
        </w:div>
        <w:div w:id="1528248719">
          <w:marLeft w:val="0"/>
          <w:marRight w:val="0"/>
          <w:marTop w:val="0"/>
          <w:marBottom w:val="0"/>
          <w:divBdr>
            <w:top w:val="none" w:sz="0" w:space="0" w:color="auto"/>
            <w:left w:val="none" w:sz="0" w:space="0" w:color="auto"/>
            <w:bottom w:val="none" w:sz="0" w:space="0" w:color="auto"/>
            <w:right w:val="none" w:sz="0" w:space="0" w:color="auto"/>
          </w:divBdr>
          <w:divsChild>
            <w:div w:id="142738992">
              <w:marLeft w:val="0"/>
              <w:marRight w:val="0"/>
              <w:marTop w:val="0"/>
              <w:marBottom w:val="0"/>
              <w:divBdr>
                <w:top w:val="none" w:sz="0" w:space="0" w:color="auto"/>
                <w:left w:val="none" w:sz="0" w:space="0" w:color="auto"/>
                <w:bottom w:val="none" w:sz="0" w:space="0" w:color="auto"/>
                <w:right w:val="none" w:sz="0" w:space="0" w:color="auto"/>
              </w:divBdr>
            </w:div>
          </w:divsChild>
        </w:div>
        <w:div w:id="1538855634">
          <w:marLeft w:val="0"/>
          <w:marRight w:val="0"/>
          <w:marTop w:val="0"/>
          <w:marBottom w:val="0"/>
          <w:divBdr>
            <w:top w:val="none" w:sz="0" w:space="0" w:color="auto"/>
            <w:left w:val="none" w:sz="0" w:space="0" w:color="auto"/>
            <w:bottom w:val="none" w:sz="0" w:space="0" w:color="auto"/>
            <w:right w:val="none" w:sz="0" w:space="0" w:color="auto"/>
          </w:divBdr>
          <w:divsChild>
            <w:div w:id="918707312">
              <w:marLeft w:val="0"/>
              <w:marRight w:val="0"/>
              <w:marTop w:val="0"/>
              <w:marBottom w:val="0"/>
              <w:divBdr>
                <w:top w:val="none" w:sz="0" w:space="0" w:color="auto"/>
                <w:left w:val="none" w:sz="0" w:space="0" w:color="auto"/>
                <w:bottom w:val="none" w:sz="0" w:space="0" w:color="auto"/>
                <w:right w:val="none" w:sz="0" w:space="0" w:color="auto"/>
              </w:divBdr>
            </w:div>
          </w:divsChild>
        </w:div>
        <w:div w:id="1550385587">
          <w:marLeft w:val="0"/>
          <w:marRight w:val="0"/>
          <w:marTop w:val="0"/>
          <w:marBottom w:val="0"/>
          <w:divBdr>
            <w:top w:val="none" w:sz="0" w:space="0" w:color="auto"/>
            <w:left w:val="none" w:sz="0" w:space="0" w:color="auto"/>
            <w:bottom w:val="none" w:sz="0" w:space="0" w:color="auto"/>
            <w:right w:val="none" w:sz="0" w:space="0" w:color="auto"/>
          </w:divBdr>
          <w:divsChild>
            <w:div w:id="1657031160">
              <w:marLeft w:val="0"/>
              <w:marRight w:val="0"/>
              <w:marTop w:val="0"/>
              <w:marBottom w:val="0"/>
              <w:divBdr>
                <w:top w:val="none" w:sz="0" w:space="0" w:color="auto"/>
                <w:left w:val="none" w:sz="0" w:space="0" w:color="auto"/>
                <w:bottom w:val="none" w:sz="0" w:space="0" w:color="auto"/>
                <w:right w:val="none" w:sz="0" w:space="0" w:color="auto"/>
              </w:divBdr>
            </w:div>
          </w:divsChild>
        </w:div>
        <w:div w:id="1550456074">
          <w:marLeft w:val="0"/>
          <w:marRight w:val="0"/>
          <w:marTop w:val="0"/>
          <w:marBottom w:val="0"/>
          <w:divBdr>
            <w:top w:val="none" w:sz="0" w:space="0" w:color="auto"/>
            <w:left w:val="none" w:sz="0" w:space="0" w:color="auto"/>
            <w:bottom w:val="none" w:sz="0" w:space="0" w:color="auto"/>
            <w:right w:val="none" w:sz="0" w:space="0" w:color="auto"/>
          </w:divBdr>
          <w:divsChild>
            <w:div w:id="1919629719">
              <w:marLeft w:val="0"/>
              <w:marRight w:val="0"/>
              <w:marTop w:val="0"/>
              <w:marBottom w:val="0"/>
              <w:divBdr>
                <w:top w:val="none" w:sz="0" w:space="0" w:color="auto"/>
                <w:left w:val="none" w:sz="0" w:space="0" w:color="auto"/>
                <w:bottom w:val="none" w:sz="0" w:space="0" w:color="auto"/>
                <w:right w:val="none" w:sz="0" w:space="0" w:color="auto"/>
              </w:divBdr>
            </w:div>
          </w:divsChild>
        </w:div>
        <w:div w:id="1551767222">
          <w:marLeft w:val="0"/>
          <w:marRight w:val="0"/>
          <w:marTop w:val="0"/>
          <w:marBottom w:val="0"/>
          <w:divBdr>
            <w:top w:val="none" w:sz="0" w:space="0" w:color="auto"/>
            <w:left w:val="none" w:sz="0" w:space="0" w:color="auto"/>
            <w:bottom w:val="none" w:sz="0" w:space="0" w:color="auto"/>
            <w:right w:val="none" w:sz="0" w:space="0" w:color="auto"/>
          </w:divBdr>
          <w:divsChild>
            <w:div w:id="43874008">
              <w:marLeft w:val="0"/>
              <w:marRight w:val="0"/>
              <w:marTop w:val="0"/>
              <w:marBottom w:val="0"/>
              <w:divBdr>
                <w:top w:val="none" w:sz="0" w:space="0" w:color="auto"/>
                <w:left w:val="none" w:sz="0" w:space="0" w:color="auto"/>
                <w:bottom w:val="none" w:sz="0" w:space="0" w:color="auto"/>
                <w:right w:val="none" w:sz="0" w:space="0" w:color="auto"/>
              </w:divBdr>
            </w:div>
          </w:divsChild>
        </w:div>
        <w:div w:id="1552689986">
          <w:marLeft w:val="0"/>
          <w:marRight w:val="0"/>
          <w:marTop w:val="0"/>
          <w:marBottom w:val="0"/>
          <w:divBdr>
            <w:top w:val="none" w:sz="0" w:space="0" w:color="auto"/>
            <w:left w:val="none" w:sz="0" w:space="0" w:color="auto"/>
            <w:bottom w:val="none" w:sz="0" w:space="0" w:color="auto"/>
            <w:right w:val="none" w:sz="0" w:space="0" w:color="auto"/>
          </w:divBdr>
          <w:divsChild>
            <w:div w:id="93476402">
              <w:marLeft w:val="0"/>
              <w:marRight w:val="0"/>
              <w:marTop w:val="0"/>
              <w:marBottom w:val="0"/>
              <w:divBdr>
                <w:top w:val="none" w:sz="0" w:space="0" w:color="auto"/>
                <w:left w:val="none" w:sz="0" w:space="0" w:color="auto"/>
                <w:bottom w:val="none" w:sz="0" w:space="0" w:color="auto"/>
                <w:right w:val="none" w:sz="0" w:space="0" w:color="auto"/>
              </w:divBdr>
            </w:div>
          </w:divsChild>
        </w:div>
        <w:div w:id="1556500227">
          <w:marLeft w:val="0"/>
          <w:marRight w:val="0"/>
          <w:marTop w:val="0"/>
          <w:marBottom w:val="0"/>
          <w:divBdr>
            <w:top w:val="none" w:sz="0" w:space="0" w:color="auto"/>
            <w:left w:val="none" w:sz="0" w:space="0" w:color="auto"/>
            <w:bottom w:val="none" w:sz="0" w:space="0" w:color="auto"/>
            <w:right w:val="none" w:sz="0" w:space="0" w:color="auto"/>
          </w:divBdr>
          <w:divsChild>
            <w:div w:id="1971856642">
              <w:marLeft w:val="0"/>
              <w:marRight w:val="0"/>
              <w:marTop w:val="0"/>
              <w:marBottom w:val="0"/>
              <w:divBdr>
                <w:top w:val="none" w:sz="0" w:space="0" w:color="auto"/>
                <w:left w:val="none" w:sz="0" w:space="0" w:color="auto"/>
                <w:bottom w:val="none" w:sz="0" w:space="0" w:color="auto"/>
                <w:right w:val="none" w:sz="0" w:space="0" w:color="auto"/>
              </w:divBdr>
            </w:div>
          </w:divsChild>
        </w:div>
        <w:div w:id="1559972370">
          <w:marLeft w:val="0"/>
          <w:marRight w:val="0"/>
          <w:marTop w:val="0"/>
          <w:marBottom w:val="0"/>
          <w:divBdr>
            <w:top w:val="none" w:sz="0" w:space="0" w:color="auto"/>
            <w:left w:val="none" w:sz="0" w:space="0" w:color="auto"/>
            <w:bottom w:val="none" w:sz="0" w:space="0" w:color="auto"/>
            <w:right w:val="none" w:sz="0" w:space="0" w:color="auto"/>
          </w:divBdr>
          <w:divsChild>
            <w:div w:id="2013947210">
              <w:marLeft w:val="0"/>
              <w:marRight w:val="0"/>
              <w:marTop w:val="0"/>
              <w:marBottom w:val="0"/>
              <w:divBdr>
                <w:top w:val="none" w:sz="0" w:space="0" w:color="auto"/>
                <w:left w:val="none" w:sz="0" w:space="0" w:color="auto"/>
                <w:bottom w:val="none" w:sz="0" w:space="0" w:color="auto"/>
                <w:right w:val="none" w:sz="0" w:space="0" w:color="auto"/>
              </w:divBdr>
            </w:div>
          </w:divsChild>
        </w:div>
        <w:div w:id="1560050004">
          <w:marLeft w:val="0"/>
          <w:marRight w:val="0"/>
          <w:marTop w:val="0"/>
          <w:marBottom w:val="0"/>
          <w:divBdr>
            <w:top w:val="none" w:sz="0" w:space="0" w:color="auto"/>
            <w:left w:val="none" w:sz="0" w:space="0" w:color="auto"/>
            <w:bottom w:val="none" w:sz="0" w:space="0" w:color="auto"/>
            <w:right w:val="none" w:sz="0" w:space="0" w:color="auto"/>
          </w:divBdr>
          <w:divsChild>
            <w:div w:id="780339526">
              <w:marLeft w:val="0"/>
              <w:marRight w:val="0"/>
              <w:marTop w:val="0"/>
              <w:marBottom w:val="0"/>
              <w:divBdr>
                <w:top w:val="none" w:sz="0" w:space="0" w:color="auto"/>
                <w:left w:val="none" w:sz="0" w:space="0" w:color="auto"/>
                <w:bottom w:val="none" w:sz="0" w:space="0" w:color="auto"/>
                <w:right w:val="none" w:sz="0" w:space="0" w:color="auto"/>
              </w:divBdr>
            </w:div>
          </w:divsChild>
        </w:div>
        <w:div w:id="1570313024">
          <w:marLeft w:val="0"/>
          <w:marRight w:val="0"/>
          <w:marTop w:val="0"/>
          <w:marBottom w:val="0"/>
          <w:divBdr>
            <w:top w:val="none" w:sz="0" w:space="0" w:color="auto"/>
            <w:left w:val="none" w:sz="0" w:space="0" w:color="auto"/>
            <w:bottom w:val="none" w:sz="0" w:space="0" w:color="auto"/>
            <w:right w:val="none" w:sz="0" w:space="0" w:color="auto"/>
          </w:divBdr>
          <w:divsChild>
            <w:div w:id="166290645">
              <w:marLeft w:val="0"/>
              <w:marRight w:val="0"/>
              <w:marTop w:val="0"/>
              <w:marBottom w:val="0"/>
              <w:divBdr>
                <w:top w:val="none" w:sz="0" w:space="0" w:color="auto"/>
                <w:left w:val="none" w:sz="0" w:space="0" w:color="auto"/>
                <w:bottom w:val="none" w:sz="0" w:space="0" w:color="auto"/>
                <w:right w:val="none" w:sz="0" w:space="0" w:color="auto"/>
              </w:divBdr>
            </w:div>
          </w:divsChild>
        </w:div>
        <w:div w:id="1571311812">
          <w:marLeft w:val="0"/>
          <w:marRight w:val="0"/>
          <w:marTop w:val="0"/>
          <w:marBottom w:val="0"/>
          <w:divBdr>
            <w:top w:val="none" w:sz="0" w:space="0" w:color="auto"/>
            <w:left w:val="none" w:sz="0" w:space="0" w:color="auto"/>
            <w:bottom w:val="none" w:sz="0" w:space="0" w:color="auto"/>
            <w:right w:val="none" w:sz="0" w:space="0" w:color="auto"/>
          </w:divBdr>
          <w:divsChild>
            <w:div w:id="1714841973">
              <w:marLeft w:val="0"/>
              <w:marRight w:val="0"/>
              <w:marTop w:val="0"/>
              <w:marBottom w:val="0"/>
              <w:divBdr>
                <w:top w:val="none" w:sz="0" w:space="0" w:color="auto"/>
                <w:left w:val="none" w:sz="0" w:space="0" w:color="auto"/>
                <w:bottom w:val="none" w:sz="0" w:space="0" w:color="auto"/>
                <w:right w:val="none" w:sz="0" w:space="0" w:color="auto"/>
              </w:divBdr>
            </w:div>
          </w:divsChild>
        </w:div>
        <w:div w:id="1571575297">
          <w:marLeft w:val="0"/>
          <w:marRight w:val="0"/>
          <w:marTop w:val="0"/>
          <w:marBottom w:val="0"/>
          <w:divBdr>
            <w:top w:val="none" w:sz="0" w:space="0" w:color="auto"/>
            <w:left w:val="none" w:sz="0" w:space="0" w:color="auto"/>
            <w:bottom w:val="none" w:sz="0" w:space="0" w:color="auto"/>
            <w:right w:val="none" w:sz="0" w:space="0" w:color="auto"/>
          </w:divBdr>
          <w:divsChild>
            <w:div w:id="111243064">
              <w:marLeft w:val="0"/>
              <w:marRight w:val="0"/>
              <w:marTop w:val="0"/>
              <w:marBottom w:val="0"/>
              <w:divBdr>
                <w:top w:val="none" w:sz="0" w:space="0" w:color="auto"/>
                <w:left w:val="none" w:sz="0" w:space="0" w:color="auto"/>
                <w:bottom w:val="none" w:sz="0" w:space="0" w:color="auto"/>
                <w:right w:val="none" w:sz="0" w:space="0" w:color="auto"/>
              </w:divBdr>
            </w:div>
          </w:divsChild>
        </w:div>
        <w:div w:id="1571884732">
          <w:marLeft w:val="0"/>
          <w:marRight w:val="0"/>
          <w:marTop w:val="0"/>
          <w:marBottom w:val="0"/>
          <w:divBdr>
            <w:top w:val="none" w:sz="0" w:space="0" w:color="auto"/>
            <w:left w:val="none" w:sz="0" w:space="0" w:color="auto"/>
            <w:bottom w:val="none" w:sz="0" w:space="0" w:color="auto"/>
            <w:right w:val="none" w:sz="0" w:space="0" w:color="auto"/>
          </w:divBdr>
          <w:divsChild>
            <w:div w:id="541289378">
              <w:marLeft w:val="0"/>
              <w:marRight w:val="0"/>
              <w:marTop w:val="0"/>
              <w:marBottom w:val="0"/>
              <w:divBdr>
                <w:top w:val="none" w:sz="0" w:space="0" w:color="auto"/>
                <w:left w:val="none" w:sz="0" w:space="0" w:color="auto"/>
                <w:bottom w:val="none" w:sz="0" w:space="0" w:color="auto"/>
                <w:right w:val="none" w:sz="0" w:space="0" w:color="auto"/>
              </w:divBdr>
            </w:div>
          </w:divsChild>
        </w:div>
        <w:div w:id="1575815001">
          <w:marLeft w:val="0"/>
          <w:marRight w:val="0"/>
          <w:marTop w:val="0"/>
          <w:marBottom w:val="0"/>
          <w:divBdr>
            <w:top w:val="none" w:sz="0" w:space="0" w:color="auto"/>
            <w:left w:val="none" w:sz="0" w:space="0" w:color="auto"/>
            <w:bottom w:val="none" w:sz="0" w:space="0" w:color="auto"/>
            <w:right w:val="none" w:sz="0" w:space="0" w:color="auto"/>
          </w:divBdr>
          <w:divsChild>
            <w:div w:id="240801213">
              <w:marLeft w:val="0"/>
              <w:marRight w:val="0"/>
              <w:marTop w:val="0"/>
              <w:marBottom w:val="0"/>
              <w:divBdr>
                <w:top w:val="none" w:sz="0" w:space="0" w:color="auto"/>
                <w:left w:val="none" w:sz="0" w:space="0" w:color="auto"/>
                <w:bottom w:val="none" w:sz="0" w:space="0" w:color="auto"/>
                <w:right w:val="none" w:sz="0" w:space="0" w:color="auto"/>
              </w:divBdr>
            </w:div>
          </w:divsChild>
        </w:div>
        <w:div w:id="1576013588">
          <w:marLeft w:val="0"/>
          <w:marRight w:val="0"/>
          <w:marTop w:val="0"/>
          <w:marBottom w:val="0"/>
          <w:divBdr>
            <w:top w:val="none" w:sz="0" w:space="0" w:color="auto"/>
            <w:left w:val="none" w:sz="0" w:space="0" w:color="auto"/>
            <w:bottom w:val="none" w:sz="0" w:space="0" w:color="auto"/>
            <w:right w:val="none" w:sz="0" w:space="0" w:color="auto"/>
          </w:divBdr>
          <w:divsChild>
            <w:div w:id="481317242">
              <w:marLeft w:val="0"/>
              <w:marRight w:val="0"/>
              <w:marTop w:val="0"/>
              <w:marBottom w:val="0"/>
              <w:divBdr>
                <w:top w:val="none" w:sz="0" w:space="0" w:color="auto"/>
                <w:left w:val="none" w:sz="0" w:space="0" w:color="auto"/>
                <w:bottom w:val="none" w:sz="0" w:space="0" w:color="auto"/>
                <w:right w:val="none" w:sz="0" w:space="0" w:color="auto"/>
              </w:divBdr>
            </w:div>
          </w:divsChild>
        </w:div>
        <w:div w:id="1580291376">
          <w:marLeft w:val="0"/>
          <w:marRight w:val="0"/>
          <w:marTop w:val="0"/>
          <w:marBottom w:val="0"/>
          <w:divBdr>
            <w:top w:val="none" w:sz="0" w:space="0" w:color="auto"/>
            <w:left w:val="none" w:sz="0" w:space="0" w:color="auto"/>
            <w:bottom w:val="none" w:sz="0" w:space="0" w:color="auto"/>
            <w:right w:val="none" w:sz="0" w:space="0" w:color="auto"/>
          </w:divBdr>
          <w:divsChild>
            <w:div w:id="2096122501">
              <w:marLeft w:val="0"/>
              <w:marRight w:val="0"/>
              <w:marTop w:val="0"/>
              <w:marBottom w:val="0"/>
              <w:divBdr>
                <w:top w:val="none" w:sz="0" w:space="0" w:color="auto"/>
                <w:left w:val="none" w:sz="0" w:space="0" w:color="auto"/>
                <w:bottom w:val="none" w:sz="0" w:space="0" w:color="auto"/>
                <w:right w:val="none" w:sz="0" w:space="0" w:color="auto"/>
              </w:divBdr>
            </w:div>
          </w:divsChild>
        </w:div>
        <w:div w:id="1590001276">
          <w:marLeft w:val="0"/>
          <w:marRight w:val="0"/>
          <w:marTop w:val="0"/>
          <w:marBottom w:val="0"/>
          <w:divBdr>
            <w:top w:val="none" w:sz="0" w:space="0" w:color="auto"/>
            <w:left w:val="none" w:sz="0" w:space="0" w:color="auto"/>
            <w:bottom w:val="none" w:sz="0" w:space="0" w:color="auto"/>
            <w:right w:val="none" w:sz="0" w:space="0" w:color="auto"/>
          </w:divBdr>
          <w:divsChild>
            <w:div w:id="1139882721">
              <w:marLeft w:val="0"/>
              <w:marRight w:val="0"/>
              <w:marTop w:val="0"/>
              <w:marBottom w:val="0"/>
              <w:divBdr>
                <w:top w:val="none" w:sz="0" w:space="0" w:color="auto"/>
                <w:left w:val="none" w:sz="0" w:space="0" w:color="auto"/>
                <w:bottom w:val="none" w:sz="0" w:space="0" w:color="auto"/>
                <w:right w:val="none" w:sz="0" w:space="0" w:color="auto"/>
              </w:divBdr>
            </w:div>
          </w:divsChild>
        </w:div>
        <w:div w:id="1594705449">
          <w:marLeft w:val="0"/>
          <w:marRight w:val="0"/>
          <w:marTop w:val="0"/>
          <w:marBottom w:val="0"/>
          <w:divBdr>
            <w:top w:val="none" w:sz="0" w:space="0" w:color="auto"/>
            <w:left w:val="none" w:sz="0" w:space="0" w:color="auto"/>
            <w:bottom w:val="none" w:sz="0" w:space="0" w:color="auto"/>
            <w:right w:val="none" w:sz="0" w:space="0" w:color="auto"/>
          </w:divBdr>
          <w:divsChild>
            <w:div w:id="931472225">
              <w:marLeft w:val="0"/>
              <w:marRight w:val="0"/>
              <w:marTop w:val="0"/>
              <w:marBottom w:val="0"/>
              <w:divBdr>
                <w:top w:val="none" w:sz="0" w:space="0" w:color="auto"/>
                <w:left w:val="none" w:sz="0" w:space="0" w:color="auto"/>
                <w:bottom w:val="none" w:sz="0" w:space="0" w:color="auto"/>
                <w:right w:val="none" w:sz="0" w:space="0" w:color="auto"/>
              </w:divBdr>
            </w:div>
          </w:divsChild>
        </w:div>
        <w:div w:id="1603225197">
          <w:marLeft w:val="0"/>
          <w:marRight w:val="0"/>
          <w:marTop w:val="0"/>
          <w:marBottom w:val="0"/>
          <w:divBdr>
            <w:top w:val="none" w:sz="0" w:space="0" w:color="auto"/>
            <w:left w:val="none" w:sz="0" w:space="0" w:color="auto"/>
            <w:bottom w:val="none" w:sz="0" w:space="0" w:color="auto"/>
            <w:right w:val="none" w:sz="0" w:space="0" w:color="auto"/>
          </w:divBdr>
          <w:divsChild>
            <w:div w:id="2128698987">
              <w:marLeft w:val="0"/>
              <w:marRight w:val="0"/>
              <w:marTop w:val="0"/>
              <w:marBottom w:val="0"/>
              <w:divBdr>
                <w:top w:val="none" w:sz="0" w:space="0" w:color="auto"/>
                <w:left w:val="none" w:sz="0" w:space="0" w:color="auto"/>
                <w:bottom w:val="none" w:sz="0" w:space="0" w:color="auto"/>
                <w:right w:val="none" w:sz="0" w:space="0" w:color="auto"/>
              </w:divBdr>
            </w:div>
          </w:divsChild>
        </w:div>
        <w:div w:id="1606687350">
          <w:marLeft w:val="0"/>
          <w:marRight w:val="0"/>
          <w:marTop w:val="0"/>
          <w:marBottom w:val="0"/>
          <w:divBdr>
            <w:top w:val="none" w:sz="0" w:space="0" w:color="auto"/>
            <w:left w:val="none" w:sz="0" w:space="0" w:color="auto"/>
            <w:bottom w:val="none" w:sz="0" w:space="0" w:color="auto"/>
            <w:right w:val="none" w:sz="0" w:space="0" w:color="auto"/>
          </w:divBdr>
          <w:divsChild>
            <w:div w:id="974330634">
              <w:marLeft w:val="0"/>
              <w:marRight w:val="0"/>
              <w:marTop w:val="0"/>
              <w:marBottom w:val="0"/>
              <w:divBdr>
                <w:top w:val="none" w:sz="0" w:space="0" w:color="auto"/>
                <w:left w:val="none" w:sz="0" w:space="0" w:color="auto"/>
                <w:bottom w:val="none" w:sz="0" w:space="0" w:color="auto"/>
                <w:right w:val="none" w:sz="0" w:space="0" w:color="auto"/>
              </w:divBdr>
            </w:div>
          </w:divsChild>
        </w:div>
        <w:div w:id="1613246176">
          <w:marLeft w:val="0"/>
          <w:marRight w:val="0"/>
          <w:marTop w:val="0"/>
          <w:marBottom w:val="0"/>
          <w:divBdr>
            <w:top w:val="none" w:sz="0" w:space="0" w:color="auto"/>
            <w:left w:val="none" w:sz="0" w:space="0" w:color="auto"/>
            <w:bottom w:val="none" w:sz="0" w:space="0" w:color="auto"/>
            <w:right w:val="none" w:sz="0" w:space="0" w:color="auto"/>
          </w:divBdr>
          <w:divsChild>
            <w:div w:id="733046170">
              <w:marLeft w:val="0"/>
              <w:marRight w:val="0"/>
              <w:marTop w:val="0"/>
              <w:marBottom w:val="0"/>
              <w:divBdr>
                <w:top w:val="none" w:sz="0" w:space="0" w:color="auto"/>
                <w:left w:val="none" w:sz="0" w:space="0" w:color="auto"/>
                <w:bottom w:val="none" w:sz="0" w:space="0" w:color="auto"/>
                <w:right w:val="none" w:sz="0" w:space="0" w:color="auto"/>
              </w:divBdr>
            </w:div>
          </w:divsChild>
        </w:div>
        <w:div w:id="1614550507">
          <w:marLeft w:val="0"/>
          <w:marRight w:val="0"/>
          <w:marTop w:val="0"/>
          <w:marBottom w:val="0"/>
          <w:divBdr>
            <w:top w:val="none" w:sz="0" w:space="0" w:color="auto"/>
            <w:left w:val="none" w:sz="0" w:space="0" w:color="auto"/>
            <w:bottom w:val="none" w:sz="0" w:space="0" w:color="auto"/>
            <w:right w:val="none" w:sz="0" w:space="0" w:color="auto"/>
          </w:divBdr>
          <w:divsChild>
            <w:div w:id="1926915141">
              <w:marLeft w:val="0"/>
              <w:marRight w:val="0"/>
              <w:marTop w:val="0"/>
              <w:marBottom w:val="0"/>
              <w:divBdr>
                <w:top w:val="none" w:sz="0" w:space="0" w:color="auto"/>
                <w:left w:val="none" w:sz="0" w:space="0" w:color="auto"/>
                <w:bottom w:val="none" w:sz="0" w:space="0" w:color="auto"/>
                <w:right w:val="none" w:sz="0" w:space="0" w:color="auto"/>
              </w:divBdr>
            </w:div>
          </w:divsChild>
        </w:div>
        <w:div w:id="1633365418">
          <w:marLeft w:val="0"/>
          <w:marRight w:val="0"/>
          <w:marTop w:val="0"/>
          <w:marBottom w:val="0"/>
          <w:divBdr>
            <w:top w:val="none" w:sz="0" w:space="0" w:color="auto"/>
            <w:left w:val="none" w:sz="0" w:space="0" w:color="auto"/>
            <w:bottom w:val="none" w:sz="0" w:space="0" w:color="auto"/>
            <w:right w:val="none" w:sz="0" w:space="0" w:color="auto"/>
          </w:divBdr>
          <w:divsChild>
            <w:div w:id="718630802">
              <w:marLeft w:val="0"/>
              <w:marRight w:val="0"/>
              <w:marTop w:val="0"/>
              <w:marBottom w:val="0"/>
              <w:divBdr>
                <w:top w:val="none" w:sz="0" w:space="0" w:color="auto"/>
                <w:left w:val="none" w:sz="0" w:space="0" w:color="auto"/>
                <w:bottom w:val="none" w:sz="0" w:space="0" w:color="auto"/>
                <w:right w:val="none" w:sz="0" w:space="0" w:color="auto"/>
              </w:divBdr>
            </w:div>
          </w:divsChild>
        </w:div>
        <w:div w:id="1637296698">
          <w:marLeft w:val="0"/>
          <w:marRight w:val="0"/>
          <w:marTop w:val="0"/>
          <w:marBottom w:val="0"/>
          <w:divBdr>
            <w:top w:val="none" w:sz="0" w:space="0" w:color="auto"/>
            <w:left w:val="none" w:sz="0" w:space="0" w:color="auto"/>
            <w:bottom w:val="none" w:sz="0" w:space="0" w:color="auto"/>
            <w:right w:val="none" w:sz="0" w:space="0" w:color="auto"/>
          </w:divBdr>
          <w:divsChild>
            <w:div w:id="85923233">
              <w:marLeft w:val="0"/>
              <w:marRight w:val="0"/>
              <w:marTop w:val="0"/>
              <w:marBottom w:val="0"/>
              <w:divBdr>
                <w:top w:val="none" w:sz="0" w:space="0" w:color="auto"/>
                <w:left w:val="none" w:sz="0" w:space="0" w:color="auto"/>
                <w:bottom w:val="none" w:sz="0" w:space="0" w:color="auto"/>
                <w:right w:val="none" w:sz="0" w:space="0" w:color="auto"/>
              </w:divBdr>
            </w:div>
          </w:divsChild>
        </w:div>
        <w:div w:id="1656766105">
          <w:marLeft w:val="0"/>
          <w:marRight w:val="0"/>
          <w:marTop w:val="0"/>
          <w:marBottom w:val="0"/>
          <w:divBdr>
            <w:top w:val="none" w:sz="0" w:space="0" w:color="auto"/>
            <w:left w:val="none" w:sz="0" w:space="0" w:color="auto"/>
            <w:bottom w:val="none" w:sz="0" w:space="0" w:color="auto"/>
            <w:right w:val="none" w:sz="0" w:space="0" w:color="auto"/>
          </w:divBdr>
          <w:divsChild>
            <w:div w:id="532037455">
              <w:marLeft w:val="0"/>
              <w:marRight w:val="0"/>
              <w:marTop w:val="0"/>
              <w:marBottom w:val="0"/>
              <w:divBdr>
                <w:top w:val="none" w:sz="0" w:space="0" w:color="auto"/>
                <w:left w:val="none" w:sz="0" w:space="0" w:color="auto"/>
                <w:bottom w:val="none" w:sz="0" w:space="0" w:color="auto"/>
                <w:right w:val="none" w:sz="0" w:space="0" w:color="auto"/>
              </w:divBdr>
            </w:div>
          </w:divsChild>
        </w:div>
        <w:div w:id="1659075076">
          <w:marLeft w:val="0"/>
          <w:marRight w:val="0"/>
          <w:marTop w:val="0"/>
          <w:marBottom w:val="0"/>
          <w:divBdr>
            <w:top w:val="none" w:sz="0" w:space="0" w:color="auto"/>
            <w:left w:val="none" w:sz="0" w:space="0" w:color="auto"/>
            <w:bottom w:val="none" w:sz="0" w:space="0" w:color="auto"/>
            <w:right w:val="none" w:sz="0" w:space="0" w:color="auto"/>
          </w:divBdr>
          <w:divsChild>
            <w:div w:id="889804879">
              <w:marLeft w:val="0"/>
              <w:marRight w:val="0"/>
              <w:marTop w:val="0"/>
              <w:marBottom w:val="0"/>
              <w:divBdr>
                <w:top w:val="none" w:sz="0" w:space="0" w:color="auto"/>
                <w:left w:val="none" w:sz="0" w:space="0" w:color="auto"/>
                <w:bottom w:val="none" w:sz="0" w:space="0" w:color="auto"/>
                <w:right w:val="none" w:sz="0" w:space="0" w:color="auto"/>
              </w:divBdr>
            </w:div>
          </w:divsChild>
        </w:div>
        <w:div w:id="1660647459">
          <w:marLeft w:val="0"/>
          <w:marRight w:val="0"/>
          <w:marTop w:val="0"/>
          <w:marBottom w:val="0"/>
          <w:divBdr>
            <w:top w:val="none" w:sz="0" w:space="0" w:color="auto"/>
            <w:left w:val="none" w:sz="0" w:space="0" w:color="auto"/>
            <w:bottom w:val="none" w:sz="0" w:space="0" w:color="auto"/>
            <w:right w:val="none" w:sz="0" w:space="0" w:color="auto"/>
          </w:divBdr>
          <w:divsChild>
            <w:div w:id="1847668488">
              <w:marLeft w:val="0"/>
              <w:marRight w:val="0"/>
              <w:marTop w:val="0"/>
              <w:marBottom w:val="0"/>
              <w:divBdr>
                <w:top w:val="none" w:sz="0" w:space="0" w:color="auto"/>
                <w:left w:val="none" w:sz="0" w:space="0" w:color="auto"/>
                <w:bottom w:val="none" w:sz="0" w:space="0" w:color="auto"/>
                <w:right w:val="none" w:sz="0" w:space="0" w:color="auto"/>
              </w:divBdr>
            </w:div>
          </w:divsChild>
        </w:div>
        <w:div w:id="1667367751">
          <w:marLeft w:val="0"/>
          <w:marRight w:val="0"/>
          <w:marTop w:val="0"/>
          <w:marBottom w:val="0"/>
          <w:divBdr>
            <w:top w:val="none" w:sz="0" w:space="0" w:color="auto"/>
            <w:left w:val="none" w:sz="0" w:space="0" w:color="auto"/>
            <w:bottom w:val="none" w:sz="0" w:space="0" w:color="auto"/>
            <w:right w:val="none" w:sz="0" w:space="0" w:color="auto"/>
          </w:divBdr>
          <w:divsChild>
            <w:div w:id="193151710">
              <w:marLeft w:val="0"/>
              <w:marRight w:val="0"/>
              <w:marTop w:val="0"/>
              <w:marBottom w:val="0"/>
              <w:divBdr>
                <w:top w:val="none" w:sz="0" w:space="0" w:color="auto"/>
                <w:left w:val="none" w:sz="0" w:space="0" w:color="auto"/>
                <w:bottom w:val="none" w:sz="0" w:space="0" w:color="auto"/>
                <w:right w:val="none" w:sz="0" w:space="0" w:color="auto"/>
              </w:divBdr>
            </w:div>
          </w:divsChild>
        </w:div>
        <w:div w:id="1674410838">
          <w:marLeft w:val="0"/>
          <w:marRight w:val="0"/>
          <w:marTop w:val="0"/>
          <w:marBottom w:val="0"/>
          <w:divBdr>
            <w:top w:val="none" w:sz="0" w:space="0" w:color="auto"/>
            <w:left w:val="none" w:sz="0" w:space="0" w:color="auto"/>
            <w:bottom w:val="none" w:sz="0" w:space="0" w:color="auto"/>
            <w:right w:val="none" w:sz="0" w:space="0" w:color="auto"/>
          </w:divBdr>
          <w:divsChild>
            <w:div w:id="1741246455">
              <w:marLeft w:val="0"/>
              <w:marRight w:val="0"/>
              <w:marTop w:val="0"/>
              <w:marBottom w:val="0"/>
              <w:divBdr>
                <w:top w:val="none" w:sz="0" w:space="0" w:color="auto"/>
                <w:left w:val="none" w:sz="0" w:space="0" w:color="auto"/>
                <w:bottom w:val="none" w:sz="0" w:space="0" w:color="auto"/>
                <w:right w:val="none" w:sz="0" w:space="0" w:color="auto"/>
              </w:divBdr>
            </w:div>
          </w:divsChild>
        </w:div>
        <w:div w:id="1695378475">
          <w:marLeft w:val="0"/>
          <w:marRight w:val="0"/>
          <w:marTop w:val="0"/>
          <w:marBottom w:val="0"/>
          <w:divBdr>
            <w:top w:val="none" w:sz="0" w:space="0" w:color="auto"/>
            <w:left w:val="none" w:sz="0" w:space="0" w:color="auto"/>
            <w:bottom w:val="none" w:sz="0" w:space="0" w:color="auto"/>
            <w:right w:val="none" w:sz="0" w:space="0" w:color="auto"/>
          </w:divBdr>
          <w:divsChild>
            <w:div w:id="32460888">
              <w:marLeft w:val="0"/>
              <w:marRight w:val="0"/>
              <w:marTop w:val="0"/>
              <w:marBottom w:val="0"/>
              <w:divBdr>
                <w:top w:val="none" w:sz="0" w:space="0" w:color="auto"/>
                <w:left w:val="none" w:sz="0" w:space="0" w:color="auto"/>
                <w:bottom w:val="none" w:sz="0" w:space="0" w:color="auto"/>
                <w:right w:val="none" w:sz="0" w:space="0" w:color="auto"/>
              </w:divBdr>
            </w:div>
          </w:divsChild>
        </w:div>
        <w:div w:id="1699577722">
          <w:marLeft w:val="0"/>
          <w:marRight w:val="0"/>
          <w:marTop w:val="0"/>
          <w:marBottom w:val="0"/>
          <w:divBdr>
            <w:top w:val="none" w:sz="0" w:space="0" w:color="auto"/>
            <w:left w:val="none" w:sz="0" w:space="0" w:color="auto"/>
            <w:bottom w:val="none" w:sz="0" w:space="0" w:color="auto"/>
            <w:right w:val="none" w:sz="0" w:space="0" w:color="auto"/>
          </w:divBdr>
          <w:divsChild>
            <w:div w:id="3359775">
              <w:marLeft w:val="0"/>
              <w:marRight w:val="0"/>
              <w:marTop w:val="0"/>
              <w:marBottom w:val="0"/>
              <w:divBdr>
                <w:top w:val="none" w:sz="0" w:space="0" w:color="auto"/>
                <w:left w:val="none" w:sz="0" w:space="0" w:color="auto"/>
                <w:bottom w:val="none" w:sz="0" w:space="0" w:color="auto"/>
                <w:right w:val="none" w:sz="0" w:space="0" w:color="auto"/>
              </w:divBdr>
            </w:div>
          </w:divsChild>
        </w:div>
        <w:div w:id="1713994353">
          <w:marLeft w:val="0"/>
          <w:marRight w:val="0"/>
          <w:marTop w:val="0"/>
          <w:marBottom w:val="0"/>
          <w:divBdr>
            <w:top w:val="none" w:sz="0" w:space="0" w:color="auto"/>
            <w:left w:val="none" w:sz="0" w:space="0" w:color="auto"/>
            <w:bottom w:val="none" w:sz="0" w:space="0" w:color="auto"/>
            <w:right w:val="none" w:sz="0" w:space="0" w:color="auto"/>
          </w:divBdr>
          <w:divsChild>
            <w:div w:id="1292712093">
              <w:marLeft w:val="0"/>
              <w:marRight w:val="0"/>
              <w:marTop w:val="0"/>
              <w:marBottom w:val="0"/>
              <w:divBdr>
                <w:top w:val="none" w:sz="0" w:space="0" w:color="auto"/>
                <w:left w:val="none" w:sz="0" w:space="0" w:color="auto"/>
                <w:bottom w:val="none" w:sz="0" w:space="0" w:color="auto"/>
                <w:right w:val="none" w:sz="0" w:space="0" w:color="auto"/>
              </w:divBdr>
            </w:div>
          </w:divsChild>
        </w:div>
        <w:div w:id="1719041513">
          <w:marLeft w:val="0"/>
          <w:marRight w:val="0"/>
          <w:marTop w:val="0"/>
          <w:marBottom w:val="0"/>
          <w:divBdr>
            <w:top w:val="none" w:sz="0" w:space="0" w:color="auto"/>
            <w:left w:val="none" w:sz="0" w:space="0" w:color="auto"/>
            <w:bottom w:val="none" w:sz="0" w:space="0" w:color="auto"/>
            <w:right w:val="none" w:sz="0" w:space="0" w:color="auto"/>
          </w:divBdr>
          <w:divsChild>
            <w:div w:id="1450587813">
              <w:marLeft w:val="0"/>
              <w:marRight w:val="0"/>
              <w:marTop w:val="0"/>
              <w:marBottom w:val="0"/>
              <w:divBdr>
                <w:top w:val="none" w:sz="0" w:space="0" w:color="auto"/>
                <w:left w:val="none" w:sz="0" w:space="0" w:color="auto"/>
                <w:bottom w:val="none" w:sz="0" w:space="0" w:color="auto"/>
                <w:right w:val="none" w:sz="0" w:space="0" w:color="auto"/>
              </w:divBdr>
            </w:div>
          </w:divsChild>
        </w:div>
        <w:div w:id="1728215418">
          <w:marLeft w:val="0"/>
          <w:marRight w:val="0"/>
          <w:marTop w:val="0"/>
          <w:marBottom w:val="0"/>
          <w:divBdr>
            <w:top w:val="none" w:sz="0" w:space="0" w:color="auto"/>
            <w:left w:val="none" w:sz="0" w:space="0" w:color="auto"/>
            <w:bottom w:val="none" w:sz="0" w:space="0" w:color="auto"/>
            <w:right w:val="none" w:sz="0" w:space="0" w:color="auto"/>
          </w:divBdr>
          <w:divsChild>
            <w:div w:id="293802178">
              <w:marLeft w:val="0"/>
              <w:marRight w:val="0"/>
              <w:marTop w:val="0"/>
              <w:marBottom w:val="0"/>
              <w:divBdr>
                <w:top w:val="none" w:sz="0" w:space="0" w:color="auto"/>
                <w:left w:val="none" w:sz="0" w:space="0" w:color="auto"/>
                <w:bottom w:val="none" w:sz="0" w:space="0" w:color="auto"/>
                <w:right w:val="none" w:sz="0" w:space="0" w:color="auto"/>
              </w:divBdr>
            </w:div>
          </w:divsChild>
        </w:div>
        <w:div w:id="1730613088">
          <w:marLeft w:val="0"/>
          <w:marRight w:val="0"/>
          <w:marTop w:val="0"/>
          <w:marBottom w:val="0"/>
          <w:divBdr>
            <w:top w:val="none" w:sz="0" w:space="0" w:color="auto"/>
            <w:left w:val="none" w:sz="0" w:space="0" w:color="auto"/>
            <w:bottom w:val="none" w:sz="0" w:space="0" w:color="auto"/>
            <w:right w:val="none" w:sz="0" w:space="0" w:color="auto"/>
          </w:divBdr>
          <w:divsChild>
            <w:div w:id="901477230">
              <w:marLeft w:val="0"/>
              <w:marRight w:val="0"/>
              <w:marTop w:val="0"/>
              <w:marBottom w:val="0"/>
              <w:divBdr>
                <w:top w:val="none" w:sz="0" w:space="0" w:color="auto"/>
                <w:left w:val="none" w:sz="0" w:space="0" w:color="auto"/>
                <w:bottom w:val="none" w:sz="0" w:space="0" w:color="auto"/>
                <w:right w:val="none" w:sz="0" w:space="0" w:color="auto"/>
              </w:divBdr>
            </w:div>
          </w:divsChild>
        </w:div>
        <w:div w:id="1754887934">
          <w:marLeft w:val="0"/>
          <w:marRight w:val="0"/>
          <w:marTop w:val="0"/>
          <w:marBottom w:val="0"/>
          <w:divBdr>
            <w:top w:val="none" w:sz="0" w:space="0" w:color="auto"/>
            <w:left w:val="none" w:sz="0" w:space="0" w:color="auto"/>
            <w:bottom w:val="none" w:sz="0" w:space="0" w:color="auto"/>
            <w:right w:val="none" w:sz="0" w:space="0" w:color="auto"/>
          </w:divBdr>
          <w:divsChild>
            <w:div w:id="1334915452">
              <w:marLeft w:val="0"/>
              <w:marRight w:val="0"/>
              <w:marTop w:val="0"/>
              <w:marBottom w:val="0"/>
              <w:divBdr>
                <w:top w:val="none" w:sz="0" w:space="0" w:color="auto"/>
                <w:left w:val="none" w:sz="0" w:space="0" w:color="auto"/>
                <w:bottom w:val="none" w:sz="0" w:space="0" w:color="auto"/>
                <w:right w:val="none" w:sz="0" w:space="0" w:color="auto"/>
              </w:divBdr>
            </w:div>
          </w:divsChild>
        </w:div>
        <w:div w:id="1762027442">
          <w:marLeft w:val="0"/>
          <w:marRight w:val="0"/>
          <w:marTop w:val="0"/>
          <w:marBottom w:val="0"/>
          <w:divBdr>
            <w:top w:val="none" w:sz="0" w:space="0" w:color="auto"/>
            <w:left w:val="none" w:sz="0" w:space="0" w:color="auto"/>
            <w:bottom w:val="none" w:sz="0" w:space="0" w:color="auto"/>
            <w:right w:val="none" w:sz="0" w:space="0" w:color="auto"/>
          </w:divBdr>
          <w:divsChild>
            <w:div w:id="386105109">
              <w:marLeft w:val="0"/>
              <w:marRight w:val="0"/>
              <w:marTop w:val="0"/>
              <w:marBottom w:val="0"/>
              <w:divBdr>
                <w:top w:val="none" w:sz="0" w:space="0" w:color="auto"/>
                <w:left w:val="none" w:sz="0" w:space="0" w:color="auto"/>
                <w:bottom w:val="none" w:sz="0" w:space="0" w:color="auto"/>
                <w:right w:val="none" w:sz="0" w:space="0" w:color="auto"/>
              </w:divBdr>
            </w:div>
          </w:divsChild>
        </w:div>
        <w:div w:id="1769696777">
          <w:marLeft w:val="0"/>
          <w:marRight w:val="0"/>
          <w:marTop w:val="0"/>
          <w:marBottom w:val="0"/>
          <w:divBdr>
            <w:top w:val="none" w:sz="0" w:space="0" w:color="auto"/>
            <w:left w:val="none" w:sz="0" w:space="0" w:color="auto"/>
            <w:bottom w:val="none" w:sz="0" w:space="0" w:color="auto"/>
            <w:right w:val="none" w:sz="0" w:space="0" w:color="auto"/>
          </w:divBdr>
          <w:divsChild>
            <w:div w:id="565576567">
              <w:marLeft w:val="0"/>
              <w:marRight w:val="0"/>
              <w:marTop w:val="0"/>
              <w:marBottom w:val="0"/>
              <w:divBdr>
                <w:top w:val="none" w:sz="0" w:space="0" w:color="auto"/>
                <w:left w:val="none" w:sz="0" w:space="0" w:color="auto"/>
                <w:bottom w:val="none" w:sz="0" w:space="0" w:color="auto"/>
                <w:right w:val="none" w:sz="0" w:space="0" w:color="auto"/>
              </w:divBdr>
            </w:div>
          </w:divsChild>
        </w:div>
        <w:div w:id="1769891286">
          <w:marLeft w:val="0"/>
          <w:marRight w:val="0"/>
          <w:marTop w:val="0"/>
          <w:marBottom w:val="0"/>
          <w:divBdr>
            <w:top w:val="none" w:sz="0" w:space="0" w:color="auto"/>
            <w:left w:val="none" w:sz="0" w:space="0" w:color="auto"/>
            <w:bottom w:val="none" w:sz="0" w:space="0" w:color="auto"/>
            <w:right w:val="none" w:sz="0" w:space="0" w:color="auto"/>
          </w:divBdr>
          <w:divsChild>
            <w:div w:id="1586455849">
              <w:marLeft w:val="0"/>
              <w:marRight w:val="0"/>
              <w:marTop w:val="0"/>
              <w:marBottom w:val="0"/>
              <w:divBdr>
                <w:top w:val="none" w:sz="0" w:space="0" w:color="auto"/>
                <w:left w:val="none" w:sz="0" w:space="0" w:color="auto"/>
                <w:bottom w:val="none" w:sz="0" w:space="0" w:color="auto"/>
                <w:right w:val="none" w:sz="0" w:space="0" w:color="auto"/>
              </w:divBdr>
            </w:div>
          </w:divsChild>
        </w:div>
        <w:div w:id="1791704697">
          <w:marLeft w:val="0"/>
          <w:marRight w:val="0"/>
          <w:marTop w:val="0"/>
          <w:marBottom w:val="0"/>
          <w:divBdr>
            <w:top w:val="none" w:sz="0" w:space="0" w:color="auto"/>
            <w:left w:val="none" w:sz="0" w:space="0" w:color="auto"/>
            <w:bottom w:val="none" w:sz="0" w:space="0" w:color="auto"/>
            <w:right w:val="none" w:sz="0" w:space="0" w:color="auto"/>
          </w:divBdr>
          <w:divsChild>
            <w:div w:id="1704867877">
              <w:marLeft w:val="0"/>
              <w:marRight w:val="0"/>
              <w:marTop w:val="0"/>
              <w:marBottom w:val="0"/>
              <w:divBdr>
                <w:top w:val="none" w:sz="0" w:space="0" w:color="auto"/>
                <w:left w:val="none" w:sz="0" w:space="0" w:color="auto"/>
                <w:bottom w:val="none" w:sz="0" w:space="0" w:color="auto"/>
                <w:right w:val="none" w:sz="0" w:space="0" w:color="auto"/>
              </w:divBdr>
            </w:div>
          </w:divsChild>
        </w:div>
        <w:div w:id="1796635853">
          <w:marLeft w:val="0"/>
          <w:marRight w:val="0"/>
          <w:marTop w:val="0"/>
          <w:marBottom w:val="0"/>
          <w:divBdr>
            <w:top w:val="none" w:sz="0" w:space="0" w:color="auto"/>
            <w:left w:val="none" w:sz="0" w:space="0" w:color="auto"/>
            <w:bottom w:val="none" w:sz="0" w:space="0" w:color="auto"/>
            <w:right w:val="none" w:sz="0" w:space="0" w:color="auto"/>
          </w:divBdr>
          <w:divsChild>
            <w:div w:id="1412044427">
              <w:marLeft w:val="0"/>
              <w:marRight w:val="0"/>
              <w:marTop w:val="0"/>
              <w:marBottom w:val="0"/>
              <w:divBdr>
                <w:top w:val="none" w:sz="0" w:space="0" w:color="auto"/>
                <w:left w:val="none" w:sz="0" w:space="0" w:color="auto"/>
                <w:bottom w:val="none" w:sz="0" w:space="0" w:color="auto"/>
                <w:right w:val="none" w:sz="0" w:space="0" w:color="auto"/>
              </w:divBdr>
            </w:div>
          </w:divsChild>
        </w:div>
        <w:div w:id="1801652822">
          <w:marLeft w:val="0"/>
          <w:marRight w:val="0"/>
          <w:marTop w:val="0"/>
          <w:marBottom w:val="0"/>
          <w:divBdr>
            <w:top w:val="none" w:sz="0" w:space="0" w:color="auto"/>
            <w:left w:val="none" w:sz="0" w:space="0" w:color="auto"/>
            <w:bottom w:val="none" w:sz="0" w:space="0" w:color="auto"/>
            <w:right w:val="none" w:sz="0" w:space="0" w:color="auto"/>
          </w:divBdr>
          <w:divsChild>
            <w:div w:id="455949162">
              <w:marLeft w:val="0"/>
              <w:marRight w:val="0"/>
              <w:marTop w:val="0"/>
              <w:marBottom w:val="0"/>
              <w:divBdr>
                <w:top w:val="none" w:sz="0" w:space="0" w:color="auto"/>
                <w:left w:val="none" w:sz="0" w:space="0" w:color="auto"/>
                <w:bottom w:val="none" w:sz="0" w:space="0" w:color="auto"/>
                <w:right w:val="none" w:sz="0" w:space="0" w:color="auto"/>
              </w:divBdr>
            </w:div>
          </w:divsChild>
        </w:div>
        <w:div w:id="1805195990">
          <w:marLeft w:val="0"/>
          <w:marRight w:val="0"/>
          <w:marTop w:val="0"/>
          <w:marBottom w:val="0"/>
          <w:divBdr>
            <w:top w:val="none" w:sz="0" w:space="0" w:color="auto"/>
            <w:left w:val="none" w:sz="0" w:space="0" w:color="auto"/>
            <w:bottom w:val="none" w:sz="0" w:space="0" w:color="auto"/>
            <w:right w:val="none" w:sz="0" w:space="0" w:color="auto"/>
          </w:divBdr>
          <w:divsChild>
            <w:div w:id="1111247543">
              <w:marLeft w:val="0"/>
              <w:marRight w:val="0"/>
              <w:marTop w:val="0"/>
              <w:marBottom w:val="0"/>
              <w:divBdr>
                <w:top w:val="none" w:sz="0" w:space="0" w:color="auto"/>
                <w:left w:val="none" w:sz="0" w:space="0" w:color="auto"/>
                <w:bottom w:val="none" w:sz="0" w:space="0" w:color="auto"/>
                <w:right w:val="none" w:sz="0" w:space="0" w:color="auto"/>
              </w:divBdr>
            </w:div>
          </w:divsChild>
        </w:div>
        <w:div w:id="1807117941">
          <w:marLeft w:val="0"/>
          <w:marRight w:val="0"/>
          <w:marTop w:val="0"/>
          <w:marBottom w:val="0"/>
          <w:divBdr>
            <w:top w:val="none" w:sz="0" w:space="0" w:color="auto"/>
            <w:left w:val="none" w:sz="0" w:space="0" w:color="auto"/>
            <w:bottom w:val="none" w:sz="0" w:space="0" w:color="auto"/>
            <w:right w:val="none" w:sz="0" w:space="0" w:color="auto"/>
          </w:divBdr>
          <w:divsChild>
            <w:div w:id="346323319">
              <w:marLeft w:val="0"/>
              <w:marRight w:val="0"/>
              <w:marTop w:val="0"/>
              <w:marBottom w:val="0"/>
              <w:divBdr>
                <w:top w:val="none" w:sz="0" w:space="0" w:color="auto"/>
                <w:left w:val="none" w:sz="0" w:space="0" w:color="auto"/>
                <w:bottom w:val="none" w:sz="0" w:space="0" w:color="auto"/>
                <w:right w:val="none" w:sz="0" w:space="0" w:color="auto"/>
              </w:divBdr>
            </w:div>
          </w:divsChild>
        </w:div>
        <w:div w:id="1810975431">
          <w:marLeft w:val="0"/>
          <w:marRight w:val="0"/>
          <w:marTop w:val="0"/>
          <w:marBottom w:val="0"/>
          <w:divBdr>
            <w:top w:val="none" w:sz="0" w:space="0" w:color="auto"/>
            <w:left w:val="none" w:sz="0" w:space="0" w:color="auto"/>
            <w:bottom w:val="none" w:sz="0" w:space="0" w:color="auto"/>
            <w:right w:val="none" w:sz="0" w:space="0" w:color="auto"/>
          </w:divBdr>
          <w:divsChild>
            <w:div w:id="1421025812">
              <w:marLeft w:val="0"/>
              <w:marRight w:val="0"/>
              <w:marTop w:val="0"/>
              <w:marBottom w:val="0"/>
              <w:divBdr>
                <w:top w:val="none" w:sz="0" w:space="0" w:color="auto"/>
                <w:left w:val="none" w:sz="0" w:space="0" w:color="auto"/>
                <w:bottom w:val="none" w:sz="0" w:space="0" w:color="auto"/>
                <w:right w:val="none" w:sz="0" w:space="0" w:color="auto"/>
              </w:divBdr>
            </w:div>
          </w:divsChild>
        </w:div>
        <w:div w:id="1825704347">
          <w:marLeft w:val="0"/>
          <w:marRight w:val="0"/>
          <w:marTop w:val="0"/>
          <w:marBottom w:val="0"/>
          <w:divBdr>
            <w:top w:val="none" w:sz="0" w:space="0" w:color="auto"/>
            <w:left w:val="none" w:sz="0" w:space="0" w:color="auto"/>
            <w:bottom w:val="none" w:sz="0" w:space="0" w:color="auto"/>
            <w:right w:val="none" w:sz="0" w:space="0" w:color="auto"/>
          </w:divBdr>
          <w:divsChild>
            <w:div w:id="1475173819">
              <w:marLeft w:val="0"/>
              <w:marRight w:val="0"/>
              <w:marTop w:val="0"/>
              <w:marBottom w:val="0"/>
              <w:divBdr>
                <w:top w:val="none" w:sz="0" w:space="0" w:color="auto"/>
                <w:left w:val="none" w:sz="0" w:space="0" w:color="auto"/>
                <w:bottom w:val="none" w:sz="0" w:space="0" w:color="auto"/>
                <w:right w:val="none" w:sz="0" w:space="0" w:color="auto"/>
              </w:divBdr>
            </w:div>
          </w:divsChild>
        </w:div>
        <w:div w:id="1838302435">
          <w:marLeft w:val="0"/>
          <w:marRight w:val="0"/>
          <w:marTop w:val="0"/>
          <w:marBottom w:val="0"/>
          <w:divBdr>
            <w:top w:val="none" w:sz="0" w:space="0" w:color="auto"/>
            <w:left w:val="none" w:sz="0" w:space="0" w:color="auto"/>
            <w:bottom w:val="none" w:sz="0" w:space="0" w:color="auto"/>
            <w:right w:val="none" w:sz="0" w:space="0" w:color="auto"/>
          </w:divBdr>
          <w:divsChild>
            <w:div w:id="67654454">
              <w:marLeft w:val="0"/>
              <w:marRight w:val="0"/>
              <w:marTop w:val="0"/>
              <w:marBottom w:val="0"/>
              <w:divBdr>
                <w:top w:val="none" w:sz="0" w:space="0" w:color="auto"/>
                <w:left w:val="none" w:sz="0" w:space="0" w:color="auto"/>
                <w:bottom w:val="none" w:sz="0" w:space="0" w:color="auto"/>
                <w:right w:val="none" w:sz="0" w:space="0" w:color="auto"/>
              </w:divBdr>
            </w:div>
          </w:divsChild>
        </w:div>
        <w:div w:id="1859001843">
          <w:marLeft w:val="0"/>
          <w:marRight w:val="0"/>
          <w:marTop w:val="0"/>
          <w:marBottom w:val="0"/>
          <w:divBdr>
            <w:top w:val="none" w:sz="0" w:space="0" w:color="auto"/>
            <w:left w:val="none" w:sz="0" w:space="0" w:color="auto"/>
            <w:bottom w:val="none" w:sz="0" w:space="0" w:color="auto"/>
            <w:right w:val="none" w:sz="0" w:space="0" w:color="auto"/>
          </w:divBdr>
          <w:divsChild>
            <w:div w:id="1669553678">
              <w:marLeft w:val="0"/>
              <w:marRight w:val="0"/>
              <w:marTop w:val="0"/>
              <w:marBottom w:val="0"/>
              <w:divBdr>
                <w:top w:val="none" w:sz="0" w:space="0" w:color="auto"/>
                <w:left w:val="none" w:sz="0" w:space="0" w:color="auto"/>
                <w:bottom w:val="none" w:sz="0" w:space="0" w:color="auto"/>
                <w:right w:val="none" w:sz="0" w:space="0" w:color="auto"/>
              </w:divBdr>
            </w:div>
          </w:divsChild>
        </w:div>
        <w:div w:id="1860002758">
          <w:marLeft w:val="0"/>
          <w:marRight w:val="0"/>
          <w:marTop w:val="0"/>
          <w:marBottom w:val="0"/>
          <w:divBdr>
            <w:top w:val="none" w:sz="0" w:space="0" w:color="auto"/>
            <w:left w:val="none" w:sz="0" w:space="0" w:color="auto"/>
            <w:bottom w:val="none" w:sz="0" w:space="0" w:color="auto"/>
            <w:right w:val="none" w:sz="0" w:space="0" w:color="auto"/>
          </w:divBdr>
          <w:divsChild>
            <w:div w:id="1694454929">
              <w:marLeft w:val="0"/>
              <w:marRight w:val="0"/>
              <w:marTop w:val="0"/>
              <w:marBottom w:val="0"/>
              <w:divBdr>
                <w:top w:val="none" w:sz="0" w:space="0" w:color="auto"/>
                <w:left w:val="none" w:sz="0" w:space="0" w:color="auto"/>
                <w:bottom w:val="none" w:sz="0" w:space="0" w:color="auto"/>
                <w:right w:val="none" w:sz="0" w:space="0" w:color="auto"/>
              </w:divBdr>
            </w:div>
          </w:divsChild>
        </w:div>
        <w:div w:id="1861117650">
          <w:marLeft w:val="0"/>
          <w:marRight w:val="0"/>
          <w:marTop w:val="0"/>
          <w:marBottom w:val="0"/>
          <w:divBdr>
            <w:top w:val="none" w:sz="0" w:space="0" w:color="auto"/>
            <w:left w:val="none" w:sz="0" w:space="0" w:color="auto"/>
            <w:bottom w:val="none" w:sz="0" w:space="0" w:color="auto"/>
            <w:right w:val="none" w:sz="0" w:space="0" w:color="auto"/>
          </w:divBdr>
          <w:divsChild>
            <w:div w:id="330448399">
              <w:marLeft w:val="0"/>
              <w:marRight w:val="0"/>
              <w:marTop w:val="0"/>
              <w:marBottom w:val="0"/>
              <w:divBdr>
                <w:top w:val="none" w:sz="0" w:space="0" w:color="auto"/>
                <w:left w:val="none" w:sz="0" w:space="0" w:color="auto"/>
                <w:bottom w:val="none" w:sz="0" w:space="0" w:color="auto"/>
                <w:right w:val="none" w:sz="0" w:space="0" w:color="auto"/>
              </w:divBdr>
            </w:div>
          </w:divsChild>
        </w:div>
        <w:div w:id="1871602385">
          <w:marLeft w:val="0"/>
          <w:marRight w:val="0"/>
          <w:marTop w:val="0"/>
          <w:marBottom w:val="0"/>
          <w:divBdr>
            <w:top w:val="none" w:sz="0" w:space="0" w:color="auto"/>
            <w:left w:val="none" w:sz="0" w:space="0" w:color="auto"/>
            <w:bottom w:val="none" w:sz="0" w:space="0" w:color="auto"/>
            <w:right w:val="none" w:sz="0" w:space="0" w:color="auto"/>
          </w:divBdr>
          <w:divsChild>
            <w:div w:id="121968207">
              <w:marLeft w:val="0"/>
              <w:marRight w:val="0"/>
              <w:marTop w:val="0"/>
              <w:marBottom w:val="0"/>
              <w:divBdr>
                <w:top w:val="none" w:sz="0" w:space="0" w:color="auto"/>
                <w:left w:val="none" w:sz="0" w:space="0" w:color="auto"/>
                <w:bottom w:val="none" w:sz="0" w:space="0" w:color="auto"/>
                <w:right w:val="none" w:sz="0" w:space="0" w:color="auto"/>
              </w:divBdr>
            </w:div>
          </w:divsChild>
        </w:div>
        <w:div w:id="1872451997">
          <w:marLeft w:val="0"/>
          <w:marRight w:val="0"/>
          <w:marTop w:val="0"/>
          <w:marBottom w:val="0"/>
          <w:divBdr>
            <w:top w:val="none" w:sz="0" w:space="0" w:color="auto"/>
            <w:left w:val="none" w:sz="0" w:space="0" w:color="auto"/>
            <w:bottom w:val="none" w:sz="0" w:space="0" w:color="auto"/>
            <w:right w:val="none" w:sz="0" w:space="0" w:color="auto"/>
          </w:divBdr>
          <w:divsChild>
            <w:div w:id="72047949">
              <w:marLeft w:val="0"/>
              <w:marRight w:val="0"/>
              <w:marTop w:val="0"/>
              <w:marBottom w:val="0"/>
              <w:divBdr>
                <w:top w:val="none" w:sz="0" w:space="0" w:color="auto"/>
                <w:left w:val="none" w:sz="0" w:space="0" w:color="auto"/>
                <w:bottom w:val="none" w:sz="0" w:space="0" w:color="auto"/>
                <w:right w:val="none" w:sz="0" w:space="0" w:color="auto"/>
              </w:divBdr>
            </w:div>
          </w:divsChild>
        </w:div>
        <w:div w:id="1881165383">
          <w:marLeft w:val="0"/>
          <w:marRight w:val="0"/>
          <w:marTop w:val="0"/>
          <w:marBottom w:val="0"/>
          <w:divBdr>
            <w:top w:val="none" w:sz="0" w:space="0" w:color="auto"/>
            <w:left w:val="none" w:sz="0" w:space="0" w:color="auto"/>
            <w:bottom w:val="none" w:sz="0" w:space="0" w:color="auto"/>
            <w:right w:val="none" w:sz="0" w:space="0" w:color="auto"/>
          </w:divBdr>
          <w:divsChild>
            <w:div w:id="1895041705">
              <w:marLeft w:val="0"/>
              <w:marRight w:val="0"/>
              <w:marTop w:val="0"/>
              <w:marBottom w:val="0"/>
              <w:divBdr>
                <w:top w:val="none" w:sz="0" w:space="0" w:color="auto"/>
                <w:left w:val="none" w:sz="0" w:space="0" w:color="auto"/>
                <w:bottom w:val="none" w:sz="0" w:space="0" w:color="auto"/>
                <w:right w:val="none" w:sz="0" w:space="0" w:color="auto"/>
              </w:divBdr>
            </w:div>
          </w:divsChild>
        </w:div>
        <w:div w:id="1892694110">
          <w:marLeft w:val="0"/>
          <w:marRight w:val="0"/>
          <w:marTop w:val="0"/>
          <w:marBottom w:val="0"/>
          <w:divBdr>
            <w:top w:val="none" w:sz="0" w:space="0" w:color="auto"/>
            <w:left w:val="none" w:sz="0" w:space="0" w:color="auto"/>
            <w:bottom w:val="none" w:sz="0" w:space="0" w:color="auto"/>
            <w:right w:val="none" w:sz="0" w:space="0" w:color="auto"/>
          </w:divBdr>
          <w:divsChild>
            <w:div w:id="1719888373">
              <w:marLeft w:val="0"/>
              <w:marRight w:val="0"/>
              <w:marTop w:val="0"/>
              <w:marBottom w:val="0"/>
              <w:divBdr>
                <w:top w:val="none" w:sz="0" w:space="0" w:color="auto"/>
                <w:left w:val="none" w:sz="0" w:space="0" w:color="auto"/>
                <w:bottom w:val="none" w:sz="0" w:space="0" w:color="auto"/>
                <w:right w:val="none" w:sz="0" w:space="0" w:color="auto"/>
              </w:divBdr>
            </w:div>
          </w:divsChild>
        </w:div>
        <w:div w:id="1899628661">
          <w:marLeft w:val="0"/>
          <w:marRight w:val="0"/>
          <w:marTop w:val="0"/>
          <w:marBottom w:val="0"/>
          <w:divBdr>
            <w:top w:val="none" w:sz="0" w:space="0" w:color="auto"/>
            <w:left w:val="none" w:sz="0" w:space="0" w:color="auto"/>
            <w:bottom w:val="none" w:sz="0" w:space="0" w:color="auto"/>
            <w:right w:val="none" w:sz="0" w:space="0" w:color="auto"/>
          </w:divBdr>
          <w:divsChild>
            <w:div w:id="492524696">
              <w:marLeft w:val="0"/>
              <w:marRight w:val="0"/>
              <w:marTop w:val="0"/>
              <w:marBottom w:val="0"/>
              <w:divBdr>
                <w:top w:val="none" w:sz="0" w:space="0" w:color="auto"/>
                <w:left w:val="none" w:sz="0" w:space="0" w:color="auto"/>
                <w:bottom w:val="none" w:sz="0" w:space="0" w:color="auto"/>
                <w:right w:val="none" w:sz="0" w:space="0" w:color="auto"/>
              </w:divBdr>
            </w:div>
          </w:divsChild>
        </w:div>
        <w:div w:id="1907493769">
          <w:marLeft w:val="0"/>
          <w:marRight w:val="0"/>
          <w:marTop w:val="0"/>
          <w:marBottom w:val="0"/>
          <w:divBdr>
            <w:top w:val="none" w:sz="0" w:space="0" w:color="auto"/>
            <w:left w:val="none" w:sz="0" w:space="0" w:color="auto"/>
            <w:bottom w:val="none" w:sz="0" w:space="0" w:color="auto"/>
            <w:right w:val="none" w:sz="0" w:space="0" w:color="auto"/>
          </w:divBdr>
          <w:divsChild>
            <w:div w:id="131214168">
              <w:marLeft w:val="0"/>
              <w:marRight w:val="0"/>
              <w:marTop w:val="0"/>
              <w:marBottom w:val="0"/>
              <w:divBdr>
                <w:top w:val="none" w:sz="0" w:space="0" w:color="auto"/>
                <w:left w:val="none" w:sz="0" w:space="0" w:color="auto"/>
                <w:bottom w:val="none" w:sz="0" w:space="0" w:color="auto"/>
                <w:right w:val="none" w:sz="0" w:space="0" w:color="auto"/>
              </w:divBdr>
            </w:div>
          </w:divsChild>
        </w:div>
        <w:div w:id="1910531784">
          <w:marLeft w:val="0"/>
          <w:marRight w:val="0"/>
          <w:marTop w:val="0"/>
          <w:marBottom w:val="0"/>
          <w:divBdr>
            <w:top w:val="none" w:sz="0" w:space="0" w:color="auto"/>
            <w:left w:val="none" w:sz="0" w:space="0" w:color="auto"/>
            <w:bottom w:val="none" w:sz="0" w:space="0" w:color="auto"/>
            <w:right w:val="none" w:sz="0" w:space="0" w:color="auto"/>
          </w:divBdr>
          <w:divsChild>
            <w:div w:id="705059025">
              <w:marLeft w:val="0"/>
              <w:marRight w:val="0"/>
              <w:marTop w:val="0"/>
              <w:marBottom w:val="0"/>
              <w:divBdr>
                <w:top w:val="none" w:sz="0" w:space="0" w:color="auto"/>
                <w:left w:val="none" w:sz="0" w:space="0" w:color="auto"/>
                <w:bottom w:val="none" w:sz="0" w:space="0" w:color="auto"/>
                <w:right w:val="none" w:sz="0" w:space="0" w:color="auto"/>
              </w:divBdr>
            </w:div>
          </w:divsChild>
        </w:div>
        <w:div w:id="1914050269">
          <w:marLeft w:val="0"/>
          <w:marRight w:val="0"/>
          <w:marTop w:val="0"/>
          <w:marBottom w:val="0"/>
          <w:divBdr>
            <w:top w:val="none" w:sz="0" w:space="0" w:color="auto"/>
            <w:left w:val="none" w:sz="0" w:space="0" w:color="auto"/>
            <w:bottom w:val="none" w:sz="0" w:space="0" w:color="auto"/>
            <w:right w:val="none" w:sz="0" w:space="0" w:color="auto"/>
          </w:divBdr>
          <w:divsChild>
            <w:div w:id="1007555585">
              <w:marLeft w:val="0"/>
              <w:marRight w:val="0"/>
              <w:marTop w:val="0"/>
              <w:marBottom w:val="0"/>
              <w:divBdr>
                <w:top w:val="none" w:sz="0" w:space="0" w:color="auto"/>
                <w:left w:val="none" w:sz="0" w:space="0" w:color="auto"/>
                <w:bottom w:val="none" w:sz="0" w:space="0" w:color="auto"/>
                <w:right w:val="none" w:sz="0" w:space="0" w:color="auto"/>
              </w:divBdr>
            </w:div>
          </w:divsChild>
        </w:div>
        <w:div w:id="1951627239">
          <w:marLeft w:val="0"/>
          <w:marRight w:val="0"/>
          <w:marTop w:val="0"/>
          <w:marBottom w:val="0"/>
          <w:divBdr>
            <w:top w:val="none" w:sz="0" w:space="0" w:color="auto"/>
            <w:left w:val="none" w:sz="0" w:space="0" w:color="auto"/>
            <w:bottom w:val="none" w:sz="0" w:space="0" w:color="auto"/>
            <w:right w:val="none" w:sz="0" w:space="0" w:color="auto"/>
          </w:divBdr>
          <w:divsChild>
            <w:div w:id="1610427485">
              <w:marLeft w:val="0"/>
              <w:marRight w:val="0"/>
              <w:marTop w:val="0"/>
              <w:marBottom w:val="0"/>
              <w:divBdr>
                <w:top w:val="none" w:sz="0" w:space="0" w:color="auto"/>
                <w:left w:val="none" w:sz="0" w:space="0" w:color="auto"/>
                <w:bottom w:val="none" w:sz="0" w:space="0" w:color="auto"/>
                <w:right w:val="none" w:sz="0" w:space="0" w:color="auto"/>
              </w:divBdr>
            </w:div>
          </w:divsChild>
        </w:div>
        <w:div w:id="1953247274">
          <w:marLeft w:val="0"/>
          <w:marRight w:val="0"/>
          <w:marTop w:val="0"/>
          <w:marBottom w:val="0"/>
          <w:divBdr>
            <w:top w:val="none" w:sz="0" w:space="0" w:color="auto"/>
            <w:left w:val="none" w:sz="0" w:space="0" w:color="auto"/>
            <w:bottom w:val="none" w:sz="0" w:space="0" w:color="auto"/>
            <w:right w:val="none" w:sz="0" w:space="0" w:color="auto"/>
          </w:divBdr>
          <w:divsChild>
            <w:div w:id="1576739101">
              <w:marLeft w:val="0"/>
              <w:marRight w:val="0"/>
              <w:marTop w:val="0"/>
              <w:marBottom w:val="0"/>
              <w:divBdr>
                <w:top w:val="none" w:sz="0" w:space="0" w:color="auto"/>
                <w:left w:val="none" w:sz="0" w:space="0" w:color="auto"/>
                <w:bottom w:val="none" w:sz="0" w:space="0" w:color="auto"/>
                <w:right w:val="none" w:sz="0" w:space="0" w:color="auto"/>
              </w:divBdr>
            </w:div>
          </w:divsChild>
        </w:div>
        <w:div w:id="1956709987">
          <w:marLeft w:val="0"/>
          <w:marRight w:val="0"/>
          <w:marTop w:val="0"/>
          <w:marBottom w:val="0"/>
          <w:divBdr>
            <w:top w:val="none" w:sz="0" w:space="0" w:color="auto"/>
            <w:left w:val="none" w:sz="0" w:space="0" w:color="auto"/>
            <w:bottom w:val="none" w:sz="0" w:space="0" w:color="auto"/>
            <w:right w:val="none" w:sz="0" w:space="0" w:color="auto"/>
          </w:divBdr>
          <w:divsChild>
            <w:div w:id="1072966752">
              <w:marLeft w:val="0"/>
              <w:marRight w:val="0"/>
              <w:marTop w:val="0"/>
              <w:marBottom w:val="0"/>
              <w:divBdr>
                <w:top w:val="none" w:sz="0" w:space="0" w:color="auto"/>
                <w:left w:val="none" w:sz="0" w:space="0" w:color="auto"/>
                <w:bottom w:val="none" w:sz="0" w:space="0" w:color="auto"/>
                <w:right w:val="none" w:sz="0" w:space="0" w:color="auto"/>
              </w:divBdr>
            </w:div>
          </w:divsChild>
        </w:div>
        <w:div w:id="1968929353">
          <w:marLeft w:val="0"/>
          <w:marRight w:val="0"/>
          <w:marTop w:val="0"/>
          <w:marBottom w:val="0"/>
          <w:divBdr>
            <w:top w:val="none" w:sz="0" w:space="0" w:color="auto"/>
            <w:left w:val="none" w:sz="0" w:space="0" w:color="auto"/>
            <w:bottom w:val="none" w:sz="0" w:space="0" w:color="auto"/>
            <w:right w:val="none" w:sz="0" w:space="0" w:color="auto"/>
          </w:divBdr>
          <w:divsChild>
            <w:div w:id="103885339">
              <w:marLeft w:val="0"/>
              <w:marRight w:val="0"/>
              <w:marTop w:val="0"/>
              <w:marBottom w:val="0"/>
              <w:divBdr>
                <w:top w:val="none" w:sz="0" w:space="0" w:color="auto"/>
                <w:left w:val="none" w:sz="0" w:space="0" w:color="auto"/>
                <w:bottom w:val="none" w:sz="0" w:space="0" w:color="auto"/>
                <w:right w:val="none" w:sz="0" w:space="0" w:color="auto"/>
              </w:divBdr>
            </w:div>
          </w:divsChild>
        </w:div>
        <w:div w:id="1975869511">
          <w:marLeft w:val="0"/>
          <w:marRight w:val="0"/>
          <w:marTop w:val="0"/>
          <w:marBottom w:val="0"/>
          <w:divBdr>
            <w:top w:val="none" w:sz="0" w:space="0" w:color="auto"/>
            <w:left w:val="none" w:sz="0" w:space="0" w:color="auto"/>
            <w:bottom w:val="none" w:sz="0" w:space="0" w:color="auto"/>
            <w:right w:val="none" w:sz="0" w:space="0" w:color="auto"/>
          </w:divBdr>
          <w:divsChild>
            <w:div w:id="1138693805">
              <w:marLeft w:val="0"/>
              <w:marRight w:val="0"/>
              <w:marTop w:val="0"/>
              <w:marBottom w:val="0"/>
              <w:divBdr>
                <w:top w:val="none" w:sz="0" w:space="0" w:color="auto"/>
                <w:left w:val="none" w:sz="0" w:space="0" w:color="auto"/>
                <w:bottom w:val="none" w:sz="0" w:space="0" w:color="auto"/>
                <w:right w:val="none" w:sz="0" w:space="0" w:color="auto"/>
              </w:divBdr>
            </w:div>
          </w:divsChild>
        </w:div>
        <w:div w:id="1982693264">
          <w:marLeft w:val="0"/>
          <w:marRight w:val="0"/>
          <w:marTop w:val="0"/>
          <w:marBottom w:val="0"/>
          <w:divBdr>
            <w:top w:val="none" w:sz="0" w:space="0" w:color="auto"/>
            <w:left w:val="none" w:sz="0" w:space="0" w:color="auto"/>
            <w:bottom w:val="none" w:sz="0" w:space="0" w:color="auto"/>
            <w:right w:val="none" w:sz="0" w:space="0" w:color="auto"/>
          </w:divBdr>
          <w:divsChild>
            <w:div w:id="1450247712">
              <w:marLeft w:val="0"/>
              <w:marRight w:val="0"/>
              <w:marTop w:val="0"/>
              <w:marBottom w:val="0"/>
              <w:divBdr>
                <w:top w:val="none" w:sz="0" w:space="0" w:color="auto"/>
                <w:left w:val="none" w:sz="0" w:space="0" w:color="auto"/>
                <w:bottom w:val="none" w:sz="0" w:space="0" w:color="auto"/>
                <w:right w:val="none" w:sz="0" w:space="0" w:color="auto"/>
              </w:divBdr>
            </w:div>
          </w:divsChild>
        </w:div>
        <w:div w:id="1999573004">
          <w:marLeft w:val="0"/>
          <w:marRight w:val="0"/>
          <w:marTop w:val="0"/>
          <w:marBottom w:val="0"/>
          <w:divBdr>
            <w:top w:val="none" w:sz="0" w:space="0" w:color="auto"/>
            <w:left w:val="none" w:sz="0" w:space="0" w:color="auto"/>
            <w:bottom w:val="none" w:sz="0" w:space="0" w:color="auto"/>
            <w:right w:val="none" w:sz="0" w:space="0" w:color="auto"/>
          </w:divBdr>
          <w:divsChild>
            <w:div w:id="1888375326">
              <w:marLeft w:val="0"/>
              <w:marRight w:val="0"/>
              <w:marTop w:val="0"/>
              <w:marBottom w:val="0"/>
              <w:divBdr>
                <w:top w:val="none" w:sz="0" w:space="0" w:color="auto"/>
                <w:left w:val="none" w:sz="0" w:space="0" w:color="auto"/>
                <w:bottom w:val="none" w:sz="0" w:space="0" w:color="auto"/>
                <w:right w:val="none" w:sz="0" w:space="0" w:color="auto"/>
              </w:divBdr>
            </w:div>
          </w:divsChild>
        </w:div>
        <w:div w:id="2006744251">
          <w:marLeft w:val="0"/>
          <w:marRight w:val="0"/>
          <w:marTop w:val="0"/>
          <w:marBottom w:val="0"/>
          <w:divBdr>
            <w:top w:val="none" w:sz="0" w:space="0" w:color="auto"/>
            <w:left w:val="none" w:sz="0" w:space="0" w:color="auto"/>
            <w:bottom w:val="none" w:sz="0" w:space="0" w:color="auto"/>
            <w:right w:val="none" w:sz="0" w:space="0" w:color="auto"/>
          </w:divBdr>
          <w:divsChild>
            <w:div w:id="1016078415">
              <w:marLeft w:val="0"/>
              <w:marRight w:val="0"/>
              <w:marTop w:val="0"/>
              <w:marBottom w:val="0"/>
              <w:divBdr>
                <w:top w:val="none" w:sz="0" w:space="0" w:color="auto"/>
                <w:left w:val="none" w:sz="0" w:space="0" w:color="auto"/>
                <w:bottom w:val="none" w:sz="0" w:space="0" w:color="auto"/>
                <w:right w:val="none" w:sz="0" w:space="0" w:color="auto"/>
              </w:divBdr>
            </w:div>
          </w:divsChild>
        </w:div>
        <w:div w:id="2008556688">
          <w:marLeft w:val="0"/>
          <w:marRight w:val="0"/>
          <w:marTop w:val="0"/>
          <w:marBottom w:val="0"/>
          <w:divBdr>
            <w:top w:val="none" w:sz="0" w:space="0" w:color="auto"/>
            <w:left w:val="none" w:sz="0" w:space="0" w:color="auto"/>
            <w:bottom w:val="none" w:sz="0" w:space="0" w:color="auto"/>
            <w:right w:val="none" w:sz="0" w:space="0" w:color="auto"/>
          </w:divBdr>
          <w:divsChild>
            <w:div w:id="1655260521">
              <w:marLeft w:val="0"/>
              <w:marRight w:val="0"/>
              <w:marTop w:val="0"/>
              <w:marBottom w:val="0"/>
              <w:divBdr>
                <w:top w:val="none" w:sz="0" w:space="0" w:color="auto"/>
                <w:left w:val="none" w:sz="0" w:space="0" w:color="auto"/>
                <w:bottom w:val="none" w:sz="0" w:space="0" w:color="auto"/>
                <w:right w:val="none" w:sz="0" w:space="0" w:color="auto"/>
              </w:divBdr>
            </w:div>
          </w:divsChild>
        </w:div>
        <w:div w:id="2022658237">
          <w:marLeft w:val="0"/>
          <w:marRight w:val="0"/>
          <w:marTop w:val="0"/>
          <w:marBottom w:val="0"/>
          <w:divBdr>
            <w:top w:val="none" w:sz="0" w:space="0" w:color="auto"/>
            <w:left w:val="none" w:sz="0" w:space="0" w:color="auto"/>
            <w:bottom w:val="none" w:sz="0" w:space="0" w:color="auto"/>
            <w:right w:val="none" w:sz="0" w:space="0" w:color="auto"/>
          </w:divBdr>
          <w:divsChild>
            <w:div w:id="1916043263">
              <w:marLeft w:val="0"/>
              <w:marRight w:val="0"/>
              <w:marTop w:val="0"/>
              <w:marBottom w:val="0"/>
              <w:divBdr>
                <w:top w:val="none" w:sz="0" w:space="0" w:color="auto"/>
                <w:left w:val="none" w:sz="0" w:space="0" w:color="auto"/>
                <w:bottom w:val="none" w:sz="0" w:space="0" w:color="auto"/>
                <w:right w:val="none" w:sz="0" w:space="0" w:color="auto"/>
              </w:divBdr>
            </w:div>
          </w:divsChild>
        </w:div>
        <w:div w:id="2031031310">
          <w:marLeft w:val="0"/>
          <w:marRight w:val="0"/>
          <w:marTop w:val="0"/>
          <w:marBottom w:val="0"/>
          <w:divBdr>
            <w:top w:val="none" w:sz="0" w:space="0" w:color="auto"/>
            <w:left w:val="none" w:sz="0" w:space="0" w:color="auto"/>
            <w:bottom w:val="none" w:sz="0" w:space="0" w:color="auto"/>
            <w:right w:val="none" w:sz="0" w:space="0" w:color="auto"/>
          </w:divBdr>
          <w:divsChild>
            <w:div w:id="1603106400">
              <w:marLeft w:val="0"/>
              <w:marRight w:val="0"/>
              <w:marTop w:val="0"/>
              <w:marBottom w:val="0"/>
              <w:divBdr>
                <w:top w:val="none" w:sz="0" w:space="0" w:color="auto"/>
                <w:left w:val="none" w:sz="0" w:space="0" w:color="auto"/>
                <w:bottom w:val="none" w:sz="0" w:space="0" w:color="auto"/>
                <w:right w:val="none" w:sz="0" w:space="0" w:color="auto"/>
              </w:divBdr>
            </w:div>
          </w:divsChild>
        </w:div>
        <w:div w:id="2036691599">
          <w:marLeft w:val="0"/>
          <w:marRight w:val="0"/>
          <w:marTop w:val="0"/>
          <w:marBottom w:val="0"/>
          <w:divBdr>
            <w:top w:val="none" w:sz="0" w:space="0" w:color="auto"/>
            <w:left w:val="none" w:sz="0" w:space="0" w:color="auto"/>
            <w:bottom w:val="none" w:sz="0" w:space="0" w:color="auto"/>
            <w:right w:val="none" w:sz="0" w:space="0" w:color="auto"/>
          </w:divBdr>
          <w:divsChild>
            <w:div w:id="940068833">
              <w:marLeft w:val="0"/>
              <w:marRight w:val="0"/>
              <w:marTop w:val="0"/>
              <w:marBottom w:val="0"/>
              <w:divBdr>
                <w:top w:val="none" w:sz="0" w:space="0" w:color="auto"/>
                <w:left w:val="none" w:sz="0" w:space="0" w:color="auto"/>
                <w:bottom w:val="none" w:sz="0" w:space="0" w:color="auto"/>
                <w:right w:val="none" w:sz="0" w:space="0" w:color="auto"/>
              </w:divBdr>
            </w:div>
          </w:divsChild>
        </w:div>
        <w:div w:id="2037925558">
          <w:marLeft w:val="0"/>
          <w:marRight w:val="0"/>
          <w:marTop w:val="0"/>
          <w:marBottom w:val="0"/>
          <w:divBdr>
            <w:top w:val="none" w:sz="0" w:space="0" w:color="auto"/>
            <w:left w:val="none" w:sz="0" w:space="0" w:color="auto"/>
            <w:bottom w:val="none" w:sz="0" w:space="0" w:color="auto"/>
            <w:right w:val="none" w:sz="0" w:space="0" w:color="auto"/>
          </w:divBdr>
          <w:divsChild>
            <w:div w:id="1663780398">
              <w:marLeft w:val="0"/>
              <w:marRight w:val="0"/>
              <w:marTop w:val="0"/>
              <w:marBottom w:val="0"/>
              <w:divBdr>
                <w:top w:val="none" w:sz="0" w:space="0" w:color="auto"/>
                <w:left w:val="none" w:sz="0" w:space="0" w:color="auto"/>
                <w:bottom w:val="none" w:sz="0" w:space="0" w:color="auto"/>
                <w:right w:val="none" w:sz="0" w:space="0" w:color="auto"/>
              </w:divBdr>
            </w:div>
          </w:divsChild>
        </w:div>
        <w:div w:id="2042125652">
          <w:marLeft w:val="0"/>
          <w:marRight w:val="0"/>
          <w:marTop w:val="0"/>
          <w:marBottom w:val="0"/>
          <w:divBdr>
            <w:top w:val="none" w:sz="0" w:space="0" w:color="auto"/>
            <w:left w:val="none" w:sz="0" w:space="0" w:color="auto"/>
            <w:bottom w:val="none" w:sz="0" w:space="0" w:color="auto"/>
            <w:right w:val="none" w:sz="0" w:space="0" w:color="auto"/>
          </w:divBdr>
          <w:divsChild>
            <w:div w:id="881751548">
              <w:marLeft w:val="0"/>
              <w:marRight w:val="0"/>
              <w:marTop w:val="0"/>
              <w:marBottom w:val="0"/>
              <w:divBdr>
                <w:top w:val="none" w:sz="0" w:space="0" w:color="auto"/>
                <w:left w:val="none" w:sz="0" w:space="0" w:color="auto"/>
                <w:bottom w:val="none" w:sz="0" w:space="0" w:color="auto"/>
                <w:right w:val="none" w:sz="0" w:space="0" w:color="auto"/>
              </w:divBdr>
            </w:div>
          </w:divsChild>
        </w:div>
        <w:div w:id="2050446379">
          <w:marLeft w:val="0"/>
          <w:marRight w:val="0"/>
          <w:marTop w:val="0"/>
          <w:marBottom w:val="0"/>
          <w:divBdr>
            <w:top w:val="none" w:sz="0" w:space="0" w:color="auto"/>
            <w:left w:val="none" w:sz="0" w:space="0" w:color="auto"/>
            <w:bottom w:val="none" w:sz="0" w:space="0" w:color="auto"/>
            <w:right w:val="none" w:sz="0" w:space="0" w:color="auto"/>
          </w:divBdr>
          <w:divsChild>
            <w:div w:id="1049844455">
              <w:marLeft w:val="0"/>
              <w:marRight w:val="0"/>
              <w:marTop w:val="0"/>
              <w:marBottom w:val="0"/>
              <w:divBdr>
                <w:top w:val="none" w:sz="0" w:space="0" w:color="auto"/>
                <w:left w:val="none" w:sz="0" w:space="0" w:color="auto"/>
                <w:bottom w:val="none" w:sz="0" w:space="0" w:color="auto"/>
                <w:right w:val="none" w:sz="0" w:space="0" w:color="auto"/>
              </w:divBdr>
            </w:div>
          </w:divsChild>
        </w:div>
        <w:div w:id="2055423316">
          <w:marLeft w:val="0"/>
          <w:marRight w:val="0"/>
          <w:marTop w:val="0"/>
          <w:marBottom w:val="0"/>
          <w:divBdr>
            <w:top w:val="none" w:sz="0" w:space="0" w:color="auto"/>
            <w:left w:val="none" w:sz="0" w:space="0" w:color="auto"/>
            <w:bottom w:val="none" w:sz="0" w:space="0" w:color="auto"/>
            <w:right w:val="none" w:sz="0" w:space="0" w:color="auto"/>
          </w:divBdr>
          <w:divsChild>
            <w:div w:id="1538274044">
              <w:marLeft w:val="0"/>
              <w:marRight w:val="0"/>
              <w:marTop w:val="0"/>
              <w:marBottom w:val="0"/>
              <w:divBdr>
                <w:top w:val="none" w:sz="0" w:space="0" w:color="auto"/>
                <w:left w:val="none" w:sz="0" w:space="0" w:color="auto"/>
                <w:bottom w:val="none" w:sz="0" w:space="0" w:color="auto"/>
                <w:right w:val="none" w:sz="0" w:space="0" w:color="auto"/>
              </w:divBdr>
            </w:div>
          </w:divsChild>
        </w:div>
        <w:div w:id="2063863082">
          <w:marLeft w:val="0"/>
          <w:marRight w:val="0"/>
          <w:marTop w:val="0"/>
          <w:marBottom w:val="0"/>
          <w:divBdr>
            <w:top w:val="none" w:sz="0" w:space="0" w:color="auto"/>
            <w:left w:val="none" w:sz="0" w:space="0" w:color="auto"/>
            <w:bottom w:val="none" w:sz="0" w:space="0" w:color="auto"/>
            <w:right w:val="none" w:sz="0" w:space="0" w:color="auto"/>
          </w:divBdr>
          <w:divsChild>
            <w:div w:id="2138402934">
              <w:marLeft w:val="0"/>
              <w:marRight w:val="0"/>
              <w:marTop w:val="0"/>
              <w:marBottom w:val="0"/>
              <w:divBdr>
                <w:top w:val="none" w:sz="0" w:space="0" w:color="auto"/>
                <w:left w:val="none" w:sz="0" w:space="0" w:color="auto"/>
                <w:bottom w:val="none" w:sz="0" w:space="0" w:color="auto"/>
                <w:right w:val="none" w:sz="0" w:space="0" w:color="auto"/>
              </w:divBdr>
            </w:div>
          </w:divsChild>
        </w:div>
        <w:div w:id="2068144715">
          <w:marLeft w:val="0"/>
          <w:marRight w:val="0"/>
          <w:marTop w:val="0"/>
          <w:marBottom w:val="0"/>
          <w:divBdr>
            <w:top w:val="none" w:sz="0" w:space="0" w:color="auto"/>
            <w:left w:val="none" w:sz="0" w:space="0" w:color="auto"/>
            <w:bottom w:val="none" w:sz="0" w:space="0" w:color="auto"/>
            <w:right w:val="none" w:sz="0" w:space="0" w:color="auto"/>
          </w:divBdr>
          <w:divsChild>
            <w:div w:id="605190005">
              <w:marLeft w:val="0"/>
              <w:marRight w:val="0"/>
              <w:marTop w:val="0"/>
              <w:marBottom w:val="0"/>
              <w:divBdr>
                <w:top w:val="none" w:sz="0" w:space="0" w:color="auto"/>
                <w:left w:val="none" w:sz="0" w:space="0" w:color="auto"/>
                <w:bottom w:val="none" w:sz="0" w:space="0" w:color="auto"/>
                <w:right w:val="none" w:sz="0" w:space="0" w:color="auto"/>
              </w:divBdr>
            </w:div>
          </w:divsChild>
        </w:div>
        <w:div w:id="2076125962">
          <w:marLeft w:val="0"/>
          <w:marRight w:val="0"/>
          <w:marTop w:val="0"/>
          <w:marBottom w:val="0"/>
          <w:divBdr>
            <w:top w:val="none" w:sz="0" w:space="0" w:color="auto"/>
            <w:left w:val="none" w:sz="0" w:space="0" w:color="auto"/>
            <w:bottom w:val="none" w:sz="0" w:space="0" w:color="auto"/>
            <w:right w:val="none" w:sz="0" w:space="0" w:color="auto"/>
          </w:divBdr>
          <w:divsChild>
            <w:div w:id="1870953183">
              <w:marLeft w:val="0"/>
              <w:marRight w:val="0"/>
              <w:marTop w:val="0"/>
              <w:marBottom w:val="0"/>
              <w:divBdr>
                <w:top w:val="none" w:sz="0" w:space="0" w:color="auto"/>
                <w:left w:val="none" w:sz="0" w:space="0" w:color="auto"/>
                <w:bottom w:val="none" w:sz="0" w:space="0" w:color="auto"/>
                <w:right w:val="none" w:sz="0" w:space="0" w:color="auto"/>
              </w:divBdr>
            </w:div>
          </w:divsChild>
        </w:div>
        <w:div w:id="2079135967">
          <w:marLeft w:val="0"/>
          <w:marRight w:val="0"/>
          <w:marTop w:val="0"/>
          <w:marBottom w:val="0"/>
          <w:divBdr>
            <w:top w:val="none" w:sz="0" w:space="0" w:color="auto"/>
            <w:left w:val="none" w:sz="0" w:space="0" w:color="auto"/>
            <w:bottom w:val="none" w:sz="0" w:space="0" w:color="auto"/>
            <w:right w:val="none" w:sz="0" w:space="0" w:color="auto"/>
          </w:divBdr>
          <w:divsChild>
            <w:div w:id="863785456">
              <w:marLeft w:val="0"/>
              <w:marRight w:val="0"/>
              <w:marTop w:val="0"/>
              <w:marBottom w:val="0"/>
              <w:divBdr>
                <w:top w:val="none" w:sz="0" w:space="0" w:color="auto"/>
                <w:left w:val="none" w:sz="0" w:space="0" w:color="auto"/>
                <w:bottom w:val="none" w:sz="0" w:space="0" w:color="auto"/>
                <w:right w:val="none" w:sz="0" w:space="0" w:color="auto"/>
              </w:divBdr>
            </w:div>
          </w:divsChild>
        </w:div>
        <w:div w:id="2084835455">
          <w:marLeft w:val="0"/>
          <w:marRight w:val="0"/>
          <w:marTop w:val="0"/>
          <w:marBottom w:val="0"/>
          <w:divBdr>
            <w:top w:val="none" w:sz="0" w:space="0" w:color="auto"/>
            <w:left w:val="none" w:sz="0" w:space="0" w:color="auto"/>
            <w:bottom w:val="none" w:sz="0" w:space="0" w:color="auto"/>
            <w:right w:val="none" w:sz="0" w:space="0" w:color="auto"/>
          </w:divBdr>
          <w:divsChild>
            <w:div w:id="1257060983">
              <w:marLeft w:val="0"/>
              <w:marRight w:val="0"/>
              <w:marTop w:val="0"/>
              <w:marBottom w:val="0"/>
              <w:divBdr>
                <w:top w:val="none" w:sz="0" w:space="0" w:color="auto"/>
                <w:left w:val="none" w:sz="0" w:space="0" w:color="auto"/>
                <w:bottom w:val="none" w:sz="0" w:space="0" w:color="auto"/>
                <w:right w:val="none" w:sz="0" w:space="0" w:color="auto"/>
              </w:divBdr>
            </w:div>
          </w:divsChild>
        </w:div>
        <w:div w:id="2098867387">
          <w:marLeft w:val="0"/>
          <w:marRight w:val="0"/>
          <w:marTop w:val="0"/>
          <w:marBottom w:val="0"/>
          <w:divBdr>
            <w:top w:val="none" w:sz="0" w:space="0" w:color="auto"/>
            <w:left w:val="none" w:sz="0" w:space="0" w:color="auto"/>
            <w:bottom w:val="none" w:sz="0" w:space="0" w:color="auto"/>
            <w:right w:val="none" w:sz="0" w:space="0" w:color="auto"/>
          </w:divBdr>
          <w:divsChild>
            <w:div w:id="327683349">
              <w:marLeft w:val="0"/>
              <w:marRight w:val="0"/>
              <w:marTop w:val="0"/>
              <w:marBottom w:val="0"/>
              <w:divBdr>
                <w:top w:val="none" w:sz="0" w:space="0" w:color="auto"/>
                <w:left w:val="none" w:sz="0" w:space="0" w:color="auto"/>
                <w:bottom w:val="none" w:sz="0" w:space="0" w:color="auto"/>
                <w:right w:val="none" w:sz="0" w:space="0" w:color="auto"/>
              </w:divBdr>
            </w:div>
          </w:divsChild>
        </w:div>
        <w:div w:id="2131393537">
          <w:marLeft w:val="0"/>
          <w:marRight w:val="0"/>
          <w:marTop w:val="0"/>
          <w:marBottom w:val="0"/>
          <w:divBdr>
            <w:top w:val="none" w:sz="0" w:space="0" w:color="auto"/>
            <w:left w:val="none" w:sz="0" w:space="0" w:color="auto"/>
            <w:bottom w:val="none" w:sz="0" w:space="0" w:color="auto"/>
            <w:right w:val="none" w:sz="0" w:space="0" w:color="auto"/>
          </w:divBdr>
          <w:divsChild>
            <w:div w:id="17924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22718">
      <w:bodyDiv w:val="1"/>
      <w:marLeft w:val="0"/>
      <w:marRight w:val="0"/>
      <w:marTop w:val="0"/>
      <w:marBottom w:val="0"/>
      <w:divBdr>
        <w:top w:val="none" w:sz="0" w:space="0" w:color="auto"/>
        <w:left w:val="none" w:sz="0" w:space="0" w:color="auto"/>
        <w:bottom w:val="none" w:sz="0" w:space="0" w:color="auto"/>
        <w:right w:val="none" w:sz="0" w:space="0" w:color="auto"/>
      </w:divBdr>
    </w:div>
    <w:div w:id="1031422349">
      <w:bodyDiv w:val="1"/>
      <w:marLeft w:val="0"/>
      <w:marRight w:val="0"/>
      <w:marTop w:val="0"/>
      <w:marBottom w:val="0"/>
      <w:divBdr>
        <w:top w:val="none" w:sz="0" w:space="0" w:color="auto"/>
        <w:left w:val="none" w:sz="0" w:space="0" w:color="auto"/>
        <w:bottom w:val="none" w:sz="0" w:space="0" w:color="auto"/>
        <w:right w:val="none" w:sz="0" w:space="0" w:color="auto"/>
      </w:divBdr>
    </w:div>
    <w:div w:id="1045714940">
      <w:bodyDiv w:val="1"/>
      <w:marLeft w:val="0"/>
      <w:marRight w:val="0"/>
      <w:marTop w:val="0"/>
      <w:marBottom w:val="0"/>
      <w:divBdr>
        <w:top w:val="none" w:sz="0" w:space="0" w:color="auto"/>
        <w:left w:val="none" w:sz="0" w:space="0" w:color="auto"/>
        <w:bottom w:val="none" w:sz="0" w:space="0" w:color="auto"/>
        <w:right w:val="none" w:sz="0" w:space="0" w:color="auto"/>
      </w:divBdr>
    </w:div>
    <w:div w:id="1124613153">
      <w:bodyDiv w:val="1"/>
      <w:marLeft w:val="0"/>
      <w:marRight w:val="0"/>
      <w:marTop w:val="0"/>
      <w:marBottom w:val="0"/>
      <w:divBdr>
        <w:top w:val="none" w:sz="0" w:space="0" w:color="auto"/>
        <w:left w:val="none" w:sz="0" w:space="0" w:color="auto"/>
        <w:bottom w:val="none" w:sz="0" w:space="0" w:color="auto"/>
        <w:right w:val="none" w:sz="0" w:space="0" w:color="auto"/>
      </w:divBdr>
    </w:div>
    <w:div w:id="1128626366">
      <w:bodyDiv w:val="1"/>
      <w:marLeft w:val="0"/>
      <w:marRight w:val="0"/>
      <w:marTop w:val="0"/>
      <w:marBottom w:val="0"/>
      <w:divBdr>
        <w:top w:val="none" w:sz="0" w:space="0" w:color="auto"/>
        <w:left w:val="none" w:sz="0" w:space="0" w:color="auto"/>
        <w:bottom w:val="none" w:sz="0" w:space="0" w:color="auto"/>
        <w:right w:val="none" w:sz="0" w:space="0" w:color="auto"/>
      </w:divBdr>
    </w:div>
    <w:div w:id="1199046820">
      <w:bodyDiv w:val="1"/>
      <w:marLeft w:val="0"/>
      <w:marRight w:val="0"/>
      <w:marTop w:val="0"/>
      <w:marBottom w:val="0"/>
      <w:divBdr>
        <w:top w:val="none" w:sz="0" w:space="0" w:color="auto"/>
        <w:left w:val="none" w:sz="0" w:space="0" w:color="auto"/>
        <w:bottom w:val="none" w:sz="0" w:space="0" w:color="auto"/>
        <w:right w:val="none" w:sz="0" w:space="0" w:color="auto"/>
      </w:divBdr>
    </w:div>
    <w:div w:id="1228304741">
      <w:bodyDiv w:val="1"/>
      <w:marLeft w:val="0"/>
      <w:marRight w:val="0"/>
      <w:marTop w:val="0"/>
      <w:marBottom w:val="0"/>
      <w:divBdr>
        <w:top w:val="none" w:sz="0" w:space="0" w:color="auto"/>
        <w:left w:val="none" w:sz="0" w:space="0" w:color="auto"/>
        <w:bottom w:val="none" w:sz="0" w:space="0" w:color="auto"/>
        <w:right w:val="none" w:sz="0" w:space="0" w:color="auto"/>
      </w:divBdr>
    </w:div>
    <w:div w:id="1241596580">
      <w:bodyDiv w:val="1"/>
      <w:marLeft w:val="0"/>
      <w:marRight w:val="0"/>
      <w:marTop w:val="0"/>
      <w:marBottom w:val="0"/>
      <w:divBdr>
        <w:top w:val="none" w:sz="0" w:space="0" w:color="auto"/>
        <w:left w:val="none" w:sz="0" w:space="0" w:color="auto"/>
        <w:bottom w:val="none" w:sz="0" w:space="0" w:color="auto"/>
        <w:right w:val="none" w:sz="0" w:space="0" w:color="auto"/>
      </w:divBdr>
    </w:div>
    <w:div w:id="1257515207">
      <w:bodyDiv w:val="1"/>
      <w:marLeft w:val="0"/>
      <w:marRight w:val="0"/>
      <w:marTop w:val="0"/>
      <w:marBottom w:val="0"/>
      <w:divBdr>
        <w:top w:val="none" w:sz="0" w:space="0" w:color="auto"/>
        <w:left w:val="none" w:sz="0" w:space="0" w:color="auto"/>
        <w:bottom w:val="none" w:sz="0" w:space="0" w:color="auto"/>
        <w:right w:val="none" w:sz="0" w:space="0" w:color="auto"/>
      </w:divBdr>
    </w:div>
    <w:div w:id="1285622437">
      <w:bodyDiv w:val="1"/>
      <w:marLeft w:val="0"/>
      <w:marRight w:val="0"/>
      <w:marTop w:val="0"/>
      <w:marBottom w:val="0"/>
      <w:divBdr>
        <w:top w:val="none" w:sz="0" w:space="0" w:color="auto"/>
        <w:left w:val="none" w:sz="0" w:space="0" w:color="auto"/>
        <w:bottom w:val="none" w:sz="0" w:space="0" w:color="auto"/>
        <w:right w:val="none" w:sz="0" w:space="0" w:color="auto"/>
      </w:divBdr>
    </w:div>
    <w:div w:id="1289437357">
      <w:bodyDiv w:val="1"/>
      <w:marLeft w:val="0"/>
      <w:marRight w:val="0"/>
      <w:marTop w:val="0"/>
      <w:marBottom w:val="0"/>
      <w:divBdr>
        <w:top w:val="none" w:sz="0" w:space="0" w:color="auto"/>
        <w:left w:val="none" w:sz="0" w:space="0" w:color="auto"/>
        <w:bottom w:val="none" w:sz="0" w:space="0" w:color="auto"/>
        <w:right w:val="none" w:sz="0" w:space="0" w:color="auto"/>
      </w:divBdr>
    </w:div>
    <w:div w:id="1314601409">
      <w:bodyDiv w:val="1"/>
      <w:marLeft w:val="0"/>
      <w:marRight w:val="0"/>
      <w:marTop w:val="0"/>
      <w:marBottom w:val="0"/>
      <w:divBdr>
        <w:top w:val="none" w:sz="0" w:space="0" w:color="auto"/>
        <w:left w:val="none" w:sz="0" w:space="0" w:color="auto"/>
        <w:bottom w:val="none" w:sz="0" w:space="0" w:color="auto"/>
        <w:right w:val="none" w:sz="0" w:space="0" w:color="auto"/>
      </w:divBdr>
    </w:div>
    <w:div w:id="1316110033">
      <w:bodyDiv w:val="1"/>
      <w:marLeft w:val="0"/>
      <w:marRight w:val="0"/>
      <w:marTop w:val="0"/>
      <w:marBottom w:val="0"/>
      <w:divBdr>
        <w:top w:val="none" w:sz="0" w:space="0" w:color="auto"/>
        <w:left w:val="none" w:sz="0" w:space="0" w:color="auto"/>
        <w:bottom w:val="none" w:sz="0" w:space="0" w:color="auto"/>
        <w:right w:val="none" w:sz="0" w:space="0" w:color="auto"/>
      </w:divBdr>
    </w:div>
    <w:div w:id="1321546496">
      <w:bodyDiv w:val="1"/>
      <w:marLeft w:val="0"/>
      <w:marRight w:val="0"/>
      <w:marTop w:val="0"/>
      <w:marBottom w:val="0"/>
      <w:divBdr>
        <w:top w:val="none" w:sz="0" w:space="0" w:color="auto"/>
        <w:left w:val="none" w:sz="0" w:space="0" w:color="auto"/>
        <w:bottom w:val="none" w:sz="0" w:space="0" w:color="auto"/>
        <w:right w:val="none" w:sz="0" w:space="0" w:color="auto"/>
      </w:divBdr>
    </w:div>
    <w:div w:id="1401706336">
      <w:bodyDiv w:val="1"/>
      <w:marLeft w:val="0"/>
      <w:marRight w:val="0"/>
      <w:marTop w:val="0"/>
      <w:marBottom w:val="0"/>
      <w:divBdr>
        <w:top w:val="none" w:sz="0" w:space="0" w:color="auto"/>
        <w:left w:val="none" w:sz="0" w:space="0" w:color="auto"/>
        <w:bottom w:val="none" w:sz="0" w:space="0" w:color="auto"/>
        <w:right w:val="none" w:sz="0" w:space="0" w:color="auto"/>
      </w:divBdr>
    </w:div>
    <w:div w:id="1405488231">
      <w:bodyDiv w:val="1"/>
      <w:marLeft w:val="0"/>
      <w:marRight w:val="0"/>
      <w:marTop w:val="0"/>
      <w:marBottom w:val="0"/>
      <w:divBdr>
        <w:top w:val="none" w:sz="0" w:space="0" w:color="auto"/>
        <w:left w:val="none" w:sz="0" w:space="0" w:color="auto"/>
        <w:bottom w:val="none" w:sz="0" w:space="0" w:color="auto"/>
        <w:right w:val="none" w:sz="0" w:space="0" w:color="auto"/>
      </w:divBdr>
    </w:div>
    <w:div w:id="1451388840">
      <w:bodyDiv w:val="1"/>
      <w:marLeft w:val="0"/>
      <w:marRight w:val="0"/>
      <w:marTop w:val="0"/>
      <w:marBottom w:val="0"/>
      <w:divBdr>
        <w:top w:val="none" w:sz="0" w:space="0" w:color="auto"/>
        <w:left w:val="none" w:sz="0" w:space="0" w:color="auto"/>
        <w:bottom w:val="none" w:sz="0" w:space="0" w:color="auto"/>
        <w:right w:val="none" w:sz="0" w:space="0" w:color="auto"/>
      </w:divBdr>
    </w:div>
    <w:div w:id="1528175633">
      <w:bodyDiv w:val="1"/>
      <w:marLeft w:val="0"/>
      <w:marRight w:val="0"/>
      <w:marTop w:val="0"/>
      <w:marBottom w:val="0"/>
      <w:divBdr>
        <w:top w:val="none" w:sz="0" w:space="0" w:color="auto"/>
        <w:left w:val="none" w:sz="0" w:space="0" w:color="auto"/>
        <w:bottom w:val="none" w:sz="0" w:space="0" w:color="auto"/>
        <w:right w:val="none" w:sz="0" w:space="0" w:color="auto"/>
      </w:divBdr>
      <w:divsChild>
        <w:div w:id="59714696">
          <w:marLeft w:val="0"/>
          <w:marRight w:val="0"/>
          <w:marTop w:val="0"/>
          <w:marBottom w:val="0"/>
          <w:divBdr>
            <w:top w:val="none" w:sz="0" w:space="0" w:color="auto"/>
            <w:left w:val="none" w:sz="0" w:space="0" w:color="auto"/>
            <w:bottom w:val="none" w:sz="0" w:space="0" w:color="auto"/>
            <w:right w:val="none" w:sz="0" w:space="0" w:color="auto"/>
          </w:divBdr>
          <w:divsChild>
            <w:div w:id="1176993791">
              <w:marLeft w:val="0"/>
              <w:marRight w:val="0"/>
              <w:marTop w:val="0"/>
              <w:marBottom w:val="0"/>
              <w:divBdr>
                <w:top w:val="none" w:sz="0" w:space="0" w:color="auto"/>
                <w:left w:val="none" w:sz="0" w:space="0" w:color="auto"/>
                <w:bottom w:val="none" w:sz="0" w:space="0" w:color="auto"/>
                <w:right w:val="none" w:sz="0" w:space="0" w:color="auto"/>
              </w:divBdr>
            </w:div>
          </w:divsChild>
        </w:div>
        <w:div w:id="68188147">
          <w:marLeft w:val="0"/>
          <w:marRight w:val="0"/>
          <w:marTop w:val="0"/>
          <w:marBottom w:val="0"/>
          <w:divBdr>
            <w:top w:val="none" w:sz="0" w:space="0" w:color="auto"/>
            <w:left w:val="none" w:sz="0" w:space="0" w:color="auto"/>
            <w:bottom w:val="none" w:sz="0" w:space="0" w:color="auto"/>
            <w:right w:val="none" w:sz="0" w:space="0" w:color="auto"/>
          </w:divBdr>
          <w:divsChild>
            <w:div w:id="698818602">
              <w:marLeft w:val="0"/>
              <w:marRight w:val="0"/>
              <w:marTop w:val="0"/>
              <w:marBottom w:val="0"/>
              <w:divBdr>
                <w:top w:val="none" w:sz="0" w:space="0" w:color="auto"/>
                <w:left w:val="none" w:sz="0" w:space="0" w:color="auto"/>
                <w:bottom w:val="none" w:sz="0" w:space="0" w:color="auto"/>
                <w:right w:val="none" w:sz="0" w:space="0" w:color="auto"/>
              </w:divBdr>
            </w:div>
          </w:divsChild>
        </w:div>
        <w:div w:id="125320259">
          <w:marLeft w:val="0"/>
          <w:marRight w:val="0"/>
          <w:marTop w:val="0"/>
          <w:marBottom w:val="0"/>
          <w:divBdr>
            <w:top w:val="none" w:sz="0" w:space="0" w:color="auto"/>
            <w:left w:val="none" w:sz="0" w:space="0" w:color="auto"/>
            <w:bottom w:val="none" w:sz="0" w:space="0" w:color="auto"/>
            <w:right w:val="none" w:sz="0" w:space="0" w:color="auto"/>
          </w:divBdr>
          <w:divsChild>
            <w:div w:id="956526166">
              <w:marLeft w:val="0"/>
              <w:marRight w:val="0"/>
              <w:marTop w:val="0"/>
              <w:marBottom w:val="0"/>
              <w:divBdr>
                <w:top w:val="none" w:sz="0" w:space="0" w:color="auto"/>
                <w:left w:val="none" w:sz="0" w:space="0" w:color="auto"/>
                <w:bottom w:val="none" w:sz="0" w:space="0" w:color="auto"/>
                <w:right w:val="none" w:sz="0" w:space="0" w:color="auto"/>
              </w:divBdr>
            </w:div>
          </w:divsChild>
        </w:div>
        <w:div w:id="181164333">
          <w:marLeft w:val="0"/>
          <w:marRight w:val="0"/>
          <w:marTop w:val="0"/>
          <w:marBottom w:val="0"/>
          <w:divBdr>
            <w:top w:val="none" w:sz="0" w:space="0" w:color="auto"/>
            <w:left w:val="none" w:sz="0" w:space="0" w:color="auto"/>
            <w:bottom w:val="none" w:sz="0" w:space="0" w:color="auto"/>
            <w:right w:val="none" w:sz="0" w:space="0" w:color="auto"/>
          </w:divBdr>
          <w:divsChild>
            <w:div w:id="1618638923">
              <w:marLeft w:val="0"/>
              <w:marRight w:val="0"/>
              <w:marTop w:val="0"/>
              <w:marBottom w:val="0"/>
              <w:divBdr>
                <w:top w:val="none" w:sz="0" w:space="0" w:color="auto"/>
                <w:left w:val="none" w:sz="0" w:space="0" w:color="auto"/>
                <w:bottom w:val="none" w:sz="0" w:space="0" w:color="auto"/>
                <w:right w:val="none" w:sz="0" w:space="0" w:color="auto"/>
              </w:divBdr>
            </w:div>
          </w:divsChild>
        </w:div>
        <w:div w:id="193150911">
          <w:marLeft w:val="0"/>
          <w:marRight w:val="0"/>
          <w:marTop w:val="0"/>
          <w:marBottom w:val="0"/>
          <w:divBdr>
            <w:top w:val="none" w:sz="0" w:space="0" w:color="auto"/>
            <w:left w:val="none" w:sz="0" w:space="0" w:color="auto"/>
            <w:bottom w:val="none" w:sz="0" w:space="0" w:color="auto"/>
            <w:right w:val="none" w:sz="0" w:space="0" w:color="auto"/>
          </w:divBdr>
          <w:divsChild>
            <w:div w:id="2078428539">
              <w:marLeft w:val="0"/>
              <w:marRight w:val="0"/>
              <w:marTop w:val="0"/>
              <w:marBottom w:val="0"/>
              <w:divBdr>
                <w:top w:val="none" w:sz="0" w:space="0" w:color="auto"/>
                <w:left w:val="none" w:sz="0" w:space="0" w:color="auto"/>
                <w:bottom w:val="none" w:sz="0" w:space="0" w:color="auto"/>
                <w:right w:val="none" w:sz="0" w:space="0" w:color="auto"/>
              </w:divBdr>
            </w:div>
          </w:divsChild>
        </w:div>
        <w:div w:id="210968513">
          <w:marLeft w:val="0"/>
          <w:marRight w:val="0"/>
          <w:marTop w:val="0"/>
          <w:marBottom w:val="0"/>
          <w:divBdr>
            <w:top w:val="none" w:sz="0" w:space="0" w:color="auto"/>
            <w:left w:val="none" w:sz="0" w:space="0" w:color="auto"/>
            <w:bottom w:val="none" w:sz="0" w:space="0" w:color="auto"/>
            <w:right w:val="none" w:sz="0" w:space="0" w:color="auto"/>
          </w:divBdr>
          <w:divsChild>
            <w:div w:id="538935105">
              <w:marLeft w:val="0"/>
              <w:marRight w:val="0"/>
              <w:marTop w:val="0"/>
              <w:marBottom w:val="0"/>
              <w:divBdr>
                <w:top w:val="none" w:sz="0" w:space="0" w:color="auto"/>
                <w:left w:val="none" w:sz="0" w:space="0" w:color="auto"/>
                <w:bottom w:val="none" w:sz="0" w:space="0" w:color="auto"/>
                <w:right w:val="none" w:sz="0" w:space="0" w:color="auto"/>
              </w:divBdr>
            </w:div>
          </w:divsChild>
        </w:div>
        <w:div w:id="242954948">
          <w:marLeft w:val="0"/>
          <w:marRight w:val="0"/>
          <w:marTop w:val="0"/>
          <w:marBottom w:val="0"/>
          <w:divBdr>
            <w:top w:val="none" w:sz="0" w:space="0" w:color="auto"/>
            <w:left w:val="none" w:sz="0" w:space="0" w:color="auto"/>
            <w:bottom w:val="none" w:sz="0" w:space="0" w:color="auto"/>
            <w:right w:val="none" w:sz="0" w:space="0" w:color="auto"/>
          </w:divBdr>
          <w:divsChild>
            <w:div w:id="1480881210">
              <w:marLeft w:val="0"/>
              <w:marRight w:val="0"/>
              <w:marTop w:val="0"/>
              <w:marBottom w:val="0"/>
              <w:divBdr>
                <w:top w:val="none" w:sz="0" w:space="0" w:color="auto"/>
                <w:left w:val="none" w:sz="0" w:space="0" w:color="auto"/>
                <w:bottom w:val="none" w:sz="0" w:space="0" w:color="auto"/>
                <w:right w:val="none" w:sz="0" w:space="0" w:color="auto"/>
              </w:divBdr>
            </w:div>
          </w:divsChild>
        </w:div>
        <w:div w:id="285701364">
          <w:marLeft w:val="0"/>
          <w:marRight w:val="0"/>
          <w:marTop w:val="0"/>
          <w:marBottom w:val="0"/>
          <w:divBdr>
            <w:top w:val="none" w:sz="0" w:space="0" w:color="auto"/>
            <w:left w:val="none" w:sz="0" w:space="0" w:color="auto"/>
            <w:bottom w:val="none" w:sz="0" w:space="0" w:color="auto"/>
            <w:right w:val="none" w:sz="0" w:space="0" w:color="auto"/>
          </w:divBdr>
          <w:divsChild>
            <w:div w:id="2057973487">
              <w:marLeft w:val="0"/>
              <w:marRight w:val="0"/>
              <w:marTop w:val="0"/>
              <w:marBottom w:val="0"/>
              <w:divBdr>
                <w:top w:val="none" w:sz="0" w:space="0" w:color="auto"/>
                <w:left w:val="none" w:sz="0" w:space="0" w:color="auto"/>
                <w:bottom w:val="none" w:sz="0" w:space="0" w:color="auto"/>
                <w:right w:val="none" w:sz="0" w:space="0" w:color="auto"/>
              </w:divBdr>
            </w:div>
          </w:divsChild>
        </w:div>
        <w:div w:id="287709266">
          <w:marLeft w:val="0"/>
          <w:marRight w:val="0"/>
          <w:marTop w:val="0"/>
          <w:marBottom w:val="0"/>
          <w:divBdr>
            <w:top w:val="none" w:sz="0" w:space="0" w:color="auto"/>
            <w:left w:val="none" w:sz="0" w:space="0" w:color="auto"/>
            <w:bottom w:val="none" w:sz="0" w:space="0" w:color="auto"/>
            <w:right w:val="none" w:sz="0" w:space="0" w:color="auto"/>
          </w:divBdr>
          <w:divsChild>
            <w:div w:id="716587270">
              <w:marLeft w:val="0"/>
              <w:marRight w:val="0"/>
              <w:marTop w:val="0"/>
              <w:marBottom w:val="0"/>
              <w:divBdr>
                <w:top w:val="none" w:sz="0" w:space="0" w:color="auto"/>
                <w:left w:val="none" w:sz="0" w:space="0" w:color="auto"/>
                <w:bottom w:val="none" w:sz="0" w:space="0" w:color="auto"/>
                <w:right w:val="none" w:sz="0" w:space="0" w:color="auto"/>
              </w:divBdr>
            </w:div>
          </w:divsChild>
        </w:div>
        <w:div w:id="314257950">
          <w:marLeft w:val="0"/>
          <w:marRight w:val="0"/>
          <w:marTop w:val="0"/>
          <w:marBottom w:val="0"/>
          <w:divBdr>
            <w:top w:val="none" w:sz="0" w:space="0" w:color="auto"/>
            <w:left w:val="none" w:sz="0" w:space="0" w:color="auto"/>
            <w:bottom w:val="none" w:sz="0" w:space="0" w:color="auto"/>
            <w:right w:val="none" w:sz="0" w:space="0" w:color="auto"/>
          </w:divBdr>
          <w:divsChild>
            <w:div w:id="2017683173">
              <w:marLeft w:val="0"/>
              <w:marRight w:val="0"/>
              <w:marTop w:val="0"/>
              <w:marBottom w:val="0"/>
              <w:divBdr>
                <w:top w:val="none" w:sz="0" w:space="0" w:color="auto"/>
                <w:left w:val="none" w:sz="0" w:space="0" w:color="auto"/>
                <w:bottom w:val="none" w:sz="0" w:space="0" w:color="auto"/>
                <w:right w:val="none" w:sz="0" w:space="0" w:color="auto"/>
              </w:divBdr>
            </w:div>
          </w:divsChild>
        </w:div>
        <w:div w:id="314573662">
          <w:marLeft w:val="0"/>
          <w:marRight w:val="0"/>
          <w:marTop w:val="0"/>
          <w:marBottom w:val="0"/>
          <w:divBdr>
            <w:top w:val="none" w:sz="0" w:space="0" w:color="auto"/>
            <w:left w:val="none" w:sz="0" w:space="0" w:color="auto"/>
            <w:bottom w:val="none" w:sz="0" w:space="0" w:color="auto"/>
            <w:right w:val="none" w:sz="0" w:space="0" w:color="auto"/>
          </w:divBdr>
          <w:divsChild>
            <w:div w:id="336619851">
              <w:marLeft w:val="0"/>
              <w:marRight w:val="0"/>
              <w:marTop w:val="0"/>
              <w:marBottom w:val="0"/>
              <w:divBdr>
                <w:top w:val="none" w:sz="0" w:space="0" w:color="auto"/>
                <w:left w:val="none" w:sz="0" w:space="0" w:color="auto"/>
                <w:bottom w:val="none" w:sz="0" w:space="0" w:color="auto"/>
                <w:right w:val="none" w:sz="0" w:space="0" w:color="auto"/>
              </w:divBdr>
            </w:div>
          </w:divsChild>
        </w:div>
        <w:div w:id="347030290">
          <w:marLeft w:val="0"/>
          <w:marRight w:val="0"/>
          <w:marTop w:val="0"/>
          <w:marBottom w:val="0"/>
          <w:divBdr>
            <w:top w:val="none" w:sz="0" w:space="0" w:color="auto"/>
            <w:left w:val="none" w:sz="0" w:space="0" w:color="auto"/>
            <w:bottom w:val="none" w:sz="0" w:space="0" w:color="auto"/>
            <w:right w:val="none" w:sz="0" w:space="0" w:color="auto"/>
          </w:divBdr>
          <w:divsChild>
            <w:div w:id="549195664">
              <w:marLeft w:val="0"/>
              <w:marRight w:val="0"/>
              <w:marTop w:val="0"/>
              <w:marBottom w:val="0"/>
              <w:divBdr>
                <w:top w:val="none" w:sz="0" w:space="0" w:color="auto"/>
                <w:left w:val="none" w:sz="0" w:space="0" w:color="auto"/>
                <w:bottom w:val="none" w:sz="0" w:space="0" w:color="auto"/>
                <w:right w:val="none" w:sz="0" w:space="0" w:color="auto"/>
              </w:divBdr>
            </w:div>
          </w:divsChild>
        </w:div>
        <w:div w:id="376442448">
          <w:marLeft w:val="0"/>
          <w:marRight w:val="0"/>
          <w:marTop w:val="0"/>
          <w:marBottom w:val="0"/>
          <w:divBdr>
            <w:top w:val="none" w:sz="0" w:space="0" w:color="auto"/>
            <w:left w:val="none" w:sz="0" w:space="0" w:color="auto"/>
            <w:bottom w:val="none" w:sz="0" w:space="0" w:color="auto"/>
            <w:right w:val="none" w:sz="0" w:space="0" w:color="auto"/>
          </w:divBdr>
          <w:divsChild>
            <w:div w:id="1264336457">
              <w:marLeft w:val="0"/>
              <w:marRight w:val="0"/>
              <w:marTop w:val="0"/>
              <w:marBottom w:val="0"/>
              <w:divBdr>
                <w:top w:val="none" w:sz="0" w:space="0" w:color="auto"/>
                <w:left w:val="none" w:sz="0" w:space="0" w:color="auto"/>
                <w:bottom w:val="none" w:sz="0" w:space="0" w:color="auto"/>
                <w:right w:val="none" w:sz="0" w:space="0" w:color="auto"/>
              </w:divBdr>
            </w:div>
          </w:divsChild>
        </w:div>
        <w:div w:id="416827908">
          <w:marLeft w:val="0"/>
          <w:marRight w:val="0"/>
          <w:marTop w:val="0"/>
          <w:marBottom w:val="0"/>
          <w:divBdr>
            <w:top w:val="none" w:sz="0" w:space="0" w:color="auto"/>
            <w:left w:val="none" w:sz="0" w:space="0" w:color="auto"/>
            <w:bottom w:val="none" w:sz="0" w:space="0" w:color="auto"/>
            <w:right w:val="none" w:sz="0" w:space="0" w:color="auto"/>
          </w:divBdr>
          <w:divsChild>
            <w:div w:id="332345258">
              <w:marLeft w:val="0"/>
              <w:marRight w:val="0"/>
              <w:marTop w:val="0"/>
              <w:marBottom w:val="0"/>
              <w:divBdr>
                <w:top w:val="none" w:sz="0" w:space="0" w:color="auto"/>
                <w:left w:val="none" w:sz="0" w:space="0" w:color="auto"/>
                <w:bottom w:val="none" w:sz="0" w:space="0" w:color="auto"/>
                <w:right w:val="none" w:sz="0" w:space="0" w:color="auto"/>
              </w:divBdr>
            </w:div>
          </w:divsChild>
        </w:div>
        <w:div w:id="417945100">
          <w:marLeft w:val="0"/>
          <w:marRight w:val="0"/>
          <w:marTop w:val="0"/>
          <w:marBottom w:val="0"/>
          <w:divBdr>
            <w:top w:val="none" w:sz="0" w:space="0" w:color="auto"/>
            <w:left w:val="none" w:sz="0" w:space="0" w:color="auto"/>
            <w:bottom w:val="none" w:sz="0" w:space="0" w:color="auto"/>
            <w:right w:val="none" w:sz="0" w:space="0" w:color="auto"/>
          </w:divBdr>
          <w:divsChild>
            <w:div w:id="208037592">
              <w:marLeft w:val="0"/>
              <w:marRight w:val="0"/>
              <w:marTop w:val="0"/>
              <w:marBottom w:val="0"/>
              <w:divBdr>
                <w:top w:val="none" w:sz="0" w:space="0" w:color="auto"/>
                <w:left w:val="none" w:sz="0" w:space="0" w:color="auto"/>
                <w:bottom w:val="none" w:sz="0" w:space="0" w:color="auto"/>
                <w:right w:val="none" w:sz="0" w:space="0" w:color="auto"/>
              </w:divBdr>
            </w:div>
          </w:divsChild>
        </w:div>
        <w:div w:id="440227954">
          <w:marLeft w:val="0"/>
          <w:marRight w:val="0"/>
          <w:marTop w:val="0"/>
          <w:marBottom w:val="0"/>
          <w:divBdr>
            <w:top w:val="none" w:sz="0" w:space="0" w:color="auto"/>
            <w:left w:val="none" w:sz="0" w:space="0" w:color="auto"/>
            <w:bottom w:val="none" w:sz="0" w:space="0" w:color="auto"/>
            <w:right w:val="none" w:sz="0" w:space="0" w:color="auto"/>
          </w:divBdr>
          <w:divsChild>
            <w:div w:id="736586390">
              <w:marLeft w:val="0"/>
              <w:marRight w:val="0"/>
              <w:marTop w:val="0"/>
              <w:marBottom w:val="0"/>
              <w:divBdr>
                <w:top w:val="none" w:sz="0" w:space="0" w:color="auto"/>
                <w:left w:val="none" w:sz="0" w:space="0" w:color="auto"/>
                <w:bottom w:val="none" w:sz="0" w:space="0" w:color="auto"/>
                <w:right w:val="none" w:sz="0" w:space="0" w:color="auto"/>
              </w:divBdr>
            </w:div>
          </w:divsChild>
        </w:div>
        <w:div w:id="480658078">
          <w:marLeft w:val="0"/>
          <w:marRight w:val="0"/>
          <w:marTop w:val="0"/>
          <w:marBottom w:val="0"/>
          <w:divBdr>
            <w:top w:val="none" w:sz="0" w:space="0" w:color="auto"/>
            <w:left w:val="none" w:sz="0" w:space="0" w:color="auto"/>
            <w:bottom w:val="none" w:sz="0" w:space="0" w:color="auto"/>
            <w:right w:val="none" w:sz="0" w:space="0" w:color="auto"/>
          </w:divBdr>
          <w:divsChild>
            <w:div w:id="1109011026">
              <w:marLeft w:val="0"/>
              <w:marRight w:val="0"/>
              <w:marTop w:val="0"/>
              <w:marBottom w:val="0"/>
              <w:divBdr>
                <w:top w:val="none" w:sz="0" w:space="0" w:color="auto"/>
                <w:left w:val="none" w:sz="0" w:space="0" w:color="auto"/>
                <w:bottom w:val="none" w:sz="0" w:space="0" w:color="auto"/>
                <w:right w:val="none" w:sz="0" w:space="0" w:color="auto"/>
              </w:divBdr>
            </w:div>
          </w:divsChild>
        </w:div>
        <w:div w:id="499007175">
          <w:marLeft w:val="0"/>
          <w:marRight w:val="0"/>
          <w:marTop w:val="0"/>
          <w:marBottom w:val="0"/>
          <w:divBdr>
            <w:top w:val="none" w:sz="0" w:space="0" w:color="auto"/>
            <w:left w:val="none" w:sz="0" w:space="0" w:color="auto"/>
            <w:bottom w:val="none" w:sz="0" w:space="0" w:color="auto"/>
            <w:right w:val="none" w:sz="0" w:space="0" w:color="auto"/>
          </w:divBdr>
          <w:divsChild>
            <w:div w:id="1467430816">
              <w:marLeft w:val="0"/>
              <w:marRight w:val="0"/>
              <w:marTop w:val="0"/>
              <w:marBottom w:val="0"/>
              <w:divBdr>
                <w:top w:val="none" w:sz="0" w:space="0" w:color="auto"/>
                <w:left w:val="none" w:sz="0" w:space="0" w:color="auto"/>
                <w:bottom w:val="none" w:sz="0" w:space="0" w:color="auto"/>
                <w:right w:val="none" w:sz="0" w:space="0" w:color="auto"/>
              </w:divBdr>
            </w:div>
          </w:divsChild>
        </w:div>
        <w:div w:id="555311746">
          <w:marLeft w:val="0"/>
          <w:marRight w:val="0"/>
          <w:marTop w:val="0"/>
          <w:marBottom w:val="0"/>
          <w:divBdr>
            <w:top w:val="none" w:sz="0" w:space="0" w:color="auto"/>
            <w:left w:val="none" w:sz="0" w:space="0" w:color="auto"/>
            <w:bottom w:val="none" w:sz="0" w:space="0" w:color="auto"/>
            <w:right w:val="none" w:sz="0" w:space="0" w:color="auto"/>
          </w:divBdr>
          <w:divsChild>
            <w:div w:id="719323530">
              <w:marLeft w:val="0"/>
              <w:marRight w:val="0"/>
              <w:marTop w:val="0"/>
              <w:marBottom w:val="0"/>
              <w:divBdr>
                <w:top w:val="none" w:sz="0" w:space="0" w:color="auto"/>
                <w:left w:val="none" w:sz="0" w:space="0" w:color="auto"/>
                <w:bottom w:val="none" w:sz="0" w:space="0" w:color="auto"/>
                <w:right w:val="none" w:sz="0" w:space="0" w:color="auto"/>
              </w:divBdr>
            </w:div>
          </w:divsChild>
        </w:div>
        <w:div w:id="557667823">
          <w:marLeft w:val="0"/>
          <w:marRight w:val="0"/>
          <w:marTop w:val="0"/>
          <w:marBottom w:val="0"/>
          <w:divBdr>
            <w:top w:val="none" w:sz="0" w:space="0" w:color="auto"/>
            <w:left w:val="none" w:sz="0" w:space="0" w:color="auto"/>
            <w:bottom w:val="none" w:sz="0" w:space="0" w:color="auto"/>
            <w:right w:val="none" w:sz="0" w:space="0" w:color="auto"/>
          </w:divBdr>
          <w:divsChild>
            <w:div w:id="1844397071">
              <w:marLeft w:val="0"/>
              <w:marRight w:val="0"/>
              <w:marTop w:val="0"/>
              <w:marBottom w:val="0"/>
              <w:divBdr>
                <w:top w:val="none" w:sz="0" w:space="0" w:color="auto"/>
                <w:left w:val="none" w:sz="0" w:space="0" w:color="auto"/>
                <w:bottom w:val="none" w:sz="0" w:space="0" w:color="auto"/>
                <w:right w:val="none" w:sz="0" w:space="0" w:color="auto"/>
              </w:divBdr>
            </w:div>
          </w:divsChild>
        </w:div>
        <w:div w:id="560675690">
          <w:marLeft w:val="0"/>
          <w:marRight w:val="0"/>
          <w:marTop w:val="0"/>
          <w:marBottom w:val="0"/>
          <w:divBdr>
            <w:top w:val="none" w:sz="0" w:space="0" w:color="auto"/>
            <w:left w:val="none" w:sz="0" w:space="0" w:color="auto"/>
            <w:bottom w:val="none" w:sz="0" w:space="0" w:color="auto"/>
            <w:right w:val="none" w:sz="0" w:space="0" w:color="auto"/>
          </w:divBdr>
          <w:divsChild>
            <w:div w:id="326517282">
              <w:marLeft w:val="0"/>
              <w:marRight w:val="0"/>
              <w:marTop w:val="0"/>
              <w:marBottom w:val="0"/>
              <w:divBdr>
                <w:top w:val="none" w:sz="0" w:space="0" w:color="auto"/>
                <w:left w:val="none" w:sz="0" w:space="0" w:color="auto"/>
                <w:bottom w:val="none" w:sz="0" w:space="0" w:color="auto"/>
                <w:right w:val="none" w:sz="0" w:space="0" w:color="auto"/>
              </w:divBdr>
            </w:div>
          </w:divsChild>
        </w:div>
        <w:div w:id="563414456">
          <w:marLeft w:val="0"/>
          <w:marRight w:val="0"/>
          <w:marTop w:val="0"/>
          <w:marBottom w:val="0"/>
          <w:divBdr>
            <w:top w:val="none" w:sz="0" w:space="0" w:color="auto"/>
            <w:left w:val="none" w:sz="0" w:space="0" w:color="auto"/>
            <w:bottom w:val="none" w:sz="0" w:space="0" w:color="auto"/>
            <w:right w:val="none" w:sz="0" w:space="0" w:color="auto"/>
          </w:divBdr>
          <w:divsChild>
            <w:div w:id="2039425161">
              <w:marLeft w:val="0"/>
              <w:marRight w:val="0"/>
              <w:marTop w:val="0"/>
              <w:marBottom w:val="0"/>
              <w:divBdr>
                <w:top w:val="none" w:sz="0" w:space="0" w:color="auto"/>
                <w:left w:val="none" w:sz="0" w:space="0" w:color="auto"/>
                <w:bottom w:val="none" w:sz="0" w:space="0" w:color="auto"/>
                <w:right w:val="none" w:sz="0" w:space="0" w:color="auto"/>
              </w:divBdr>
            </w:div>
          </w:divsChild>
        </w:div>
        <w:div w:id="607929187">
          <w:marLeft w:val="0"/>
          <w:marRight w:val="0"/>
          <w:marTop w:val="0"/>
          <w:marBottom w:val="0"/>
          <w:divBdr>
            <w:top w:val="none" w:sz="0" w:space="0" w:color="auto"/>
            <w:left w:val="none" w:sz="0" w:space="0" w:color="auto"/>
            <w:bottom w:val="none" w:sz="0" w:space="0" w:color="auto"/>
            <w:right w:val="none" w:sz="0" w:space="0" w:color="auto"/>
          </w:divBdr>
          <w:divsChild>
            <w:div w:id="912933924">
              <w:marLeft w:val="0"/>
              <w:marRight w:val="0"/>
              <w:marTop w:val="0"/>
              <w:marBottom w:val="0"/>
              <w:divBdr>
                <w:top w:val="none" w:sz="0" w:space="0" w:color="auto"/>
                <w:left w:val="none" w:sz="0" w:space="0" w:color="auto"/>
                <w:bottom w:val="none" w:sz="0" w:space="0" w:color="auto"/>
                <w:right w:val="none" w:sz="0" w:space="0" w:color="auto"/>
              </w:divBdr>
            </w:div>
          </w:divsChild>
        </w:div>
        <w:div w:id="636229904">
          <w:marLeft w:val="0"/>
          <w:marRight w:val="0"/>
          <w:marTop w:val="0"/>
          <w:marBottom w:val="0"/>
          <w:divBdr>
            <w:top w:val="none" w:sz="0" w:space="0" w:color="auto"/>
            <w:left w:val="none" w:sz="0" w:space="0" w:color="auto"/>
            <w:bottom w:val="none" w:sz="0" w:space="0" w:color="auto"/>
            <w:right w:val="none" w:sz="0" w:space="0" w:color="auto"/>
          </w:divBdr>
          <w:divsChild>
            <w:div w:id="1315640302">
              <w:marLeft w:val="0"/>
              <w:marRight w:val="0"/>
              <w:marTop w:val="0"/>
              <w:marBottom w:val="0"/>
              <w:divBdr>
                <w:top w:val="none" w:sz="0" w:space="0" w:color="auto"/>
                <w:left w:val="none" w:sz="0" w:space="0" w:color="auto"/>
                <w:bottom w:val="none" w:sz="0" w:space="0" w:color="auto"/>
                <w:right w:val="none" w:sz="0" w:space="0" w:color="auto"/>
              </w:divBdr>
            </w:div>
          </w:divsChild>
        </w:div>
        <w:div w:id="699743950">
          <w:marLeft w:val="0"/>
          <w:marRight w:val="0"/>
          <w:marTop w:val="0"/>
          <w:marBottom w:val="0"/>
          <w:divBdr>
            <w:top w:val="none" w:sz="0" w:space="0" w:color="auto"/>
            <w:left w:val="none" w:sz="0" w:space="0" w:color="auto"/>
            <w:bottom w:val="none" w:sz="0" w:space="0" w:color="auto"/>
            <w:right w:val="none" w:sz="0" w:space="0" w:color="auto"/>
          </w:divBdr>
          <w:divsChild>
            <w:div w:id="1843617593">
              <w:marLeft w:val="0"/>
              <w:marRight w:val="0"/>
              <w:marTop w:val="0"/>
              <w:marBottom w:val="0"/>
              <w:divBdr>
                <w:top w:val="none" w:sz="0" w:space="0" w:color="auto"/>
                <w:left w:val="none" w:sz="0" w:space="0" w:color="auto"/>
                <w:bottom w:val="none" w:sz="0" w:space="0" w:color="auto"/>
                <w:right w:val="none" w:sz="0" w:space="0" w:color="auto"/>
              </w:divBdr>
            </w:div>
          </w:divsChild>
        </w:div>
        <w:div w:id="723797674">
          <w:marLeft w:val="0"/>
          <w:marRight w:val="0"/>
          <w:marTop w:val="0"/>
          <w:marBottom w:val="0"/>
          <w:divBdr>
            <w:top w:val="none" w:sz="0" w:space="0" w:color="auto"/>
            <w:left w:val="none" w:sz="0" w:space="0" w:color="auto"/>
            <w:bottom w:val="none" w:sz="0" w:space="0" w:color="auto"/>
            <w:right w:val="none" w:sz="0" w:space="0" w:color="auto"/>
          </w:divBdr>
          <w:divsChild>
            <w:div w:id="279846865">
              <w:marLeft w:val="0"/>
              <w:marRight w:val="0"/>
              <w:marTop w:val="0"/>
              <w:marBottom w:val="0"/>
              <w:divBdr>
                <w:top w:val="none" w:sz="0" w:space="0" w:color="auto"/>
                <w:left w:val="none" w:sz="0" w:space="0" w:color="auto"/>
                <w:bottom w:val="none" w:sz="0" w:space="0" w:color="auto"/>
                <w:right w:val="none" w:sz="0" w:space="0" w:color="auto"/>
              </w:divBdr>
            </w:div>
          </w:divsChild>
        </w:div>
        <w:div w:id="738673608">
          <w:marLeft w:val="0"/>
          <w:marRight w:val="0"/>
          <w:marTop w:val="0"/>
          <w:marBottom w:val="0"/>
          <w:divBdr>
            <w:top w:val="none" w:sz="0" w:space="0" w:color="auto"/>
            <w:left w:val="none" w:sz="0" w:space="0" w:color="auto"/>
            <w:bottom w:val="none" w:sz="0" w:space="0" w:color="auto"/>
            <w:right w:val="none" w:sz="0" w:space="0" w:color="auto"/>
          </w:divBdr>
          <w:divsChild>
            <w:div w:id="1197081014">
              <w:marLeft w:val="0"/>
              <w:marRight w:val="0"/>
              <w:marTop w:val="0"/>
              <w:marBottom w:val="0"/>
              <w:divBdr>
                <w:top w:val="none" w:sz="0" w:space="0" w:color="auto"/>
                <w:left w:val="none" w:sz="0" w:space="0" w:color="auto"/>
                <w:bottom w:val="none" w:sz="0" w:space="0" w:color="auto"/>
                <w:right w:val="none" w:sz="0" w:space="0" w:color="auto"/>
              </w:divBdr>
            </w:div>
          </w:divsChild>
        </w:div>
        <w:div w:id="740366335">
          <w:marLeft w:val="0"/>
          <w:marRight w:val="0"/>
          <w:marTop w:val="0"/>
          <w:marBottom w:val="0"/>
          <w:divBdr>
            <w:top w:val="none" w:sz="0" w:space="0" w:color="auto"/>
            <w:left w:val="none" w:sz="0" w:space="0" w:color="auto"/>
            <w:bottom w:val="none" w:sz="0" w:space="0" w:color="auto"/>
            <w:right w:val="none" w:sz="0" w:space="0" w:color="auto"/>
          </w:divBdr>
          <w:divsChild>
            <w:div w:id="583535898">
              <w:marLeft w:val="0"/>
              <w:marRight w:val="0"/>
              <w:marTop w:val="0"/>
              <w:marBottom w:val="0"/>
              <w:divBdr>
                <w:top w:val="none" w:sz="0" w:space="0" w:color="auto"/>
                <w:left w:val="none" w:sz="0" w:space="0" w:color="auto"/>
                <w:bottom w:val="none" w:sz="0" w:space="0" w:color="auto"/>
                <w:right w:val="none" w:sz="0" w:space="0" w:color="auto"/>
              </w:divBdr>
            </w:div>
          </w:divsChild>
        </w:div>
        <w:div w:id="823550108">
          <w:marLeft w:val="0"/>
          <w:marRight w:val="0"/>
          <w:marTop w:val="0"/>
          <w:marBottom w:val="0"/>
          <w:divBdr>
            <w:top w:val="none" w:sz="0" w:space="0" w:color="auto"/>
            <w:left w:val="none" w:sz="0" w:space="0" w:color="auto"/>
            <w:bottom w:val="none" w:sz="0" w:space="0" w:color="auto"/>
            <w:right w:val="none" w:sz="0" w:space="0" w:color="auto"/>
          </w:divBdr>
          <w:divsChild>
            <w:div w:id="499589077">
              <w:marLeft w:val="0"/>
              <w:marRight w:val="0"/>
              <w:marTop w:val="0"/>
              <w:marBottom w:val="0"/>
              <w:divBdr>
                <w:top w:val="none" w:sz="0" w:space="0" w:color="auto"/>
                <w:left w:val="none" w:sz="0" w:space="0" w:color="auto"/>
                <w:bottom w:val="none" w:sz="0" w:space="0" w:color="auto"/>
                <w:right w:val="none" w:sz="0" w:space="0" w:color="auto"/>
              </w:divBdr>
            </w:div>
          </w:divsChild>
        </w:div>
        <w:div w:id="828715810">
          <w:marLeft w:val="0"/>
          <w:marRight w:val="0"/>
          <w:marTop w:val="0"/>
          <w:marBottom w:val="0"/>
          <w:divBdr>
            <w:top w:val="none" w:sz="0" w:space="0" w:color="auto"/>
            <w:left w:val="none" w:sz="0" w:space="0" w:color="auto"/>
            <w:bottom w:val="none" w:sz="0" w:space="0" w:color="auto"/>
            <w:right w:val="none" w:sz="0" w:space="0" w:color="auto"/>
          </w:divBdr>
          <w:divsChild>
            <w:div w:id="843519379">
              <w:marLeft w:val="0"/>
              <w:marRight w:val="0"/>
              <w:marTop w:val="0"/>
              <w:marBottom w:val="0"/>
              <w:divBdr>
                <w:top w:val="none" w:sz="0" w:space="0" w:color="auto"/>
                <w:left w:val="none" w:sz="0" w:space="0" w:color="auto"/>
                <w:bottom w:val="none" w:sz="0" w:space="0" w:color="auto"/>
                <w:right w:val="none" w:sz="0" w:space="0" w:color="auto"/>
              </w:divBdr>
            </w:div>
          </w:divsChild>
        </w:div>
        <w:div w:id="895898439">
          <w:marLeft w:val="0"/>
          <w:marRight w:val="0"/>
          <w:marTop w:val="0"/>
          <w:marBottom w:val="0"/>
          <w:divBdr>
            <w:top w:val="none" w:sz="0" w:space="0" w:color="auto"/>
            <w:left w:val="none" w:sz="0" w:space="0" w:color="auto"/>
            <w:bottom w:val="none" w:sz="0" w:space="0" w:color="auto"/>
            <w:right w:val="none" w:sz="0" w:space="0" w:color="auto"/>
          </w:divBdr>
          <w:divsChild>
            <w:div w:id="2073309332">
              <w:marLeft w:val="0"/>
              <w:marRight w:val="0"/>
              <w:marTop w:val="0"/>
              <w:marBottom w:val="0"/>
              <w:divBdr>
                <w:top w:val="none" w:sz="0" w:space="0" w:color="auto"/>
                <w:left w:val="none" w:sz="0" w:space="0" w:color="auto"/>
                <w:bottom w:val="none" w:sz="0" w:space="0" w:color="auto"/>
                <w:right w:val="none" w:sz="0" w:space="0" w:color="auto"/>
              </w:divBdr>
            </w:div>
          </w:divsChild>
        </w:div>
        <w:div w:id="925184924">
          <w:marLeft w:val="0"/>
          <w:marRight w:val="0"/>
          <w:marTop w:val="0"/>
          <w:marBottom w:val="0"/>
          <w:divBdr>
            <w:top w:val="none" w:sz="0" w:space="0" w:color="auto"/>
            <w:left w:val="none" w:sz="0" w:space="0" w:color="auto"/>
            <w:bottom w:val="none" w:sz="0" w:space="0" w:color="auto"/>
            <w:right w:val="none" w:sz="0" w:space="0" w:color="auto"/>
          </w:divBdr>
          <w:divsChild>
            <w:div w:id="131411125">
              <w:marLeft w:val="0"/>
              <w:marRight w:val="0"/>
              <w:marTop w:val="0"/>
              <w:marBottom w:val="0"/>
              <w:divBdr>
                <w:top w:val="none" w:sz="0" w:space="0" w:color="auto"/>
                <w:left w:val="none" w:sz="0" w:space="0" w:color="auto"/>
                <w:bottom w:val="none" w:sz="0" w:space="0" w:color="auto"/>
                <w:right w:val="none" w:sz="0" w:space="0" w:color="auto"/>
              </w:divBdr>
            </w:div>
          </w:divsChild>
        </w:div>
        <w:div w:id="976179745">
          <w:marLeft w:val="0"/>
          <w:marRight w:val="0"/>
          <w:marTop w:val="0"/>
          <w:marBottom w:val="0"/>
          <w:divBdr>
            <w:top w:val="none" w:sz="0" w:space="0" w:color="auto"/>
            <w:left w:val="none" w:sz="0" w:space="0" w:color="auto"/>
            <w:bottom w:val="none" w:sz="0" w:space="0" w:color="auto"/>
            <w:right w:val="none" w:sz="0" w:space="0" w:color="auto"/>
          </w:divBdr>
          <w:divsChild>
            <w:div w:id="1155610539">
              <w:marLeft w:val="0"/>
              <w:marRight w:val="0"/>
              <w:marTop w:val="0"/>
              <w:marBottom w:val="0"/>
              <w:divBdr>
                <w:top w:val="none" w:sz="0" w:space="0" w:color="auto"/>
                <w:left w:val="none" w:sz="0" w:space="0" w:color="auto"/>
                <w:bottom w:val="none" w:sz="0" w:space="0" w:color="auto"/>
                <w:right w:val="none" w:sz="0" w:space="0" w:color="auto"/>
              </w:divBdr>
            </w:div>
          </w:divsChild>
        </w:div>
        <w:div w:id="996570835">
          <w:marLeft w:val="0"/>
          <w:marRight w:val="0"/>
          <w:marTop w:val="0"/>
          <w:marBottom w:val="0"/>
          <w:divBdr>
            <w:top w:val="none" w:sz="0" w:space="0" w:color="auto"/>
            <w:left w:val="none" w:sz="0" w:space="0" w:color="auto"/>
            <w:bottom w:val="none" w:sz="0" w:space="0" w:color="auto"/>
            <w:right w:val="none" w:sz="0" w:space="0" w:color="auto"/>
          </w:divBdr>
          <w:divsChild>
            <w:div w:id="1750544706">
              <w:marLeft w:val="0"/>
              <w:marRight w:val="0"/>
              <w:marTop w:val="0"/>
              <w:marBottom w:val="0"/>
              <w:divBdr>
                <w:top w:val="none" w:sz="0" w:space="0" w:color="auto"/>
                <w:left w:val="none" w:sz="0" w:space="0" w:color="auto"/>
                <w:bottom w:val="none" w:sz="0" w:space="0" w:color="auto"/>
                <w:right w:val="none" w:sz="0" w:space="0" w:color="auto"/>
              </w:divBdr>
            </w:div>
          </w:divsChild>
        </w:div>
        <w:div w:id="1058745732">
          <w:marLeft w:val="0"/>
          <w:marRight w:val="0"/>
          <w:marTop w:val="0"/>
          <w:marBottom w:val="0"/>
          <w:divBdr>
            <w:top w:val="none" w:sz="0" w:space="0" w:color="auto"/>
            <w:left w:val="none" w:sz="0" w:space="0" w:color="auto"/>
            <w:bottom w:val="none" w:sz="0" w:space="0" w:color="auto"/>
            <w:right w:val="none" w:sz="0" w:space="0" w:color="auto"/>
          </w:divBdr>
          <w:divsChild>
            <w:div w:id="1090783941">
              <w:marLeft w:val="0"/>
              <w:marRight w:val="0"/>
              <w:marTop w:val="0"/>
              <w:marBottom w:val="0"/>
              <w:divBdr>
                <w:top w:val="none" w:sz="0" w:space="0" w:color="auto"/>
                <w:left w:val="none" w:sz="0" w:space="0" w:color="auto"/>
                <w:bottom w:val="none" w:sz="0" w:space="0" w:color="auto"/>
                <w:right w:val="none" w:sz="0" w:space="0" w:color="auto"/>
              </w:divBdr>
            </w:div>
          </w:divsChild>
        </w:div>
        <w:div w:id="1059400419">
          <w:marLeft w:val="0"/>
          <w:marRight w:val="0"/>
          <w:marTop w:val="0"/>
          <w:marBottom w:val="0"/>
          <w:divBdr>
            <w:top w:val="none" w:sz="0" w:space="0" w:color="auto"/>
            <w:left w:val="none" w:sz="0" w:space="0" w:color="auto"/>
            <w:bottom w:val="none" w:sz="0" w:space="0" w:color="auto"/>
            <w:right w:val="none" w:sz="0" w:space="0" w:color="auto"/>
          </w:divBdr>
          <w:divsChild>
            <w:div w:id="963196696">
              <w:marLeft w:val="0"/>
              <w:marRight w:val="0"/>
              <w:marTop w:val="0"/>
              <w:marBottom w:val="0"/>
              <w:divBdr>
                <w:top w:val="none" w:sz="0" w:space="0" w:color="auto"/>
                <w:left w:val="none" w:sz="0" w:space="0" w:color="auto"/>
                <w:bottom w:val="none" w:sz="0" w:space="0" w:color="auto"/>
                <w:right w:val="none" w:sz="0" w:space="0" w:color="auto"/>
              </w:divBdr>
            </w:div>
          </w:divsChild>
        </w:div>
        <w:div w:id="1073545420">
          <w:marLeft w:val="0"/>
          <w:marRight w:val="0"/>
          <w:marTop w:val="0"/>
          <w:marBottom w:val="0"/>
          <w:divBdr>
            <w:top w:val="none" w:sz="0" w:space="0" w:color="auto"/>
            <w:left w:val="none" w:sz="0" w:space="0" w:color="auto"/>
            <w:bottom w:val="none" w:sz="0" w:space="0" w:color="auto"/>
            <w:right w:val="none" w:sz="0" w:space="0" w:color="auto"/>
          </w:divBdr>
          <w:divsChild>
            <w:div w:id="578321692">
              <w:marLeft w:val="0"/>
              <w:marRight w:val="0"/>
              <w:marTop w:val="0"/>
              <w:marBottom w:val="0"/>
              <w:divBdr>
                <w:top w:val="none" w:sz="0" w:space="0" w:color="auto"/>
                <w:left w:val="none" w:sz="0" w:space="0" w:color="auto"/>
                <w:bottom w:val="none" w:sz="0" w:space="0" w:color="auto"/>
                <w:right w:val="none" w:sz="0" w:space="0" w:color="auto"/>
              </w:divBdr>
            </w:div>
          </w:divsChild>
        </w:div>
        <w:div w:id="1074283571">
          <w:marLeft w:val="0"/>
          <w:marRight w:val="0"/>
          <w:marTop w:val="0"/>
          <w:marBottom w:val="0"/>
          <w:divBdr>
            <w:top w:val="none" w:sz="0" w:space="0" w:color="auto"/>
            <w:left w:val="none" w:sz="0" w:space="0" w:color="auto"/>
            <w:bottom w:val="none" w:sz="0" w:space="0" w:color="auto"/>
            <w:right w:val="none" w:sz="0" w:space="0" w:color="auto"/>
          </w:divBdr>
          <w:divsChild>
            <w:div w:id="281228203">
              <w:marLeft w:val="0"/>
              <w:marRight w:val="0"/>
              <w:marTop w:val="0"/>
              <w:marBottom w:val="0"/>
              <w:divBdr>
                <w:top w:val="none" w:sz="0" w:space="0" w:color="auto"/>
                <w:left w:val="none" w:sz="0" w:space="0" w:color="auto"/>
                <w:bottom w:val="none" w:sz="0" w:space="0" w:color="auto"/>
                <w:right w:val="none" w:sz="0" w:space="0" w:color="auto"/>
              </w:divBdr>
            </w:div>
          </w:divsChild>
        </w:div>
        <w:div w:id="1089546670">
          <w:marLeft w:val="0"/>
          <w:marRight w:val="0"/>
          <w:marTop w:val="0"/>
          <w:marBottom w:val="0"/>
          <w:divBdr>
            <w:top w:val="none" w:sz="0" w:space="0" w:color="auto"/>
            <w:left w:val="none" w:sz="0" w:space="0" w:color="auto"/>
            <w:bottom w:val="none" w:sz="0" w:space="0" w:color="auto"/>
            <w:right w:val="none" w:sz="0" w:space="0" w:color="auto"/>
          </w:divBdr>
          <w:divsChild>
            <w:div w:id="543445049">
              <w:marLeft w:val="0"/>
              <w:marRight w:val="0"/>
              <w:marTop w:val="0"/>
              <w:marBottom w:val="0"/>
              <w:divBdr>
                <w:top w:val="none" w:sz="0" w:space="0" w:color="auto"/>
                <w:left w:val="none" w:sz="0" w:space="0" w:color="auto"/>
                <w:bottom w:val="none" w:sz="0" w:space="0" w:color="auto"/>
                <w:right w:val="none" w:sz="0" w:space="0" w:color="auto"/>
              </w:divBdr>
            </w:div>
          </w:divsChild>
        </w:div>
        <w:div w:id="1107505740">
          <w:marLeft w:val="0"/>
          <w:marRight w:val="0"/>
          <w:marTop w:val="0"/>
          <w:marBottom w:val="0"/>
          <w:divBdr>
            <w:top w:val="none" w:sz="0" w:space="0" w:color="auto"/>
            <w:left w:val="none" w:sz="0" w:space="0" w:color="auto"/>
            <w:bottom w:val="none" w:sz="0" w:space="0" w:color="auto"/>
            <w:right w:val="none" w:sz="0" w:space="0" w:color="auto"/>
          </w:divBdr>
          <w:divsChild>
            <w:div w:id="1985960514">
              <w:marLeft w:val="0"/>
              <w:marRight w:val="0"/>
              <w:marTop w:val="0"/>
              <w:marBottom w:val="0"/>
              <w:divBdr>
                <w:top w:val="none" w:sz="0" w:space="0" w:color="auto"/>
                <w:left w:val="none" w:sz="0" w:space="0" w:color="auto"/>
                <w:bottom w:val="none" w:sz="0" w:space="0" w:color="auto"/>
                <w:right w:val="none" w:sz="0" w:space="0" w:color="auto"/>
              </w:divBdr>
            </w:div>
          </w:divsChild>
        </w:div>
        <w:div w:id="1116020245">
          <w:marLeft w:val="0"/>
          <w:marRight w:val="0"/>
          <w:marTop w:val="0"/>
          <w:marBottom w:val="0"/>
          <w:divBdr>
            <w:top w:val="none" w:sz="0" w:space="0" w:color="auto"/>
            <w:left w:val="none" w:sz="0" w:space="0" w:color="auto"/>
            <w:bottom w:val="none" w:sz="0" w:space="0" w:color="auto"/>
            <w:right w:val="none" w:sz="0" w:space="0" w:color="auto"/>
          </w:divBdr>
          <w:divsChild>
            <w:div w:id="75712886">
              <w:marLeft w:val="0"/>
              <w:marRight w:val="0"/>
              <w:marTop w:val="0"/>
              <w:marBottom w:val="0"/>
              <w:divBdr>
                <w:top w:val="none" w:sz="0" w:space="0" w:color="auto"/>
                <w:left w:val="none" w:sz="0" w:space="0" w:color="auto"/>
                <w:bottom w:val="none" w:sz="0" w:space="0" w:color="auto"/>
                <w:right w:val="none" w:sz="0" w:space="0" w:color="auto"/>
              </w:divBdr>
            </w:div>
          </w:divsChild>
        </w:div>
        <w:div w:id="1129124241">
          <w:marLeft w:val="0"/>
          <w:marRight w:val="0"/>
          <w:marTop w:val="0"/>
          <w:marBottom w:val="0"/>
          <w:divBdr>
            <w:top w:val="none" w:sz="0" w:space="0" w:color="auto"/>
            <w:left w:val="none" w:sz="0" w:space="0" w:color="auto"/>
            <w:bottom w:val="none" w:sz="0" w:space="0" w:color="auto"/>
            <w:right w:val="none" w:sz="0" w:space="0" w:color="auto"/>
          </w:divBdr>
          <w:divsChild>
            <w:div w:id="6105730">
              <w:marLeft w:val="0"/>
              <w:marRight w:val="0"/>
              <w:marTop w:val="0"/>
              <w:marBottom w:val="0"/>
              <w:divBdr>
                <w:top w:val="none" w:sz="0" w:space="0" w:color="auto"/>
                <w:left w:val="none" w:sz="0" w:space="0" w:color="auto"/>
                <w:bottom w:val="none" w:sz="0" w:space="0" w:color="auto"/>
                <w:right w:val="none" w:sz="0" w:space="0" w:color="auto"/>
              </w:divBdr>
            </w:div>
          </w:divsChild>
        </w:div>
        <w:div w:id="1143111592">
          <w:marLeft w:val="0"/>
          <w:marRight w:val="0"/>
          <w:marTop w:val="0"/>
          <w:marBottom w:val="0"/>
          <w:divBdr>
            <w:top w:val="none" w:sz="0" w:space="0" w:color="auto"/>
            <w:left w:val="none" w:sz="0" w:space="0" w:color="auto"/>
            <w:bottom w:val="none" w:sz="0" w:space="0" w:color="auto"/>
            <w:right w:val="none" w:sz="0" w:space="0" w:color="auto"/>
          </w:divBdr>
          <w:divsChild>
            <w:div w:id="1910532976">
              <w:marLeft w:val="0"/>
              <w:marRight w:val="0"/>
              <w:marTop w:val="0"/>
              <w:marBottom w:val="0"/>
              <w:divBdr>
                <w:top w:val="none" w:sz="0" w:space="0" w:color="auto"/>
                <w:left w:val="none" w:sz="0" w:space="0" w:color="auto"/>
                <w:bottom w:val="none" w:sz="0" w:space="0" w:color="auto"/>
                <w:right w:val="none" w:sz="0" w:space="0" w:color="auto"/>
              </w:divBdr>
            </w:div>
          </w:divsChild>
        </w:div>
        <w:div w:id="1213734983">
          <w:marLeft w:val="0"/>
          <w:marRight w:val="0"/>
          <w:marTop w:val="0"/>
          <w:marBottom w:val="0"/>
          <w:divBdr>
            <w:top w:val="none" w:sz="0" w:space="0" w:color="auto"/>
            <w:left w:val="none" w:sz="0" w:space="0" w:color="auto"/>
            <w:bottom w:val="none" w:sz="0" w:space="0" w:color="auto"/>
            <w:right w:val="none" w:sz="0" w:space="0" w:color="auto"/>
          </w:divBdr>
          <w:divsChild>
            <w:div w:id="1104152595">
              <w:marLeft w:val="0"/>
              <w:marRight w:val="0"/>
              <w:marTop w:val="0"/>
              <w:marBottom w:val="0"/>
              <w:divBdr>
                <w:top w:val="none" w:sz="0" w:space="0" w:color="auto"/>
                <w:left w:val="none" w:sz="0" w:space="0" w:color="auto"/>
                <w:bottom w:val="none" w:sz="0" w:space="0" w:color="auto"/>
                <w:right w:val="none" w:sz="0" w:space="0" w:color="auto"/>
              </w:divBdr>
            </w:div>
          </w:divsChild>
        </w:div>
        <w:div w:id="1224487210">
          <w:marLeft w:val="0"/>
          <w:marRight w:val="0"/>
          <w:marTop w:val="0"/>
          <w:marBottom w:val="0"/>
          <w:divBdr>
            <w:top w:val="none" w:sz="0" w:space="0" w:color="auto"/>
            <w:left w:val="none" w:sz="0" w:space="0" w:color="auto"/>
            <w:bottom w:val="none" w:sz="0" w:space="0" w:color="auto"/>
            <w:right w:val="none" w:sz="0" w:space="0" w:color="auto"/>
          </w:divBdr>
          <w:divsChild>
            <w:div w:id="2020085099">
              <w:marLeft w:val="0"/>
              <w:marRight w:val="0"/>
              <w:marTop w:val="0"/>
              <w:marBottom w:val="0"/>
              <w:divBdr>
                <w:top w:val="none" w:sz="0" w:space="0" w:color="auto"/>
                <w:left w:val="none" w:sz="0" w:space="0" w:color="auto"/>
                <w:bottom w:val="none" w:sz="0" w:space="0" w:color="auto"/>
                <w:right w:val="none" w:sz="0" w:space="0" w:color="auto"/>
              </w:divBdr>
            </w:div>
          </w:divsChild>
        </w:div>
        <w:div w:id="1241674028">
          <w:marLeft w:val="0"/>
          <w:marRight w:val="0"/>
          <w:marTop w:val="0"/>
          <w:marBottom w:val="0"/>
          <w:divBdr>
            <w:top w:val="none" w:sz="0" w:space="0" w:color="auto"/>
            <w:left w:val="none" w:sz="0" w:space="0" w:color="auto"/>
            <w:bottom w:val="none" w:sz="0" w:space="0" w:color="auto"/>
            <w:right w:val="none" w:sz="0" w:space="0" w:color="auto"/>
          </w:divBdr>
          <w:divsChild>
            <w:div w:id="711350500">
              <w:marLeft w:val="0"/>
              <w:marRight w:val="0"/>
              <w:marTop w:val="0"/>
              <w:marBottom w:val="0"/>
              <w:divBdr>
                <w:top w:val="none" w:sz="0" w:space="0" w:color="auto"/>
                <w:left w:val="none" w:sz="0" w:space="0" w:color="auto"/>
                <w:bottom w:val="none" w:sz="0" w:space="0" w:color="auto"/>
                <w:right w:val="none" w:sz="0" w:space="0" w:color="auto"/>
              </w:divBdr>
            </w:div>
          </w:divsChild>
        </w:div>
        <w:div w:id="1288976581">
          <w:marLeft w:val="0"/>
          <w:marRight w:val="0"/>
          <w:marTop w:val="0"/>
          <w:marBottom w:val="0"/>
          <w:divBdr>
            <w:top w:val="none" w:sz="0" w:space="0" w:color="auto"/>
            <w:left w:val="none" w:sz="0" w:space="0" w:color="auto"/>
            <w:bottom w:val="none" w:sz="0" w:space="0" w:color="auto"/>
            <w:right w:val="none" w:sz="0" w:space="0" w:color="auto"/>
          </w:divBdr>
          <w:divsChild>
            <w:div w:id="1447114791">
              <w:marLeft w:val="0"/>
              <w:marRight w:val="0"/>
              <w:marTop w:val="0"/>
              <w:marBottom w:val="0"/>
              <w:divBdr>
                <w:top w:val="none" w:sz="0" w:space="0" w:color="auto"/>
                <w:left w:val="none" w:sz="0" w:space="0" w:color="auto"/>
                <w:bottom w:val="none" w:sz="0" w:space="0" w:color="auto"/>
                <w:right w:val="none" w:sz="0" w:space="0" w:color="auto"/>
              </w:divBdr>
            </w:div>
          </w:divsChild>
        </w:div>
        <w:div w:id="1312558998">
          <w:marLeft w:val="0"/>
          <w:marRight w:val="0"/>
          <w:marTop w:val="0"/>
          <w:marBottom w:val="0"/>
          <w:divBdr>
            <w:top w:val="none" w:sz="0" w:space="0" w:color="auto"/>
            <w:left w:val="none" w:sz="0" w:space="0" w:color="auto"/>
            <w:bottom w:val="none" w:sz="0" w:space="0" w:color="auto"/>
            <w:right w:val="none" w:sz="0" w:space="0" w:color="auto"/>
          </w:divBdr>
          <w:divsChild>
            <w:div w:id="2061050110">
              <w:marLeft w:val="0"/>
              <w:marRight w:val="0"/>
              <w:marTop w:val="0"/>
              <w:marBottom w:val="0"/>
              <w:divBdr>
                <w:top w:val="none" w:sz="0" w:space="0" w:color="auto"/>
                <w:left w:val="none" w:sz="0" w:space="0" w:color="auto"/>
                <w:bottom w:val="none" w:sz="0" w:space="0" w:color="auto"/>
                <w:right w:val="none" w:sz="0" w:space="0" w:color="auto"/>
              </w:divBdr>
            </w:div>
          </w:divsChild>
        </w:div>
        <w:div w:id="1326320793">
          <w:marLeft w:val="0"/>
          <w:marRight w:val="0"/>
          <w:marTop w:val="0"/>
          <w:marBottom w:val="0"/>
          <w:divBdr>
            <w:top w:val="none" w:sz="0" w:space="0" w:color="auto"/>
            <w:left w:val="none" w:sz="0" w:space="0" w:color="auto"/>
            <w:bottom w:val="none" w:sz="0" w:space="0" w:color="auto"/>
            <w:right w:val="none" w:sz="0" w:space="0" w:color="auto"/>
          </w:divBdr>
          <w:divsChild>
            <w:div w:id="791173735">
              <w:marLeft w:val="0"/>
              <w:marRight w:val="0"/>
              <w:marTop w:val="0"/>
              <w:marBottom w:val="0"/>
              <w:divBdr>
                <w:top w:val="none" w:sz="0" w:space="0" w:color="auto"/>
                <w:left w:val="none" w:sz="0" w:space="0" w:color="auto"/>
                <w:bottom w:val="none" w:sz="0" w:space="0" w:color="auto"/>
                <w:right w:val="none" w:sz="0" w:space="0" w:color="auto"/>
              </w:divBdr>
            </w:div>
          </w:divsChild>
        </w:div>
        <w:div w:id="1333335472">
          <w:marLeft w:val="0"/>
          <w:marRight w:val="0"/>
          <w:marTop w:val="0"/>
          <w:marBottom w:val="0"/>
          <w:divBdr>
            <w:top w:val="none" w:sz="0" w:space="0" w:color="auto"/>
            <w:left w:val="none" w:sz="0" w:space="0" w:color="auto"/>
            <w:bottom w:val="none" w:sz="0" w:space="0" w:color="auto"/>
            <w:right w:val="none" w:sz="0" w:space="0" w:color="auto"/>
          </w:divBdr>
          <w:divsChild>
            <w:div w:id="653491814">
              <w:marLeft w:val="0"/>
              <w:marRight w:val="0"/>
              <w:marTop w:val="0"/>
              <w:marBottom w:val="0"/>
              <w:divBdr>
                <w:top w:val="none" w:sz="0" w:space="0" w:color="auto"/>
                <w:left w:val="none" w:sz="0" w:space="0" w:color="auto"/>
                <w:bottom w:val="none" w:sz="0" w:space="0" w:color="auto"/>
                <w:right w:val="none" w:sz="0" w:space="0" w:color="auto"/>
              </w:divBdr>
            </w:div>
          </w:divsChild>
        </w:div>
        <w:div w:id="1356422159">
          <w:marLeft w:val="0"/>
          <w:marRight w:val="0"/>
          <w:marTop w:val="0"/>
          <w:marBottom w:val="0"/>
          <w:divBdr>
            <w:top w:val="none" w:sz="0" w:space="0" w:color="auto"/>
            <w:left w:val="none" w:sz="0" w:space="0" w:color="auto"/>
            <w:bottom w:val="none" w:sz="0" w:space="0" w:color="auto"/>
            <w:right w:val="none" w:sz="0" w:space="0" w:color="auto"/>
          </w:divBdr>
          <w:divsChild>
            <w:div w:id="784813394">
              <w:marLeft w:val="0"/>
              <w:marRight w:val="0"/>
              <w:marTop w:val="0"/>
              <w:marBottom w:val="0"/>
              <w:divBdr>
                <w:top w:val="none" w:sz="0" w:space="0" w:color="auto"/>
                <w:left w:val="none" w:sz="0" w:space="0" w:color="auto"/>
                <w:bottom w:val="none" w:sz="0" w:space="0" w:color="auto"/>
                <w:right w:val="none" w:sz="0" w:space="0" w:color="auto"/>
              </w:divBdr>
            </w:div>
          </w:divsChild>
        </w:div>
        <w:div w:id="1363170547">
          <w:marLeft w:val="0"/>
          <w:marRight w:val="0"/>
          <w:marTop w:val="0"/>
          <w:marBottom w:val="0"/>
          <w:divBdr>
            <w:top w:val="none" w:sz="0" w:space="0" w:color="auto"/>
            <w:left w:val="none" w:sz="0" w:space="0" w:color="auto"/>
            <w:bottom w:val="none" w:sz="0" w:space="0" w:color="auto"/>
            <w:right w:val="none" w:sz="0" w:space="0" w:color="auto"/>
          </w:divBdr>
          <w:divsChild>
            <w:div w:id="1274553178">
              <w:marLeft w:val="0"/>
              <w:marRight w:val="0"/>
              <w:marTop w:val="0"/>
              <w:marBottom w:val="0"/>
              <w:divBdr>
                <w:top w:val="none" w:sz="0" w:space="0" w:color="auto"/>
                <w:left w:val="none" w:sz="0" w:space="0" w:color="auto"/>
                <w:bottom w:val="none" w:sz="0" w:space="0" w:color="auto"/>
                <w:right w:val="none" w:sz="0" w:space="0" w:color="auto"/>
              </w:divBdr>
            </w:div>
          </w:divsChild>
        </w:div>
        <w:div w:id="1404184419">
          <w:marLeft w:val="0"/>
          <w:marRight w:val="0"/>
          <w:marTop w:val="0"/>
          <w:marBottom w:val="0"/>
          <w:divBdr>
            <w:top w:val="none" w:sz="0" w:space="0" w:color="auto"/>
            <w:left w:val="none" w:sz="0" w:space="0" w:color="auto"/>
            <w:bottom w:val="none" w:sz="0" w:space="0" w:color="auto"/>
            <w:right w:val="none" w:sz="0" w:space="0" w:color="auto"/>
          </w:divBdr>
          <w:divsChild>
            <w:div w:id="1709253323">
              <w:marLeft w:val="0"/>
              <w:marRight w:val="0"/>
              <w:marTop w:val="0"/>
              <w:marBottom w:val="0"/>
              <w:divBdr>
                <w:top w:val="none" w:sz="0" w:space="0" w:color="auto"/>
                <w:left w:val="none" w:sz="0" w:space="0" w:color="auto"/>
                <w:bottom w:val="none" w:sz="0" w:space="0" w:color="auto"/>
                <w:right w:val="none" w:sz="0" w:space="0" w:color="auto"/>
              </w:divBdr>
            </w:div>
          </w:divsChild>
        </w:div>
        <w:div w:id="1470249669">
          <w:marLeft w:val="0"/>
          <w:marRight w:val="0"/>
          <w:marTop w:val="0"/>
          <w:marBottom w:val="0"/>
          <w:divBdr>
            <w:top w:val="none" w:sz="0" w:space="0" w:color="auto"/>
            <w:left w:val="none" w:sz="0" w:space="0" w:color="auto"/>
            <w:bottom w:val="none" w:sz="0" w:space="0" w:color="auto"/>
            <w:right w:val="none" w:sz="0" w:space="0" w:color="auto"/>
          </w:divBdr>
          <w:divsChild>
            <w:div w:id="1278492442">
              <w:marLeft w:val="0"/>
              <w:marRight w:val="0"/>
              <w:marTop w:val="0"/>
              <w:marBottom w:val="0"/>
              <w:divBdr>
                <w:top w:val="none" w:sz="0" w:space="0" w:color="auto"/>
                <w:left w:val="none" w:sz="0" w:space="0" w:color="auto"/>
                <w:bottom w:val="none" w:sz="0" w:space="0" w:color="auto"/>
                <w:right w:val="none" w:sz="0" w:space="0" w:color="auto"/>
              </w:divBdr>
            </w:div>
          </w:divsChild>
        </w:div>
        <w:div w:id="1473716990">
          <w:marLeft w:val="0"/>
          <w:marRight w:val="0"/>
          <w:marTop w:val="0"/>
          <w:marBottom w:val="0"/>
          <w:divBdr>
            <w:top w:val="none" w:sz="0" w:space="0" w:color="auto"/>
            <w:left w:val="none" w:sz="0" w:space="0" w:color="auto"/>
            <w:bottom w:val="none" w:sz="0" w:space="0" w:color="auto"/>
            <w:right w:val="none" w:sz="0" w:space="0" w:color="auto"/>
          </w:divBdr>
          <w:divsChild>
            <w:div w:id="2028096283">
              <w:marLeft w:val="0"/>
              <w:marRight w:val="0"/>
              <w:marTop w:val="0"/>
              <w:marBottom w:val="0"/>
              <w:divBdr>
                <w:top w:val="none" w:sz="0" w:space="0" w:color="auto"/>
                <w:left w:val="none" w:sz="0" w:space="0" w:color="auto"/>
                <w:bottom w:val="none" w:sz="0" w:space="0" w:color="auto"/>
                <w:right w:val="none" w:sz="0" w:space="0" w:color="auto"/>
              </w:divBdr>
            </w:div>
          </w:divsChild>
        </w:div>
        <w:div w:id="1548640946">
          <w:marLeft w:val="0"/>
          <w:marRight w:val="0"/>
          <w:marTop w:val="0"/>
          <w:marBottom w:val="0"/>
          <w:divBdr>
            <w:top w:val="none" w:sz="0" w:space="0" w:color="auto"/>
            <w:left w:val="none" w:sz="0" w:space="0" w:color="auto"/>
            <w:bottom w:val="none" w:sz="0" w:space="0" w:color="auto"/>
            <w:right w:val="none" w:sz="0" w:space="0" w:color="auto"/>
          </w:divBdr>
          <w:divsChild>
            <w:div w:id="624195218">
              <w:marLeft w:val="0"/>
              <w:marRight w:val="0"/>
              <w:marTop w:val="0"/>
              <w:marBottom w:val="0"/>
              <w:divBdr>
                <w:top w:val="none" w:sz="0" w:space="0" w:color="auto"/>
                <w:left w:val="none" w:sz="0" w:space="0" w:color="auto"/>
                <w:bottom w:val="none" w:sz="0" w:space="0" w:color="auto"/>
                <w:right w:val="none" w:sz="0" w:space="0" w:color="auto"/>
              </w:divBdr>
            </w:div>
          </w:divsChild>
        </w:div>
        <w:div w:id="1565992799">
          <w:marLeft w:val="0"/>
          <w:marRight w:val="0"/>
          <w:marTop w:val="0"/>
          <w:marBottom w:val="0"/>
          <w:divBdr>
            <w:top w:val="none" w:sz="0" w:space="0" w:color="auto"/>
            <w:left w:val="none" w:sz="0" w:space="0" w:color="auto"/>
            <w:bottom w:val="none" w:sz="0" w:space="0" w:color="auto"/>
            <w:right w:val="none" w:sz="0" w:space="0" w:color="auto"/>
          </w:divBdr>
          <w:divsChild>
            <w:div w:id="548568045">
              <w:marLeft w:val="0"/>
              <w:marRight w:val="0"/>
              <w:marTop w:val="0"/>
              <w:marBottom w:val="0"/>
              <w:divBdr>
                <w:top w:val="none" w:sz="0" w:space="0" w:color="auto"/>
                <w:left w:val="none" w:sz="0" w:space="0" w:color="auto"/>
                <w:bottom w:val="none" w:sz="0" w:space="0" w:color="auto"/>
                <w:right w:val="none" w:sz="0" w:space="0" w:color="auto"/>
              </w:divBdr>
            </w:div>
          </w:divsChild>
        </w:div>
        <w:div w:id="1618487513">
          <w:marLeft w:val="0"/>
          <w:marRight w:val="0"/>
          <w:marTop w:val="0"/>
          <w:marBottom w:val="0"/>
          <w:divBdr>
            <w:top w:val="none" w:sz="0" w:space="0" w:color="auto"/>
            <w:left w:val="none" w:sz="0" w:space="0" w:color="auto"/>
            <w:bottom w:val="none" w:sz="0" w:space="0" w:color="auto"/>
            <w:right w:val="none" w:sz="0" w:space="0" w:color="auto"/>
          </w:divBdr>
          <w:divsChild>
            <w:div w:id="190651216">
              <w:marLeft w:val="0"/>
              <w:marRight w:val="0"/>
              <w:marTop w:val="0"/>
              <w:marBottom w:val="0"/>
              <w:divBdr>
                <w:top w:val="none" w:sz="0" w:space="0" w:color="auto"/>
                <w:left w:val="none" w:sz="0" w:space="0" w:color="auto"/>
                <w:bottom w:val="none" w:sz="0" w:space="0" w:color="auto"/>
                <w:right w:val="none" w:sz="0" w:space="0" w:color="auto"/>
              </w:divBdr>
            </w:div>
          </w:divsChild>
        </w:div>
        <w:div w:id="1620648292">
          <w:marLeft w:val="0"/>
          <w:marRight w:val="0"/>
          <w:marTop w:val="0"/>
          <w:marBottom w:val="0"/>
          <w:divBdr>
            <w:top w:val="none" w:sz="0" w:space="0" w:color="auto"/>
            <w:left w:val="none" w:sz="0" w:space="0" w:color="auto"/>
            <w:bottom w:val="none" w:sz="0" w:space="0" w:color="auto"/>
            <w:right w:val="none" w:sz="0" w:space="0" w:color="auto"/>
          </w:divBdr>
          <w:divsChild>
            <w:div w:id="51081967">
              <w:marLeft w:val="0"/>
              <w:marRight w:val="0"/>
              <w:marTop w:val="0"/>
              <w:marBottom w:val="0"/>
              <w:divBdr>
                <w:top w:val="none" w:sz="0" w:space="0" w:color="auto"/>
                <w:left w:val="none" w:sz="0" w:space="0" w:color="auto"/>
                <w:bottom w:val="none" w:sz="0" w:space="0" w:color="auto"/>
                <w:right w:val="none" w:sz="0" w:space="0" w:color="auto"/>
              </w:divBdr>
            </w:div>
          </w:divsChild>
        </w:div>
        <w:div w:id="1638142371">
          <w:marLeft w:val="0"/>
          <w:marRight w:val="0"/>
          <w:marTop w:val="0"/>
          <w:marBottom w:val="0"/>
          <w:divBdr>
            <w:top w:val="none" w:sz="0" w:space="0" w:color="auto"/>
            <w:left w:val="none" w:sz="0" w:space="0" w:color="auto"/>
            <w:bottom w:val="none" w:sz="0" w:space="0" w:color="auto"/>
            <w:right w:val="none" w:sz="0" w:space="0" w:color="auto"/>
          </w:divBdr>
          <w:divsChild>
            <w:div w:id="1807503268">
              <w:marLeft w:val="0"/>
              <w:marRight w:val="0"/>
              <w:marTop w:val="0"/>
              <w:marBottom w:val="0"/>
              <w:divBdr>
                <w:top w:val="none" w:sz="0" w:space="0" w:color="auto"/>
                <w:left w:val="none" w:sz="0" w:space="0" w:color="auto"/>
                <w:bottom w:val="none" w:sz="0" w:space="0" w:color="auto"/>
                <w:right w:val="none" w:sz="0" w:space="0" w:color="auto"/>
              </w:divBdr>
            </w:div>
          </w:divsChild>
        </w:div>
        <w:div w:id="1667706116">
          <w:marLeft w:val="0"/>
          <w:marRight w:val="0"/>
          <w:marTop w:val="0"/>
          <w:marBottom w:val="0"/>
          <w:divBdr>
            <w:top w:val="none" w:sz="0" w:space="0" w:color="auto"/>
            <w:left w:val="none" w:sz="0" w:space="0" w:color="auto"/>
            <w:bottom w:val="none" w:sz="0" w:space="0" w:color="auto"/>
            <w:right w:val="none" w:sz="0" w:space="0" w:color="auto"/>
          </w:divBdr>
          <w:divsChild>
            <w:div w:id="2092041419">
              <w:marLeft w:val="0"/>
              <w:marRight w:val="0"/>
              <w:marTop w:val="0"/>
              <w:marBottom w:val="0"/>
              <w:divBdr>
                <w:top w:val="none" w:sz="0" w:space="0" w:color="auto"/>
                <w:left w:val="none" w:sz="0" w:space="0" w:color="auto"/>
                <w:bottom w:val="none" w:sz="0" w:space="0" w:color="auto"/>
                <w:right w:val="none" w:sz="0" w:space="0" w:color="auto"/>
              </w:divBdr>
            </w:div>
          </w:divsChild>
        </w:div>
        <w:div w:id="1668166860">
          <w:marLeft w:val="0"/>
          <w:marRight w:val="0"/>
          <w:marTop w:val="0"/>
          <w:marBottom w:val="0"/>
          <w:divBdr>
            <w:top w:val="none" w:sz="0" w:space="0" w:color="auto"/>
            <w:left w:val="none" w:sz="0" w:space="0" w:color="auto"/>
            <w:bottom w:val="none" w:sz="0" w:space="0" w:color="auto"/>
            <w:right w:val="none" w:sz="0" w:space="0" w:color="auto"/>
          </w:divBdr>
          <w:divsChild>
            <w:div w:id="601572930">
              <w:marLeft w:val="0"/>
              <w:marRight w:val="0"/>
              <w:marTop w:val="0"/>
              <w:marBottom w:val="0"/>
              <w:divBdr>
                <w:top w:val="none" w:sz="0" w:space="0" w:color="auto"/>
                <w:left w:val="none" w:sz="0" w:space="0" w:color="auto"/>
                <w:bottom w:val="none" w:sz="0" w:space="0" w:color="auto"/>
                <w:right w:val="none" w:sz="0" w:space="0" w:color="auto"/>
              </w:divBdr>
            </w:div>
          </w:divsChild>
        </w:div>
        <w:div w:id="1671520204">
          <w:marLeft w:val="0"/>
          <w:marRight w:val="0"/>
          <w:marTop w:val="0"/>
          <w:marBottom w:val="0"/>
          <w:divBdr>
            <w:top w:val="none" w:sz="0" w:space="0" w:color="auto"/>
            <w:left w:val="none" w:sz="0" w:space="0" w:color="auto"/>
            <w:bottom w:val="none" w:sz="0" w:space="0" w:color="auto"/>
            <w:right w:val="none" w:sz="0" w:space="0" w:color="auto"/>
          </w:divBdr>
          <w:divsChild>
            <w:div w:id="835804152">
              <w:marLeft w:val="0"/>
              <w:marRight w:val="0"/>
              <w:marTop w:val="0"/>
              <w:marBottom w:val="0"/>
              <w:divBdr>
                <w:top w:val="none" w:sz="0" w:space="0" w:color="auto"/>
                <w:left w:val="none" w:sz="0" w:space="0" w:color="auto"/>
                <w:bottom w:val="none" w:sz="0" w:space="0" w:color="auto"/>
                <w:right w:val="none" w:sz="0" w:space="0" w:color="auto"/>
              </w:divBdr>
            </w:div>
          </w:divsChild>
        </w:div>
        <w:div w:id="1696426029">
          <w:marLeft w:val="0"/>
          <w:marRight w:val="0"/>
          <w:marTop w:val="0"/>
          <w:marBottom w:val="0"/>
          <w:divBdr>
            <w:top w:val="none" w:sz="0" w:space="0" w:color="auto"/>
            <w:left w:val="none" w:sz="0" w:space="0" w:color="auto"/>
            <w:bottom w:val="none" w:sz="0" w:space="0" w:color="auto"/>
            <w:right w:val="none" w:sz="0" w:space="0" w:color="auto"/>
          </w:divBdr>
          <w:divsChild>
            <w:div w:id="461852543">
              <w:marLeft w:val="0"/>
              <w:marRight w:val="0"/>
              <w:marTop w:val="0"/>
              <w:marBottom w:val="0"/>
              <w:divBdr>
                <w:top w:val="none" w:sz="0" w:space="0" w:color="auto"/>
                <w:left w:val="none" w:sz="0" w:space="0" w:color="auto"/>
                <w:bottom w:val="none" w:sz="0" w:space="0" w:color="auto"/>
                <w:right w:val="none" w:sz="0" w:space="0" w:color="auto"/>
              </w:divBdr>
            </w:div>
          </w:divsChild>
        </w:div>
        <w:div w:id="1723557990">
          <w:marLeft w:val="0"/>
          <w:marRight w:val="0"/>
          <w:marTop w:val="0"/>
          <w:marBottom w:val="0"/>
          <w:divBdr>
            <w:top w:val="none" w:sz="0" w:space="0" w:color="auto"/>
            <w:left w:val="none" w:sz="0" w:space="0" w:color="auto"/>
            <w:bottom w:val="none" w:sz="0" w:space="0" w:color="auto"/>
            <w:right w:val="none" w:sz="0" w:space="0" w:color="auto"/>
          </w:divBdr>
          <w:divsChild>
            <w:div w:id="73279597">
              <w:marLeft w:val="0"/>
              <w:marRight w:val="0"/>
              <w:marTop w:val="0"/>
              <w:marBottom w:val="0"/>
              <w:divBdr>
                <w:top w:val="none" w:sz="0" w:space="0" w:color="auto"/>
                <w:left w:val="none" w:sz="0" w:space="0" w:color="auto"/>
                <w:bottom w:val="none" w:sz="0" w:space="0" w:color="auto"/>
                <w:right w:val="none" w:sz="0" w:space="0" w:color="auto"/>
              </w:divBdr>
            </w:div>
          </w:divsChild>
        </w:div>
        <w:div w:id="1727096955">
          <w:marLeft w:val="0"/>
          <w:marRight w:val="0"/>
          <w:marTop w:val="0"/>
          <w:marBottom w:val="0"/>
          <w:divBdr>
            <w:top w:val="none" w:sz="0" w:space="0" w:color="auto"/>
            <w:left w:val="none" w:sz="0" w:space="0" w:color="auto"/>
            <w:bottom w:val="none" w:sz="0" w:space="0" w:color="auto"/>
            <w:right w:val="none" w:sz="0" w:space="0" w:color="auto"/>
          </w:divBdr>
          <w:divsChild>
            <w:div w:id="990714858">
              <w:marLeft w:val="0"/>
              <w:marRight w:val="0"/>
              <w:marTop w:val="0"/>
              <w:marBottom w:val="0"/>
              <w:divBdr>
                <w:top w:val="none" w:sz="0" w:space="0" w:color="auto"/>
                <w:left w:val="none" w:sz="0" w:space="0" w:color="auto"/>
                <w:bottom w:val="none" w:sz="0" w:space="0" w:color="auto"/>
                <w:right w:val="none" w:sz="0" w:space="0" w:color="auto"/>
              </w:divBdr>
            </w:div>
          </w:divsChild>
        </w:div>
        <w:div w:id="1733769213">
          <w:marLeft w:val="0"/>
          <w:marRight w:val="0"/>
          <w:marTop w:val="0"/>
          <w:marBottom w:val="0"/>
          <w:divBdr>
            <w:top w:val="none" w:sz="0" w:space="0" w:color="auto"/>
            <w:left w:val="none" w:sz="0" w:space="0" w:color="auto"/>
            <w:bottom w:val="none" w:sz="0" w:space="0" w:color="auto"/>
            <w:right w:val="none" w:sz="0" w:space="0" w:color="auto"/>
          </w:divBdr>
          <w:divsChild>
            <w:div w:id="175003016">
              <w:marLeft w:val="0"/>
              <w:marRight w:val="0"/>
              <w:marTop w:val="0"/>
              <w:marBottom w:val="0"/>
              <w:divBdr>
                <w:top w:val="none" w:sz="0" w:space="0" w:color="auto"/>
                <w:left w:val="none" w:sz="0" w:space="0" w:color="auto"/>
                <w:bottom w:val="none" w:sz="0" w:space="0" w:color="auto"/>
                <w:right w:val="none" w:sz="0" w:space="0" w:color="auto"/>
              </w:divBdr>
            </w:div>
          </w:divsChild>
        </w:div>
        <w:div w:id="1752585309">
          <w:marLeft w:val="0"/>
          <w:marRight w:val="0"/>
          <w:marTop w:val="0"/>
          <w:marBottom w:val="0"/>
          <w:divBdr>
            <w:top w:val="none" w:sz="0" w:space="0" w:color="auto"/>
            <w:left w:val="none" w:sz="0" w:space="0" w:color="auto"/>
            <w:bottom w:val="none" w:sz="0" w:space="0" w:color="auto"/>
            <w:right w:val="none" w:sz="0" w:space="0" w:color="auto"/>
          </w:divBdr>
          <w:divsChild>
            <w:div w:id="328556757">
              <w:marLeft w:val="0"/>
              <w:marRight w:val="0"/>
              <w:marTop w:val="0"/>
              <w:marBottom w:val="0"/>
              <w:divBdr>
                <w:top w:val="none" w:sz="0" w:space="0" w:color="auto"/>
                <w:left w:val="none" w:sz="0" w:space="0" w:color="auto"/>
                <w:bottom w:val="none" w:sz="0" w:space="0" w:color="auto"/>
                <w:right w:val="none" w:sz="0" w:space="0" w:color="auto"/>
              </w:divBdr>
            </w:div>
          </w:divsChild>
        </w:div>
        <w:div w:id="1838962809">
          <w:marLeft w:val="0"/>
          <w:marRight w:val="0"/>
          <w:marTop w:val="0"/>
          <w:marBottom w:val="0"/>
          <w:divBdr>
            <w:top w:val="none" w:sz="0" w:space="0" w:color="auto"/>
            <w:left w:val="none" w:sz="0" w:space="0" w:color="auto"/>
            <w:bottom w:val="none" w:sz="0" w:space="0" w:color="auto"/>
            <w:right w:val="none" w:sz="0" w:space="0" w:color="auto"/>
          </w:divBdr>
          <w:divsChild>
            <w:div w:id="568928679">
              <w:marLeft w:val="0"/>
              <w:marRight w:val="0"/>
              <w:marTop w:val="0"/>
              <w:marBottom w:val="0"/>
              <w:divBdr>
                <w:top w:val="none" w:sz="0" w:space="0" w:color="auto"/>
                <w:left w:val="none" w:sz="0" w:space="0" w:color="auto"/>
                <w:bottom w:val="none" w:sz="0" w:space="0" w:color="auto"/>
                <w:right w:val="none" w:sz="0" w:space="0" w:color="auto"/>
              </w:divBdr>
            </w:div>
          </w:divsChild>
        </w:div>
        <w:div w:id="1845588114">
          <w:marLeft w:val="0"/>
          <w:marRight w:val="0"/>
          <w:marTop w:val="0"/>
          <w:marBottom w:val="0"/>
          <w:divBdr>
            <w:top w:val="none" w:sz="0" w:space="0" w:color="auto"/>
            <w:left w:val="none" w:sz="0" w:space="0" w:color="auto"/>
            <w:bottom w:val="none" w:sz="0" w:space="0" w:color="auto"/>
            <w:right w:val="none" w:sz="0" w:space="0" w:color="auto"/>
          </w:divBdr>
          <w:divsChild>
            <w:div w:id="1823228165">
              <w:marLeft w:val="0"/>
              <w:marRight w:val="0"/>
              <w:marTop w:val="0"/>
              <w:marBottom w:val="0"/>
              <w:divBdr>
                <w:top w:val="none" w:sz="0" w:space="0" w:color="auto"/>
                <w:left w:val="none" w:sz="0" w:space="0" w:color="auto"/>
                <w:bottom w:val="none" w:sz="0" w:space="0" w:color="auto"/>
                <w:right w:val="none" w:sz="0" w:space="0" w:color="auto"/>
              </w:divBdr>
            </w:div>
          </w:divsChild>
        </w:div>
        <w:div w:id="1893350982">
          <w:marLeft w:val="0"/>
          <w:marRight w:val="0"/>
          <w:marTop w:val="0"/>
          <w:marBottom w:val="0"/>
          <w:divBdr>
            <w:top w:val="none" w:sz="0" w:space="0" w:color="auto"/>
            <w:left w:val="none" w:sz="0" w:space="0" w:color="auto"/>
            <w:bottom w:val="none" w:sz="0" w:space="0" w:color="auto"/>
            <w:right w:val="none" w:sz="0" w:space="0" w:color="auto"/>
          </w:divBdr>
          <w:divsChild>
            <w:div w:id="626547101">
              <w:marLeft w:val="0"/>
              <w:marRight w:val="0"/>
              <w:marTop w:val="0"/>
              <w:marBottom w:val="0"/>
              <w:divBdr>
                <w:top w:val="none" w:sz="0" w:space="0" w:color="auto"/>
                <w:left w:val="none" w:sz="0" w:space="0" w:color="auto"/>
                <w:bottom w:val="none" w:sz="0" w:space="0" w:color="auto"/>
                <w:right w:val="none" w:sz="0" w:space="0" w:color="auto"/>
              </w:divBdr>
            </w:div>
          </w:divsChild>
        </w:div>
        <w:div w:id="1917670429">
          <w:marLeft w:val="0"/>
          <w:marRight w:val="0"/>
          <w:marTop w:val="0"/>
          <w:marBottom w:val="0"/>
          <w:divBdr>
            <w:top w:val="none" w:sz="0" w:space="0" w:color="auto"/>
            <w:left w:val="none" w:sz="0" w:space="0" w:color="auto"/>
            <w:bottom w:val="none" w:sz="0" w:space="0" w:color="auto"/>
            <w:right w:val="none" w:sz="0" w:space="0" w:color="auto"/>
          </w:divBdr>
          <w:divsChild>
            <w:div w:id="1946378153">
              <w:marLeft w:val="0"/>
              <w:marRight w:val="0"/>
              <w:marTop w:val="0"/>
              <w:marBottom w:val="0"/>
              <w:divBdr>
                <w:top w:val="none" w:sz="0" w:space="0" w:color="auto"/>
                <w:left w:val="none" w:sz="0" w:space="0" w:color="auto"/>
                <w:bottom w:val="none" w:sz="0" w:space="0" w:color="auto"/>
                <w:right w:val="none" w:sz="0" w:space="0" w:color="auto"/>
              </w:divBdr>
            </w:div>
          </w:divsChild>
        </w:div>
        <w:div w:id="1920410115">
          <w:marLeft w:val="0"/>
          <w:marRight w:val="0"/>
          <w:marTop w:val="0"/>
          <w:marBottom w:val="0"/>
          <w:divBdr>
            <w:top w:val="none" w:sz="0" w:space="0" w:color="auto"/>
            <w:left w:val="none" w:sz="0" w:space="0" w:color="auto"/>
            <w:bottom w:val="none" w:sz="0" w:space="0" w:color="auto"/>
            <w:right w:val="none" w:sz="0" w:space="0" w:color="auto"/>
          </w:divBdr>
          <w:divsChild>
            <w:div w:id="2142069520">
              <w:marLeft w:val="0"/>
              <w:marRight w:val="0"/>
              <w:marTop w:val="0"/>
              <w:marBottom w:val="0"/>
              <w:divBdr>
                <w:top w:val="none" w:sz="0" w:space="0" w:color="auto"/>
                <w:left w:val="none" w:sz="0" w:space="0" w:color="auto"/>
                <w:bottom w:val="none" w:sz="0" w:space="0" w:color="auto"/>
                <w:right w:val="none" w:sz="0" w:space="0" w:color="auto"/>
              </w:divBdr>
            </w:div>
          </w:divsChild>
        </w:div>
        <w:div w:id="1975717442">
          <w:marLeft w:val="0"/>
          <w:marRight w:val="0"/>
          <w:marTop w:val="0"/>
          <w:marBottom w:val="0"/>
          <w:divBdr>
            <w:top w:val="none" w:sz="0" w:space="0" w:color="auto"/>
            <w:left w:val="none" w:sz="0" w:space="0" w:color="auto"/>
            <w:bottom w:val="none" w:sz="0" w:space="0" w:color="auto"/>
            <w:right w:val="none" w:sz="0" w:space="0" w:color="auto"/>
          </w:divBdr>
          <w:divsChild>
            <w:div w:id="1200438639">
              <w:marLeft w:val="0"/>
              <w:marRight w:val="0"/>
              <w:marTop w:val="0"/>
              <w:marBottom w:val="0"/>
              <w:divBdr>
                <w:top w:val="none" w:sz="0" w:space="0" w:color="auto"/>
                <w:left w:val="none" w:sz="0" w:space="0" w:color="auto"/>
                <w:bottom w:val="none" w:sz="0" w:space="0" w:color="auto"/>
                <w:right w:val="none" w:sz="0" w:space="0" w:color="auto"/>
              </w:divBdr>
            </w:div>
          </w:divsChild>
        </w:div>
        <w:div w:id="2034652770">
          <w:marLeft w:val="0"/>
          <w:marRight w:val="0"/>
          <w:marTop w:val="0"/>
          <w:marBottom w:val="0"/>
          <w:divBdr>
            <w:top w:val="none" w:sz="0" w:space="0" w:color="auto"/>
            <w:left w:val="none" w:sz="0" w:space="0" w:color="auto"/>
            <w:bottom w:val="none" w:sz="0" w:space="0" w:color="auto"/>
            <w:right w:val="none" w:sz="0" w:space="0" w:color="auto"/>
          </w:divBdr>
          <w:divsChild>
            <w:div w:id="1465194137">
              <w:marLeft w:val="0"/>
              <w:marRight w:val="0"/>
              <w:marTop w:val="0"/>
              <w:marBottom w:val="0"/>
              <w:divBdr>
                <w:top w:val="none" w:sz="0" w:space="0" w:color="auto"/>
                <w:left w:val="none" w:sz="0" w:space="0" w:color="auto"/>
                <w:bottom w:val="none" w:sz="0" w:space="0" w:color="auto"/>
                <w:right w:val="none" w:sz="0" w:space="0" w:color="auto"/>
              </w:divBdr>
            </w:div>
          </w:divsChild>
        </w:div>
        <w:div w:id="2057774287">
          <w:marLeft w:val="0"/>
          <w:marRight w:val="0"/>
          <w:marTop w:val="0"/>
          <w:marBottom w:val="0"/>
          <w:divBdr>
            <w:top w:val="none" w:sz="0" w:space="0" w:color="auto"/>
            <w:left w:val="none" w:sz="0" w:space="0" w:color="auto"/>
            <w:bottom w:val="none" w:sz="0" w:space="0" w:color="auto"/>
            <w:right w:val="none" w:sz="0" w:space="0" w:color="auto"/>
          </w:divBdr>
          <w:divsChild>
            <w:div w:id="1567957084">
              <w:marLeft w:val="0"/>
              <w:marRight w:val="0"/>
              <w:marTop w:val="0"/>
              <w:marBottom w:val="0"/>
              <w:divBdr>
                <w:top w:val="none" w:sz="0" w:space="0" w:color="auto"/>
                <w:left w:val="none" w:sz="0" w:space="0" w:color="auto"/>
                <w:bottom w:val="none" w:sz="0" w:space="0" w:color="auto"/>
                <w:right w:val="none" w:sz="0" w:space="0" w:color="auto"/>
              </w:divBdr>
            </w:div>
          </w:divsChild>
        </w:div>
        <w:div w:id="2058505084">
          <w:marLeft w:val="0"/>
          <w:marRight w:val="0"/>
          <w:marTop w:val="0"/>
          <w:marBottom w:val="0"/>
          <w:divBdr>
            <w:top w:val="none" w:sz="0" w:space="0" w:color="auto"/>
            <w:left w:val="none" w:sz="0" w:space="0" w:color="auto"/>
            <w:bottom w:val="none" w:sz="0" w:space="0" w:color="auto"/>
            <w:right w:val="none" w:sz="0" w:space="0" w:color="auto"/>
          </w:divBdr>
          <w:divsChild>
            <w:div w:id="1417248623">
              <w:marLeft w:val="0"/>
              <w:marRight w:val="0"/>
              <w:marTop w:val="0"/>
              <w:marBottom w:val="0"/>
              <w:divBdr>
                <w:top w:val="none" w:sz="0" w:space="0" w:color="auto"/>
                <w:left w:val="none" w:sz="0" w:space="0" w:color="auto"/>
                <w:bottom w:val="none" w:sz="0" w:space="0" w:color="auto"/>
                <w:right w:val="none" w:sz="0" w:space="0" w:color="auto"/>
              </w:divBdr>
            </w:div>
          </w:divsChild>
        </w:div>
        <w:div w:id="2069374266">
          <w:marLeft w:val="0"/>
          <w:marRight w:val="0"/>
          <w:marTop w:val="0"/>
          <w:marBottom w:val="0"/>
          <w:divBdr>
            <w:top w:val="none" w:sz="0" w:space="0" w:color="auto"/>
            <w:left w:val="none" w:sz="0" w:space="0" w:color="auto"/>
            <w:bottom w:val="none" w:sz="0" w:space="0" w:color="auto"/>
            <w:right w:val="none" w:sz="0" w:space="0" w:color="auto"/>
          </w:divBdr>
          <w:divsChild>
            <w:div w:id="2707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1558">
      <w:bodyDiv w:val="1"/>
      <w:marLeft w:val="0"/>
      <w:marRight w:val="0"/>
      <w:marTop w:val="0"/>
      <w:marBottom w:val="0"/>
      <w:divBdr>
        <w:top w:val="none" w:sz="0" w:space="0" w:color="auto"/>
        <w:left w:val="none" w:sz="0" w:space="0" w:color="auto"/>
        <w:bottom w:val="none" w:sz="0" w:space="0" w:color="auto"/>
        <w:right w:val="none" w:sz="0" w:space="0" w:color="auto"/>
      </w:divBdr>
      <w:divsChild>
        <w:div w:id="105078053">
          <w:marLeft w:val="0"/>
          <w:marRight w:val="0"/>
          <w:marTop w:val="0"/>
          <w:marBottom w:val="0"/>
          <w:divBdr>
            <w:top w:val="none" w:sz="0" w:space="0" w:color="auto"/>
            <w:left w:val="none" w:sz="0" w:space="0" w:color="auto"/>
            <w:bottom w:val="none" w:sz="0" w:space="0" w:color="auto"/>
            <w:right w:val="none" w:sz="0" w:space="0" w:color="auto"/>
          </w:divBdr>
        </w:div>
        <w:div w:id="430470755">
          <w:marLeft w:val="0"/>
          <w:marRight w:val="0"/>
          <w:marTop w:val="0"/>
          <w:marBottom w:val="0"/>
          <w:divBdr>
            <w:top w:val="none" w:sz="0" w:space="0" w:color="auto"/>
            <w:left w:val="none" w:sz="0" w:space="0" w:color="auto"/>
            <w:bottom w:val="none" w:sz="0" w:space="0" w:color="auto"/>
            <w:right w:val="none" w:sz="0" w:space="0" w:color="auto"/>
          </w:divBdr>
        </w:div>
        <w:div w:id="513149606">
          <w:marLeft w:val="0"/>
          <w:marRight w:val="0"/>
          <w:marTop w:val="0"/>
          <w:marBottom w:val="0"/>
          <w:divBdr>
            <w:top w:val="none" w:sz="0" w:space="0" w:color="auto"/>
            <w:left w:val="none" w:sz="0" w:space="0" w:color="auto"/>
            <w:bottom w:val="none" w:sz="0" w:space="0" w:color="auto"/>
            <w:right w:val="none" w:sz="0" w:space="0" w:color="auto"/>
          </w:divBdr>
        </w:div>
        <w:div w:id="542331305">
          <w:marLeft w:val="0"/>
          <w:marRight w:val="0"/>
          <w:marTop w:val="0"/>
          <w:marBottom w:val="0"/>
          <w:divBdr>
            <w:top w:val="none" w:sz="0" w:space="0" w:color="auto"/>
            <w:left w:val="none" w:sz="0" w:space="0" w:color="auto"/>
            <w:bottom w:val="none" w:sz="0" w:space="0" w:color="auto"/>
            <w:right w:val="none" w:sz="0" w:space="0" w:color="auto"/>
          </w:divBdr>
        </w:div>
        <w:div w:id="1699965936">
          <w:marLeft w:val="0"/>
          <w:marRight w:val="0"/>
          <w:marTop w:val="0"/>
          <w:marBottom w:val="0"/>
          <w:divBdr>
            <w:top w:val="none" w:sz="0" w:space="0" w:color="auto"/>
            <w:left w:val="none" w:sz="0" w:space="0" w:color="auto"/>
            <w:bottom w:val="none" w:sz="0" w:space="0" w:color="auto"/>
            <w:right w:val="none" w:sz="0" w:space="0" w:color="auto"/>
          </w:divBdr>
        </w:div>
        <w:div w:id="1704595418">
          <w:marLeft w:val="0"/>
          <w:marRight w:val="0"/>
          <w:marTop w:val="0"/>
          <w:marBottom w:val="0"/>
          <w:divBdr>
            <w:top w:val="none" w:sz="0" w:space="0" w:color="auto"/>
            <w:left w:val="none" w:sz="0" w:space="0" w:color="auto"/>
            <w:bottom w:val="none" w:sz="0" w:space="0" w:color="auto"/>
            <w:right w:val="none" w:sz="0" w:space="0" w:color="auto"/>
          </w:divBdr>
        </w:div>
        <w:div w:id="2142065200">
          <w:marLeft w:val="0"/>
          <w:marRight w:val="0"/>
          <w:marTop w:val="0"/>
          <w:marBottom w:val="0"/>
          <w:divBdr>
            <w:top w:val="none" w:sz="0" w:space="0" w:color="auto"/>
            <w:left w:val="none" w:sz="0" w:space="0" w:color="auto"/>
            <w:bottom w:val="none" w:sz="0" w:space="0" w:color="auto"/>
            <w:right w:val="none" w:sz="0" w:space="0" w:color="auto"/>
          </w:divBdr>
        </w:div>
      </w:divsChild>
    </w:div>
    <w:div w:id="1659579657">
      <w:bodyDiv w:val="1"/>
      <w:marLeft w:val="0"/>
      <w:marRight w:val="0"/>
      <w:marTop w:val="0"/>
      <w:marBottom w:val="0"/>
      <w:divBdr>
        <w:top w:val="none" w:sz="0" w:space="0" w:color="auto"/>
        <w:left w:val="none" w:sz="0" w:space="0" w:color="auto"/>
        <w:bottom w:val="none" w:sz="0" w:space="0" w:color="auto"/>
        <w:right w:val="none" w:sz="0" w:space="0" w:color="auto"/>
      </w:divBdr>
    </w:div>
    <w:div w:id="1676954462">
      <w:bodyDiv w:val="1"/>
      <w:marLeft w:val="0"/>
      <w:marRight w:val="0"/>
      <w:marTop w:val="0"/>
      <w:marBottom w:val="0"/>
      <w:divBdr>
        <w:top w:val="none" w:sz="0" w:space="0" w:color="auto"/>
        <w:left w:val="none" w:sz="0" w:space="0" w:color="auto"/>
        <w:bottom w:val="none" w:sz="0" w:space="0" w:color="auto"/>
        <w:right w:val="none" w:sz="0" w:space="0" w:color="auto"/>
      </w:divBdr>
    </w:div>
    <w:div w:id="1690256004">
      <w:bodyDiv w:val="1"/>
      <w:marLeft w:val="0"/>
      <w:marRight w:val="0"/>
      <w:marTop w:val="0"/>
      <w:marBottom w:val="0"/>
      <w:divBdr>
        <w:top w:val="none" w:sz="0" w:space="0" w:color="auto"/>
        <w:left w:val="none" w:sz="0" w:space="0" w:color="auto"/>
        <w:bottom w:val="none" w:sz="0" w:space="0" w:color="auto"/>
        <w:right w:val="none" w:sz="0" w:space="0" w:color="auto"/>
      </w:divBdr>
      <w:divsChild>
        <w:div w:id="13267114">
          <w:marLeft w:val="0"/>
          <w:marRight w:val="0"/>
          <w:marTop w:val="0"/>
          <w:marBottom w:val="0"/>
          <w:divBdr>
            <w:top w:val="none" w:sz="0" w:space="0" w:color="auto"/>
            <w:left w:val="none" w:sz="0" w:space="0" w:color="auto"/>
            <w:bottom w:val="none" w:sz="0" w:space="0" w:color="auto"/>
            <w:right w:val="none" w:sz="0" w:space="0" w:color="auto"/>
          </w:divBdr>
          <w:divsChild>
            <w:div w:id="2040007224">
              <w:marLeft w:val="0"/>
              <w:marRight w:val="0"/>
              <w:marTop w:val="0"/>
              <w:marBottom w:val="0"/>
              <w:divBdr>
                <w:top w:val="none" w:sz="0" w:space="0" w:color="auto"/>
                <w:left w:val="none" w:sz="0" w:space="0" w:color="auto"/>
                <w:bottom w:val="none" w:sz="0" w:space="0" w:color="auto"/>
                <w:right w:val="none" w:sz="0" w:space="0" w:color="auto"/>
              </w:divBdr>
            </w:div>
          </w:divsChild>
        </w:div>
        <w:div w:id="14161763">
          <w:marLeft w:val="0"/>
          <w:marRight w:val="0"/>
          <w:marTop w:val="0"/>
          <w:marBottom w:val="0"/>
          <w:divBdr>
            <w:top w:val="none" w:sz="0" w:space="0" w:color="auto"/>
            <w:left w:val="none" w:sz="0" w:space="0" w:color="auto"/>
            <w:bottom w:val="none" w:sz="0" w:space="0" w:color="auto"/>
            <w:right w:val="none" w:sz="0" w:space="0" w:color="auto"/>
          </w:divBdr>
          <w:divsChild>
            <w:div w:id="1296333889">
              <w:marLeft w:val="0"/>
              <w:marRight w:val="0"/>
              <w:marTop w:val="0"/>
              <w:marBottom w:val="0"/>
              <w:divBdr>
                <w:top w:val="none" w:sz="0" w:space="0" w:color="auto"/>
                <w:left w:val="none" w:sz="0" w:space="0" w:color="auto"/>
                <w:bottom w:val="none" w:sz="0" w:space="0" w:color="auto"/>
                <w:right w:val="none" w:sz="0" w:space="0" w:color="auto"/>
              </w:divBdr>
            </w:div>
          </w:divsChild>
        </w:div>
        <w:div w:id="20011450">
          <w:marLeft w:val="0"/>
          <w:marRight w:val="0"/>
          <w:marTop w:val="0"/>
          <w:marBottom w:val="0"/>
          <w:divBdr>
            <w:top w:val="none" w:sz="0" w:space="0" w:color="auto"/>
            <w:left w:val="none" w:sz="0" w:space="0" w:color="auto"/>
            <w:bottom w:val="none" w:sz="0" w:space="0" w:color="auto"/>
            <w:right w:val="none" w:sz="0" w:space="0" w:color="auto"/>
          </w:divBdr>
          <w:divsChild>
            <w:div w:id="629362974">
              <w:marLeft w:val="0"/>
              <w:marRight w:val="0"/>
              <w:marTop w:val="0"/>
              <w:marBottom w:val="0"/>
              <w:divBdr>
                <w:top w:val="none" w:sz="0" w:space="0" w:color="auto"/>
                <w:left w:val="none" w:sz="0" w:space="0" w:color="auto"/>
                <w:bottom w:val="none" w:sz="0" w:space="0" w:color="auto"/>
                <w:right w:val="none" w:sz="0" w:space="0" w:color="auto"/>
              </w:divBdr>
            </w:div>
          </w:divsChild>
        </w:div>
        <w:div w:id="32851535">
          <w:marLeft w:val="0"/>
          <w:marRight w:val="0"/>
          <w:marTop w:val="0"/>
          <w:marBottom w:val="0"/>
          <w:divBdr>
            <w:top w:val="none" w:sz="0" w:space="0" w:color="auto"/>
            <w:left w:val="none" w:sz="0" w:space="0" w:color="auto"/>
            <w:bottom w:val="none" w:sz="0" w:space="0" w:color="auto"/>
            <w:right w:val="none" w:sz="0" w:space="0" w:color="auto"/>
          </w:divBdr>
          <w:divsChild>
            <w:div w:id="2085057834">
              <w:marLeft w:val="0"/>
              <w:marRight w:val="0"/>
              <w:marTop w:val="0"/>
              <w:marBottom w:val="0"/>
              <w:divBdr>
                <w:top w:val="none" w:sz="0" w:space="0" w:color="auto"/>
                <w:left w:val="none" w:sz="0" w:space="0" w:color="auto"/>
                <w:bottom w:val="none" w:sz="0" w:space="0" w:color="auto"/>
                <w:right w:val="none" w:sz="0" w:space="0" w:color="auto"/>
              </w:divBdr>
            </w:div>
          </w:divsChild>
        </w:div>
        <w:div w:id="42295454">
          <w:marLeft w:val="0"/>
          <w:marRight w:val="0"/>
          <w:marTop w:val="0"/>
          <w:marBottom w:val="0"/>
          <w:divBdr>
            <w:top w:val="none" w:sz="0" w:space="0" w:color="auto"/>
            <w:left w:val="none" w:sz="0" w:space="0" w:color="auto"/>
            <w:bottom w:val="none" w:sz="0" w:space="0" w:color="auto"/>
            <w:right w:val="none" w:sz="0" w:space="0" w:color="auto"/>
          </w:divBdr>
          <w:divsChild>
            <w:div w:id="718631347">
              <w:marLeft w:val="0"/>
              <w:marRight w:val="0"/>
              <w:marTop w:val="0"/>
              <w:marBottom w:val="0"/>
              <w:divBdr>
                <w:top w:val="none" w:sz="0" w:space="0" w:color="auto"/>
                <w:left w:val="none" w:sz="0" w:space="0" w:color="auto"/>
                <w:bottom w:val="none" w:sz="0" w:space="0" w:color="auto"/>
                <w:right w:val="none" w:sz="0" w:space="0" w:color="auto"/>
              </w:divBdr>
            </w:div>
          </w:divsChild>
        </w:div>
        <w:div w:id="44456578">
          <w:marLeft w:val="0"/>
          <w:marRight w:val="0"/>
          <w:marTop w:val="0"/>
          <w:marBottom w:val="0"/>
          <w:divBdr>
            <w:top w:val="none" w:sz="0" w:space="0" w:color="auto"/>
            <w:left w:val="none" w:sz="0" w:space="0" w:color="auto"/>
            <w:bottom w:val="none" w:sz="0" w:space="0" w:color="auto"/>
            <w:right w:val="none" w:sz="0" w:space="0" w:color="auto"/>
          </w:divBdr>
          <w:divsChild>
            <w:div w:id="2078703064">
              <w:marLeft w:val="0"/>
              <w:marRight w:val="0"/>
              <w:marTop w:val="0"/>
              <w:marBottom w:val="0"/>
              <w:divBdr>
                <w:top w:val="none" w:sz="0" w:space="0" w:color="auto"/>
                <w:left w:val="none" w:sz="0" w:space="0" w:color="auto"/>
                <w:bottom w:val="none" w:sz="0" w:space="0" w:color="auto"/>
                <w:right w:val="none" w:sz="0" w:space="0" w:color="auto"/>
              </w:divBdr>
            </w:div>
          </w:divsChild>
        </w:div>
        <w:div w:id="47268537">
          <w:marLeft w:val="0"/>
          <w:marRight w:val="0"/>
          <w:marTop w:val="0"/>
          <w:marBottom w:val="0"/>
          <w:divBdr>
            <w:top w:val="none" w:sz="0" w:space="0" w:color="auto"/>
            <w:left w:val="none" w:sz="0" w:space="0" w:color="auto"/>
            <w:bottom w:val="none" w:sz="0" w:space="0" w:color="auto"/>
            <w:right w:val="none" w:sz="0" w:space="0" w:color="auto"/>
          </w:divBdr>
          <w:divsChild>
            <w:div w:id="914433463">
              <w:marLeft w:val="0"/>
              <w:marRight w:val="0"/>
              <w:marTop w:val="0"/>
              <w:marBottom w:val="0"/>
              <w:divBdr>
                <w:top w:val="none" w:sz="0" w:space="0" w:color="auto"/>
                <w:left w:val="none" w:sz="0" w:space="0" w:color="auto"/>
                <w:bottom w:val="none" w:sz="0" w:space="0" w:color="auto"/>
                <w:right w:val="none" w:sz="0" w:space="0" w:color="auto"/>
              </w:divBdr>
            </w:div>
          </w:divsChild>
        </w:div>
        <w:div w:id="58594855">
          <w:marLeft w:val="0"/>
          <w:marRight w:val="0"/>
          <w:marTop w:val="0"/>
          <w:marBottom w:val="0"/>
          <w:divBdr>
            <w:top w:val="none" w:sz="0" w:space="0" w:color="auto"/>
            <w:left w:val="none" w:sz="0" w:space="0" w:color="auto"/>
            <w:bottom w:val="none" w:sz="0" w:space="0" w:color="auto"/>
            <w:right w:val="none" w:sz="0" w:space="0" w:color="auto"/>
          </w:divBdr>
          <w:divsChild>
            <w:div w:id="1336811175">
              <w:marLeft w:val="0"/>
              <w:marRight w:val="0"/>
              <w:marTop w:val="0"/>
              <w:marBottom w:val="0"/>
              <w:divBdr>
                <w:top w:val="none" w:sz="0" w:space="0" w:color="auto"/>
                <w:left w:val="none" w:sz="0" w:space="0" w:color="auto"/>
                <w:bottom w:val="none" w:sz="0" w:space="0" w:color="auto"/>
                <w:right w:val="none" w:sz="0" w:space="0" w:color="auto"/>
              </w:divBdr>
            </w:div>
          </w:divsChild>
        </w:div>
        <w:div w:id="64029985">
          <w:marLeft w:val="0"/>
          <w:marRight w:val="0"/>
          <w:marTop w:val="0"/>
          <w:marBottom w:val="0"/>
          <w:divBdr>
            <w:top w:val="none" w:sz="0" w:space="0" w:color="auto"/>
            <w:left w:val="none" w:sz="0" w:space="0" w:color="auto"/>
            <w:bottom w:val="none" w:sz="0" w:space="0" w:color="auto"/>
            <w:right w:val="none" w:sz="0" w:space="0" w:color="auto"/>
          </w:divBdr>
          <w:divsChild>
            <w:div w:id="637106421">
              <w:marLeft w:val="0"/>
              <w:marRight w:val="0"/>
              <w:marTop w:val="0"/>
              <w:marBottom w:val="0"/>
              <w:divBdr>
                <w:top w:val="none" w:sz="0" w:space="0" w:color="auto"/>
                <w:left w:val="none" w:sz="0" w:space="0" w:color="auto"/>
                <w:bottom w:val="none" w:sz="0" w:space="0" w:color="auto"/>
                <w:right w:val="none" w:sz="0" w:space="0" w:color="auto"/>
              </w:divBdr>
            </w:div>
          </w:divsChild>
        </w:div>
        <w:div w:id="72633450">
          <w:marLeft w:val="0"/>
          <w:marRight w:val="0"/>
          <w:marTop w:val="0"/>
          <w:marBottom w:val="0"/>
          <w:divBdr>
            <w:top w:val="none" w:sz="0" w:space="0" w:color="auto"/>
            <w:left w:val="none" w:sz="0" w:space="0" w:color="auto"/>
            <w:bottom w:val="none" w:sz="0" w:space="0" w:color="auto"/>
            <w:right w:val="none" w:sz="0" w:space="0" w:color="auto"/>
          </w:divBdr>
          <w:divsChild>
            <w:div w:id="1532063812">
              <w:marLeft w:val="0"/>
              <w:marRight w:val="0"/>
              <w:marTop w:val="0"/>
              <w:marBottom w:val="0"/>
              <w:divBdr>
                <w:top w:val="none" w:sz="0" w:space="0" w:color="auto"/>
                <w:left w:val="none" w:sz="0" w:space="0" w:color="auto"/>
                <w:bottom w:val="none" w:sz="0" w:space="0" w:color="auto"/>
                <w:right w:val="none" w:sz="0" w:space="0" w:color="auto"/>
              </w:divBdr>
            </w:div>
          </w:divsChild>
        </w:div>
        <w:div w:id="90902554">
          <w:marLeft w:val="0"/>
          <w:marRight w:val="0"/>
          <w:marTop w:val="0"/>
          <w:marBottom w:val="0"/>
          <w:divBdr>
            <w:top w:val="none" w:sz="0" w:space="0" w:color="auto"/>
            <w:left w:val="none" w:sz="0" w:space="0" w:color="auto"/>
            <w:bottom w:val="none" w:sz="0" w:space="0" w:color="auto"/>
            <w:right w:val="none" w:sz="0" w:space="0" w:color="auto"/>
          </w:divBdr>
          <w:divsChild>
            <w:div w:id="798039159">
              <w:marLeft w:val="0"/>
              <w:marRight w:val="0"/>
              <w:marTop w:val="0"/>
              <w:marBottom w:val="0"/>
              <w:divBdr>
                <w:top w:val="none" w:sz="0" w:space="0" w:color="auto"/>
                <w:left w:val="none" w:sz="0" w:space="0" w:color="auto"/>
                <w:bottom w:val="none" w:sz="0" w:space="0" w:color="auto"/>
                <w:right w:val="none" w:sz="0" w:space="0" w:color="auto"/>
              </w:divBdr>
            </w:div>
          </w:divsChild>
        </w:div>
        <w:div w:id="94793484">
          <w:marLeft w:val="0"/>
          <w:marRight w:val="0"/>
          <w:marTop w:val="0"/>
          <w:marBottom w:val="0"/>
          <w:divBdr>
            <w:top w:val="none" w:sz="0" w:space="0" w:color="auto"/>
            <w:left w:val="none" w:sz="0" w:space="0" w:color="auto"/>
            <w:bottom w:val="none" w:sz="0" w:space="0" w:color="auto"/>
            <w:right w:val="none" w:sz="0" w:space="0" w:color="auto"/>
          </w:divBdr>
          <w:divsChild>
            <w:div w:id="2042775313">
              <w:marLeft w:val="0"/>
              <w:marRight w:val="0"/>
              <w:marTop w:val="0"/>
              <w:marBottom w:val="0"/>
              <w:divBdr>
                <w:top w:val="none" w:sz="0" w:space="0" w:color="auto"/>
                <w:left w:val="none" w:sz="0" w:space="0" w:color="auto"/>
                <w:bottom w:val="none" w:sz="0" w:space="0" w:color="auto"/>
                <w:right w:val="none" w:sz="0" w:space="0" w:color="auto"/>
              </w:divBdr>
            </w:div>
          </w:divsChild>
        </w:div>
        <w:div w:id="95516704">
          <w:marLeft w:val="0"/>
          <w:marRight w:val="0"/>
          <w:marTop w:val="0"/>
          <w:marBottom w:val="0"/>
          <w:divBdr>
            <w:top w:val="none" w:sz="0" w:space="0" w:color="auto"/>
            <w:left w:val="none" w:sz="0" w:space="0" w:color="auto"/>
            <w:bottom w:val="none" w:sz="0" w:space="0" w:color="auto"/>
            <w:right w:val="none" w:sz="0" w:space="0" w:color="auto"/>
          </w:divBdr>
          <w:divsChild>
            <w:div w:id="1392844245">
              <w:marLeft w:val="0"/>
              <w:marRight w:val="0"/>
              <w:marTop w:val="0"/>
              <w:marBottom w:val="0"/>
              <w:divBdr>
                <w:top w:val="none" w:sz="0" w:space="0" w:color="auto"/>
                <w:left w:val="none" w:sz="0" w:space="0" w:color="auto"/>
                <w:bottom w:val="none" w:sz="0" w:space="0" w:color="auto"/>
                <w:right w:val="none" w:sz="0" w:space="0" w:color="auto"/>
              </w:divBdr>
            </w:div>
          </w:divsChild>
        </w:div>
        <w:div w:id="96099010">
          <w:marLeft w:val="0"/>
          <w:marRight w:val="0"/>
          <w:marTop w:val="0"/>
          <w:marBottom w:val="0"/>
          <w:divBdr>
            <w:top w:val="none" w:sz="0" w:space="0" w:color="auto"/>
            <w:left w:val="none" w:sz="0" w:space="0" w:color="auto"/>
            <w:bottom w:val="none" w:sz="0" w:space="0" w:color="auto"/>
            <w:right w:val="none" w:sz="0" w:space="0" w:color="auto"/>
          </w:divBdr>
          <w:divsChild>
            <w:div w:id="747969882">
              <w:marLeft w:val="0"/>
              <w:marRight w:val="0"/>
              <w:marTop w:val="0"/>
              <w:marBottom w:val="0"/>
              <w:divBdr>
                <w:top w:val="none" w:sz="0" w:space="0" w:color="auto"/>
                <w:left w:val="none" w:sz="0" w:space="0" w:color="auto"/>
                <w:bottom w:val="none" w:sz="0" w:space="0" w:color="auto"/>
                <w:right w:val="none" w:sz="0" w:space="0" w:color="auto"/>
              </w:divBdr>
            </w:div>
          </w:divsChild>
        </w:div>
        <w:div w:id="103548133">
          <w:marLeft w:val="0"/>
          <w:marRight w:val="0"/>
          <w:marTop w:val="0"/>
          <w:marBottom w:val="0"/>
          <w:divBdr>
            <w:top w:val="none" w:sz="0" w:space="0" w:color="auto"/>
            <w:left w:val="none" w:sz="0" w:space="0" w:color="auto"/>
            <w:bottom w:val="none" w:sz="0" w:space="0" w:color="auto"/>
            <w:right w:val="none" w:sz="0" w:space="0" w:color="auto"/>
          </w:divBdr>
          <w:divsChild>
            <w:div w:id="1014845556">
              <w:marLeft w:val="0"/>
              <w:marRight w:val="0"/>
              <w:marTop w:val="0"/>
              <w:marBottom w:val="0"/>
              <w:divBdr>
                <w:top w:val="none" w:sz="0" w:space="0" w:color="auto"/>
                <w:left w:val="none" w:sz="0" w:space="0" w:color="auto"/>
                <w:bottom w:val="none" w:sz="0" w:space="0" w:color="auto"/>
                <w:right w:val="none" w:sz="0" w:space="0" w:color="auto"/>
              </w:divBdr>
            </w:div>
          </w:divsChild>
        </w:div>
        <w:div w:id="109907364">
          <w:marLeft w:val="0"/>
          <w:marRight w:val="0"/>
          <w:marTop w:val="0"/>
          <w:marBottom w:val="0"/>
          <w:divBdr>
            <w:top w:val="none" w:sz="0" w:space="0" w:color="auto"/>
            <w:left w:val="none" w:sz="0" w:space="0" w:color="auto"/>
            <w:bottom w:val="none" w:sz="0" w:space="0" w:color="auto"/>
            <w:right w:val="none" w:sz="0" w:space="0" w:color="auto"/>
          </w:divBdr>
          <w:divsChild>
            <w:div w:id="777144529">
              <w:marLeft w:val="0"/>
              <w:marRight w:val="0"/>
              <w:marTop w:val="0"/>
              <w:marBottom w:val="0"/>
              <w:divBdr>
                <w:top w:val="none" w:sz="0" w:space="0" w:color="auto"/>
                <w:left w:val="none" w:sz="0" w:space="0" w:color="auto"/>
                <w:bottom w:val="none" w:sz="0" w:space="0" w:color="auto"/>
                <w:right w:val="none" w:sz="0" w:space="0" w:color="auto"/>
              </w:divBdr>
            </w:div>
          </w:divsChild>
        </w:div>
        <w:div w:id="113795164">
          <w:marLeft w:val="0"/>
          <w:marRight w:val="0"/>
          <w:marTop w:val="0"/>
          <w:marBottom w:val="0"/>
          <w:divBdr>
            <w:top w:val="none" w:sz="0" w:space="0" w:color="auto"/>
            <w:left w:val="none" w:sz="0" w:space="0" w:color="auto"/>
            <w:bottom w:val="none" w:sz="0" w:space="0" w:color="auto"/>
            <w:right w:val="none" w:sz="0" w:space="0" w:color="auto"/>
          </w:divBdr>
          <w:divsChild>
            <w:div w:id="659844100">
              <w:marLeft w:val="0"/>
              <w:marRight w:val="0"/>
              <w:marTop w:val="0"/>
              <w:marBottom w:val="0"/>
              <w:divBdr>
                <w:top w:val="none" w:sz="0" w:space="0" w:color="auto"/>
                <w:left w:val="none" w:sz="0" w:space="0" w:color="auto"/>
                <w:bottom w:val="none" w:sz="0" w:space="0" w:color="auto"/>
                <w:right w:val="none" w:sz="0" w:space="0" w:color="auto"/>
              </w:divBdr>
            </w:div>
          </w:divsChild>
        </w:div>
        <w:div w:id="115173735">
          <w:marLeft w:val="0"/>
          <w:marRight w:val="0"/>
          <w:marTop w:val="0"/>
          <w:marBottom w:val="0"/>
          <w:divBdr>
            <w:top w:val="none" w:sz="0" w:space="0" w:color="auto"/>
            <w:left w:val="none" w:sz="0" w:space="0" w:color="auto"/>
            <w:bottom w:val="none" w:sz="0" w:space="0" w:color="auto"/>
            <w:right w:val="none" w:sz="0" w:space="0" w:color="auto"/>
          </w:divBdr>
          <w:divsChild>
            <w:div w:id="1841654698">
              <w:marLeft w:val="0"/>
              <w:marRight w:val="0"/>
              <w:marTop w:val="0"/>
              <w:marBottom w:val="0"/>
              <w:divBdr>
                <w:top w:val="none" w:sz="0" w:space="0" w:color="auto"/>
                <w:left w:val="none" w:sz="0" w:space="0" w:color="auto"/>
                <w:bottom w:val="none" w:sz="0" w:space="0" w:color="auto"/>
                <w:right w:val="none" w:sz="0" w:space="0" w:color="auto"/>
              </w:divBdr>
            </w:div>
          </w:divsChild>
        </w:div>
        <w:div w:id="115563438">
          <w:marLeft w:val="0"/>
          <w:marRight w:val="0"/>
          <w:marTop w:val="0"/>
          <w:marBottom w:val="0"/>
          <w:divBdr>
            <w:top w:val="none" w:sz="0" w:space="0" w:color="auto"/>
            <w:left w:val="none" w:sz="0" w:space="0" w:color="auto"/>
            <w:bottom w:val="none" w:sz="0" w:space="0" w:color="auto"/>
            <w:right w:val="none" w:sz="0" w:space="0" w:color="auto"/>
          </w:divBdr>
          <w:divsChild>
            <w:div w:id="1812210547">
              <w:marLeft w:val="0"/>
              <w:marRight w:val="0"/>
              <w:marTop w:val="0"/>
              <w:marBottom w:val="0"/>
              <w:divBdr>
                <w:top w:val="none" w:sz="0" w:space="0" w:color="auto"/>
                <w:left w:val="none" w:sz="0" w:space="0" w:color="auto"/>
                <w:bottom w:val="none" w:sz="0" w:space="0" w:color="auto"/>
                <w:right w:val="none" w:sz="0" w:space="0" w:color="auto"/>
              </w:divBdr>
            </w:div>
          </w:divsChild>
        </w:div>
        <w:div w:id="117651459">
          <w:marLeft w:val="0"/>
          <w:marRight w:val="0"/>
          <w:marTop w:val="0"/>
          <w:marBottom w:val="0"/>
          <w:divBdr>
            <w:top w:val="none" w:sz="0" w:space="0" w:color="auto"/>
            <w:left w:val="none" w:sz="0" w:space="0" w:color="auto"/>
            <w:bottom w:val="none" w:sz="0" w:space="0" w:color="auto"/>
            <w:right w:val="none" w:sz="0" w:space="0" w:color="auto"/>
          </w:divBdr>
          <w:divsChild>
            <w:div w:id="400754308">
              <w:marLeft w:val="0"/>
              <w:marRight w:val="0"/>
              <w:marTop w:val="0"/>
              <w:marBottom w:val="0"/>
              <w:divBdr>
                <w:top w:val="none" w:sz="0" w:space="0" w:color="auto"/>
                <w:left w:val="none" w:sz="0" w:space="0" w:color="auto"/>
                <w:bottom w:val="none" w:sz="0" w:space="0" w:color="auto"/>
                <w:right w:val="none" w:sz="0" w:space="0" w:color="auto"/>
              </w:divBdr>
            </w:div>
          </w:divsChild>
        </w:div>
        <w:div w:id="122500934">
          <w:marLeft w:val="0"/>
          <w:marRight w:val="0"/>
          <w:marTop w:val="0"/>
          <w:marBottom w:val="0"/>
          <w:divBdr>
            <w:top w:val="none" w:sz="0" w:space="0" w:color="auto"/>
            <w:left w:val="none" w:sz="0" w:space="0" w:color="auto"/>
            <w:bottom w:val="none" w:sz="0" w:space="0" w:color="auto"/>
            <w:right w:val="none" w:sz="0" w:space="0" w:color="auto"/>
          </w:divBdr>
          <w:divsChild>
            <w:div w:id="678893566">
              <w:marLeft w:val="0"/>
              <w:marRight w:val="0"/>
              <w:marTop w:val="0"/>
              <w:marBottom w:val="0"/>
              <w:divBdr>
                <w:top w:val="none" w:sz="0" w:space="0" w:color="auto"/>
                <w:left w:val="none" w:sz="0" w:space="0" w:color="auto"/>
                <w:bottom w:val="none" w:sz="0" w:space="0" w:color="auto"/>
                <w:right w:val="none" w:sz="0" w:space="0" w:color="auto"/>
              </w:divBdr>
            </w:div>
          </w:divsChild>
        </w:div>
        <w:div w:id="145514769">
          <w:marLeft w:val="0"/>
          <w:marRight w:val="0"/>
          <w:marTop w:val="0"/>
          <w:marBottom w:val="0"/>
          <w:divBdr>
            <w:top w:val="none" w:sz="0" w:space="0" w:color="auto"/>
            <w:left w:val="none" w:sz="0" w:space="0" w:color="auto"/>
            <w:bottom w:val="none" w:sz="0" w:space="0" w:color="auto"/>
            <w:right w:val="none" w:sz="0" w:space="0" w:color="auto"/>
          </w:divBdr>
          <w:divsChild>
            <w:div w:id="1359117744">
              <w:marLeft w:val="0"/>
              <w:marRight w:val="0"/>
              <w:marTop w:val="0"/>
              <w:marBottom w:val="0"/>
              <w:divBdr>
                <w:top w:val="none" w:sz="0" w:space="0" w:color="auto"/>
                <w:left w:val="none" w:sz="0" w:space="0" w:color="auto"/>
                <w:bottom w:val="none" w:sz="0" w:space="0" w:color="auto"/>
                <w:right w:val="none" w:sz="0" w:space="0" w:color="auto"/>
              </w:divBdr>
            </w:div>
          </w:divsChild>
        </w:div>
        <w:div w:id="152769282">
          <w:marLeft w:val="0"/>
          <w:marRight w:val="0"/>
          <w:marTop w:val="0"/>
          <w:marBottom w:val="0"/>
          <w:divBdr>
            <w:top w:val="none" w:sz="0" w:space="0" w:color="auto"/>
            <w:left w:val="none" w:sz="0" w:space="0" w:color="auto"/>
            <w:bottom w:val="none" w:sz="0" w:space="0" w:color="auto"/>
            <w:right w:val="none" w:sz="0" w:space="0" w:color="auto"/>
          </w:divBdr>
          <w:divsChild>
            <w:div w:id="1031297481">
              <w:marLeft w:val="0"/>
              <w:marRight w:val="0"/>
              <w:marTop w:val="0"/>
              <w:marBottom w:val="0"/>
              <w:divBdr>
                <w:top w:val="none" w:sz="0" w:space="0" w:color="auto"/>
                <w:left w:val="none" w:sz="0" w:space="0" w:color="auto"/>
                <w:bottom w:val="none" w:sz="0" w:space="0" w:color="auto"/>
                <w:right w:val="none" w:sz="0" w:space="0" w:color="auto"/>
              </w:divBdr>
            </w:div>
          </w:divsChild>
        </w:div>
        <w:div w:id="165874053">
          <w:marLeft w:val="0"/>
          <w:marRight w:val="0"/>
          <w:marTop w:val="0"/>
          <w:marBottom w:val="0"/>
          <w:divBdr>
            <w:top w:val="none" w:sz="0" w:space="0" w:color="auto"/>
            <w:left w:val="none" w:sz="0" w:space="0" w:color="auto"/>
            <w:bottom w:val="none" w:sz="0" w:space="0" w:color="auto"/>
            <w:right w:val="none" w:sz="0" w:space="0" w:color="auto"/>
          </w:divBdr>
          <w:divsChild>
            <w:div w:id="1851488662">
              <w:marLeft w:val="0"/>
              <w:marRight w:val="0"/>
              <w:marTop w:val="0"/>
              <w:marBottom w:val="0"/>
              <w:divBdr>
                <w:top w:val="none" w:sz="0" w:space="0" w:color="auto"/>
                <w:left w:val="none" w:sz="0" w:space="0" w:color="auto"/>
                <w:bottom w:val="none" w:sz="0" w:space="0" w:color="auto"/>
                <w:right w:val="none" w:sz="0" w:space="0" w:color="auto"/>
              </w:divBdr>
            </w:div>
          </w:divsChild>
        </w:div>
        <w:div w:id="178467440">
          <w:marLeft w:val="0"/>
          <w:marRight w:val="0"/>
          <w:marTop w:val="0"/>
          <w:marBottom w:val="0"/>
          <w:divBdr>
            <w:top w:val="none" w:sz="0" w:space="0" w:color="auto"/>
            <w:left w:val="none" w:sz="0" w:space="0" w:color="auto"/>
            <w:bottom w:val="none" w:sz="0" w:space="0" w:color="auto"/>
            <w:right w:val="none" w:sz="0" w:space="0" w:color="auto"/>
          </w:divBdr>
          <w:divsChild>
            <w:div w:id="594897981">
              <w:marLeft w:val="0"/>
              <w:marRight w:val="0"/>
              <w:marTop w:val="0"/>
              <w:marBottom w:val="0"/>
              <w:divBdr>
                <w:top w:val="none" w:sz="0" w:space="0" w:color="auto"/>
                <w:left w:val="none" w:sz="0" w:space="0" w:color="auto"/>
                <w:bottom w:val="none" w:sz="0" w:space="0" w:color="auto"/>
                <w:right w:val="none" w:sz="0" w:space="0" w:color="auto"/>
              </w:divBdr>
            </w:div>
          </w:divsChild>
        </w:div>
        <w:div w:id="179591759">
          <w:marLeft w:val="0"/>
          <w:marRight w:val="0"/>
          <w:marTop w:val="0"/>
          <w:marBottom w:val="0"/>
          <w:divBdr>
            <w:top w:val="none" w:sz="0" w:space="0" w:color="auto"/>
            <w:left w:val="none" w:sz="0" w:space="0" w:color="auto"/>
            <w:bottom w:val="none" w:sz="0" w:space="0" w:color="auto"/>
            <w:right w:val="none" w:sz="0" w:space="0" w:color="auto"/>
          </w:divBdr>
          <w:divsChild>
            <w:div w:id="455176327">
              <w:marLeft w:val="0"/>
              <w:marRight w:val="0"/>
              <w:marTop w:val="0"/>
              <w:marBottom w:val="0"/>
              <w:divBdr>
                <w:top w:val="none" w:sz="0" w:space="0" w:color="auto"/>
                <w:left w:val="none" w:sz="0" w:space="0" w:color="auto"/>
                <w:bottom w:val="none" w:sz="0" w:space="0" w:color="auto"/>
                <w:right w:val="none" w:sz="0" w:space="0" w:color="auto"/>
              </w:divBdr>
            </w:div>
          </w:divsChild>
        </w:div>
        <w:div w:id="184487233">
          <w:marLeft w:val="0"/>
          <w:marRight w:val="0"/>
          <w:marTop w:val="0"/>
          <w:marBottom w:val="0"/>
          <w:divBdr>
            <w:top w:val="none" w:sz="0" w:space="0" w:color="auto"/>
            <w:left w:val="none" w:sz="0" w:space="0" w:color="auto"/>
            <w:bottom w:val="none" w:sz="0" w:space="0" w:color="auto"/>
            <w:right w:val="none" w:sz="0" w:space="0" w:color="auto"/>
          </w:divBdr>
          <w:divsChild>
            <w:div w:id="121580467">
              <w:marLeft w:val="0"/>
              <w:marRight w:val="0"/>
              <w:marTop w:val="0"/>
              <w:marBottom w:val="0"/>
              <w:divBdr>
                <w:top w:val="none" w:sz="0" w:space="0" w:color="auto"/>
                <w:left w:val="none" w:sz="0" w:space="0" w:color="auto"/>
                <w:bottom w:val="none" w:sz="0" w:space="0" w:color="auto"/>
                <w:right w:val="none" w:sz="0" w:space="0" w:color="auto"/>
              </w:divBdr>
            </w:div>
          </w:divsChild>
        </w:div>
        <w:div w:id="186797416">
          <w:marLeft w:val="0"/>
          <w:marRight w:val="0"/>
          <w:marTop w:val="0"/>
          <w:marBottom w:val="0"/>
          <w:divBdr>
            <w:top w:val="none" w:sz="0" w:space="0" w:color="auto"/>
            <w:left w:val="none" w:sz="0" w:space="0" w:color="auto"/>
            <w:bottom w:val="none" w:sz="0" w:space="0" w:color="auto"/>
            <w:right w:val="none" w:sz="0" w:space="0" w:color="auto"/>
          </w:divBdr>
          <w:divsChild>
            <w:div w:id="1812164866">
              <w:marLeft w:val="0"/>
              <w:marRight w:val="0"/>
              <w:marTop w:val="0"/>
              <w:marBottom w:val="0"/>
              <w:divBdr>
                <w:top w:val="none" w:sz="0" w:space="0" w:color="auto"/>
                <w:left w:val="none" w:sz="0" w:space="0" w:color="auto"/>
                <w:bottom w:val="none" w:sz="0" w:space="0" w:color="auto"/>
                <w:right w:val="none" w:sz="0" w:space="0" w:color="auto"/>
              </w:divBdr>
            </w:div>
          </w:divsChild>
        </w:div>
        <w:div w:id="194195910">
          <w:marLeft w:val="0"/>
          <w:marRight w:val="0"/>
          <w:marTop w:val="0"/>
          <w:marBottom w:val="0"/>
          <w:divBdr>
            <w:top w:val="none" w:sz="0" w:space="0" w:color="auto"/>
            <w:left w:val="none" w:sz="0" w:space="0" w:color="auto"/>
            <w:bottom w:val="none" w:sz="0" w:space="0" w:color="auto"/>
            <w:right w:val="none" w:sz="0" w:space="0" w:color="auto"/>
          </w:divBdr>
          <w:divsChild>
            <w:div w:id="1602298662">
              <w:marLeft w:val="0"/>
              <w:marRight w:val="0"/>
              <w:marTop w:val="0"/>
              <w:marBottom w:val="0"/>
              <w:divBdr>
                <w:top w:val="none" w:sz="0" w:space="0" w:color="auto"/>
                <w:left w:val="none" w:sz="0" w:space="0" w:color="auto"/>
                <w:bottom w:val="none" w:sz="0" w:space="0" w:color="auto"/>
                <w:right w:val="none" w:sz="0" w:space="0" w:color="auto"/>
              </w:divBdr>
            </w:div>
          </w:divsChild>
        </w:div>
        <w:div w:id="196311687">
          <w:marLeft w:val="0"/>
          <w:marRight w:val="0"/>
          <w:marTop w:val="0"/>
          <w:marBottom w:val="0"/>
          <w:divBdr>
            <w:top w:val="none" w:sz="0" w:space="0" w:color="auto"/>
            <w:left w:val="none" w:sz="0" w:space="0" w:color="auto"/>
            <w:bottom w:val="none" w:sz="0" w:space="0" w:color="auto"/>
            <w:right w:val="none" w:sz="0" w:space="0" w:color="auto"/>
          </w:divBdr>
          <w:divsChild>
            <w:div w:id="1940530122">
              <w:marLeft w:val="0"/>
              <w:marRight w:val="0"/>
              <w:marTop w:val="0"/>
              <w:marBottom w:val="0"/>
              <w:divBdr>
                <w:top w:val="none" w:sz="0" w:space="0" w:color="auto"/>
                <w:left w:val="none" w:sz="0" w:space="0" w:color="auto"/>
                <w:bottom w:val="none" w:sz="0" w:space="0" w:color="auto"/>
                <w:right w:val="none" w:sz="0" w:space="0" w:color="auto"/>
              </w:divBdr>
            </w:div>
          </w:divsChild>
        </w:div>
        <w:div w:id="197938822">
          <w:marLeft w:val="0"/>
          <w:marRight w:val="0"/>
          <w:marTop w:val="0"/>
          <w:marBottom w:val="0"/>
          <w:divBdr>
            <w:top w:val="none" w:sz="0" w:space="0" w:color="auto"/>
            <w:left w:val="none" w:sz="0" w:space="0" w:color="auto"/>
            <w:bottom w:val="none" w:sz="0" w:space="0" w:color="auto"/>
            <w:right w:val="none" w:sz="0" w:space="0" w:color="auto"/>
          </w:divBdr>
          <w:divsChild>
            <w:div w:id="1438215026">
              <w:marLeft w:val="0"/>
              <w:marRight w:val="0"/>
              <w:marTop w:val="0"/>
              <w:marBottom w:val="0"/>
              <w:divBdr>
                <w:top w:val="none" w:sz="0" w:space="0" w:color="auto"/>
                <w:left w:val="none" w:sz="0" w:space="0" w:color="auto"/>
                <w:bottom w:val="none" w:sz="0" w:space="0" w:color="auto"/>
                <w:right w:val="none" w:sz="0" w:space="0" w:color="auto"/>
              </w:divBdr>
            </w:div>
          </w:divsChild>
        </w:div>
        <w:div w:id="202327038">
          <w:marLeft w:val="0"/>
          <w:marRight w:val="0"/>
          <w:marTop w:val="0"/>
          <w:marBottom w:val="0"/>
          <w:divBdr>
            <w:top w:val="none" w:sz="0" w:space="0" w:color="auto"/>
            <w:left w:val="none" w:sz="0" w:space="0" w:color="auto"/>
            <w:bottom w:val="none" w:sz="0" w:space="0" w:color="auto"/>
            <w:right w:val="none" w:sz="0" w:space="0" w:color="auto"/>
          </w:divBdr>
          <w:divsChild>
            <w:div w:id="503055477">
              <w:marLeft w:val="0"/>
              <w:marRight w:val="0"/>
              <w:marTop w:val="0"/>
              <w:marBottom w:val="0"/>
              <w:divBdr>
                <w:top w:val="none" w:sz="0" w:space="0" w:color="auto"/>
                <w:left w:val="none" w:sz="0" w:space="0" w:color="auto"/>
                <w:bottom w:val="none" w:sz="0" w:space="0" w:color="auto"/>
                <w:right w:val="none" w:sz="0" w:space="0" w:color="auto"/>
              </w:divBdr>
            </w:div>
          </w:divsChild>
        </w:div>
        <w:div w:id="211577639">
          <w:marLeft w:val="0"/>
          <w:marRight w:val="0"/>
          <w:marTop w:val="0"/>
          <w:marBottom w:val="0"/>
          <w:divBdr>
            <w:top w:val="none" w:sz="0" w:space="0" w:color="auto"/>
            <w:left w:val="none" w:sz="0" w:space="0" w:color="auto"/>
            <w:bottom w:val="none" w:sz="0" w:space="0" w:color="auto"/>
            <w:right w:val="none" w:sz="0" w:space="0" w:color="auto"/>
          </w:divBdr>
          <w:divsChild>
            <w:div w:id="1526283472">
              <w:marLeft w:val="0"/>
              <w:marRight w:val="0"/>
              <w:marTop w:val="0"/>
              <w:marBottom w:val="0"/>
              <w:divBdr>
                <w:top w:val="none" w:sz="0" w:space="0" w:color="auto"/>
                <w:left w:val="none" w:sz="0" w:space="0" w:color="auto"/>
                <w:bottom w:val="none" w:sz="0" w:space="0" w:color="auto"/>
                <w:right w:val="none" w:sz="0" w:space="0" w:color="auto"/>
              </w:divBdr>
            </w:div>
          </w:divsChild>
        </w:div>
        <w:div w:id="214779420">
          <w:marLeft w:val="0"/>
          <w:marRight w:val="0"/>
          <w:marTop w:val="0"/>
          <w:marBottom w:val="0"/>
          <w:divBdr>
            <w:top w:val="none" w:sz="0" w:space="0" w:color="auto"/>
            <w:left w:val="none" w:sz="0" w:space="0" w:color="auto"/>
            <w:bottom w:val="none" w:sz="0" w:space="0" w:color="auto"/>
            <w:right w:val="none" w:sz="0" w:space="0" w:color="auto"/>
          </w:divBdr>
          <w:divsChild>
            <w:div w:id="105120188">
              <w:marLeft w:val="0"/>
              <w:marRight w:val="0"/>
              <w:marTop w:val="0"/>
              <w:marBottom w:val="0"/>
              <w:divBdr>
                <w:top w:val="none" w:sz="0" w:space="0" w:color="auto"/>
                <w:left w:val="none" w:sz="0" w:space="0" w:color="auto"/>
                <w:bottom w:val="none" w:sz="0" w:space="0" w:color="auto"/>
                <w:right w:val="none" w:sz="0" w:space="0" w:color="auto"/>
              </w:divBdr>
            </w:div>
          </w:divsChild>
        </w:div>
        <w:div w:id="231502670">
          <w:marLeft w:val="0"/>
          <w:marRight w:val="0"/>
          <w:marTop w:val="0"/>
          <w:marBottom w:val="0"/>
          <w:divBdr>
            <w:top w:val="none" w:sz="0" w:space="0" w:color="auto"/>
            <w:left w:val="none" w:sz="0" w:space="0" w:color="auto"/>
            <w:bottom w:val="none" w:sz="0" w:space="0" w:color="auto"/>
            <w:right w:val="none" w:sz="0" w:space="0" w:color="auto"/>
          </w:divBdr>
          <w:divsChild>
            <w:div w:id="171455088">
              <w:marLeft w:val="0"/>
              <w:marRight w:val="0"/>
              <w:marTop w:val="0"/>
              <w:marBottom w:val="0"/>
              <w:divBdr>
                <w:top w:val="none" w:sz="0" w:space="0" w:color="auto"/>
                <w:left w:val="none" w:sz="0" w:space="0" w:color="auto"/>
                <w:bottom w:val="none" w:sz="0" w:space="0" w:color="auto"/>
                <w:right w:val="none" w:sz="0" w:space="0" w:color="auto"/>
              </w:divBdr>
            </w:div>
          </w:divsChild>
        </w:div>
        <w:div w:id="233124765">
          <w:marLeft w:val="0"/>
          <w:marRight w:val="0"/>
          <w:marTop w:val="0"/>
          <w:marBottom w:val="0"/>
          <w:divBdr>
            <w:top w:val="none" w:sz="0" w:space="0" w:color="auto"/>
            <w:left w:val="none" w:sz="0" w:space="0" w:color="auto"/>
            <w:bottom w:val="none" w:sz="0" w:space="0" w:color="auto"/>
            <w:right w:val="none" w:sz="0" w:space="0" w:color="auto"/>
          </w:divBdr>
          <w:divsChild>
            <w:div w:id="1504666748">
              <w:marLeft w:val="0"/>
              <w:marRight w:val="0"/>
              <w:marTop w:val="0"/>
              <w:marBottom w:val="0"/>
              <w:divBdr>
                <w:top w:val="none" w:sz="0" w:space="0" w:color="auto"/>
                <w:left w:val="none" w:sz="0" w:space="0" w:color="auto"/>
                <w:bottom w:val="none" w:sz="0" w:space="0" w:color="auto"/>
                <w:right w:val="none" w:sz="0" w:space="0" w:color="auto"/>
              </w:divBdr>
            </w:div>
          </w:divsChild>
        </w:div>
        <w:div w:id="236791754">
          <w:marLeft w:val="0"/>
          <w:marRight w:val="0"/>
          <w:marTop w:val="0"/>
          <w:marBottom w:val="0"/>
          <w:divBdr>
            <w:top w:val="none" w:sz="0" w:space="0" w:color="auto"/>
            <w:left w:val="none" w:sz="0" w:space="0" w:color="auto"/>
            <w:bottom w:val="none" w:sz="0" w:space="0" w:color="auto"/>
            <w:right w:val="none" w:sz="0" w:space="0" w:color="auto"/>
          </w:divBdr>
          <w:divsChild>
            <w:div w:id="312683093">
              <w:marLeft w:val="0"/>
              <w:marRight w:val="0"/>
              <w:marTop w:val="0"/>
              <w:marBottom w:val="0"/>
              <w:divBdr>
                <w:top w:val="none" w:sz="0" w:space="0" w:color="auto"/>
                <w:left w:val="none" w:sz="0" w:space="0" w:color="auto"/>
                <w:bottom w:val="none" w:sz="0" w:space="0" w:color="auto"/>
                <w:right w:val="none" w:sz="0" w:space="0" w:color="auto"/>
              </w:divBdr>
            </w:div>
          </w:divsChild>
        </w:div>
        <w:div w:id="244725257">
          <w:marLeft w:val="0"/>
          <w:marRight w:val="0"/>
          <w:marTop w:val="0"/>
          <w:marBottom w:val="0"/>
          <w:divBdr>
            <w:top w:val="none" w:sz="0" w:space="0" w:color="auto"/>
            <w:left w:val="none" w:sz="0" w:space="0" w:color="auto"/>
            <w:bottom w:val="none" w:sz="0" w:space="0" w:color="auto"/>
            <w:right w:val="none" w:sz="0" w:space="0" w:color="auto"/>
          </w:divBdr>
          <w:divsChild>
            <w:div w:id="1648166903">
              <w:marLeft w:val="0"/>
              <w:marRight w:val="0"/>
              <w:marTop w:val="0"/>
              <w:marBottom w:val="0"/>
              <w:divBdr>
                <w:top w:val="none" w:sz="0" w:space="0" w:color="auto"/>
                <w:left w:val="none" w:sz="0" w:space="0" w:color="auto"/>
                <w:bottom w:val="none" w:sz="0" w:space="0" w:color="auto"/>
                <w:right w:val="none" w:sz="0" w:space="0" w:color="auto"/>
              </w:divBdr>
            </w:div>
          </w:divsChild>
        </w:div>
        <w:div w:id="246816386">
          <w:marLeft w:val="0"/>
          <w:marRight w:val="0"/>
          <w:marTop w:val="0"/>
          <w:marBottom w:val="0"/>
          <w:divBdr>
            <w:top w:val="none" w:sz="0" w:space="0" w:color="auto"/>
            <w:left w:val="none" w:sz="0" w:space="0" w:color="auto"/>
            <w:bottom w:val="none" w:sz="0" w:space="0" w:color="auto"/>
            <w:right w:val="none" w:sz="0" w:space="0" w:color="auto"/>
          </w:divBdr>
          <w:divsChild>
            <w:div w:id="239601968">
              <w:marLeft w:val="0"/>
              <w:marRight w:val="0"/>
              <w:marTop w:val="0"/>
              <w:marBottom w:val="0"/>
              <w:divBdr>
                <w:top w:val="none" w:sz="0" w:space="0" w:color="auto"/>
                <w:left w:val="none" w:sz="0" w:space="0" w:color="auto"/>
                <w:bottom w:val="none" w:sz="0" w:space="0" w:color="auto"/>
                <w:right w:val="none" w:sz="0" w:space="0" w:color="auto"/>
              </w:divBdr>
            </w:div>
          </w:divsChild>
        </w:div>
        <w:div w:id="261646340">
          <w:marLeft w:val="0"/>
          <w:marRight w:val="0"/>
          <w:marTop w:val="0"/>
          <w:marBottom w:val="0"/>
          <w:divBdr>
            <w:top w:val="none" w:sz="0" w:space="0" w:color="auto"/>
            <w:left w:val="none" w:sz="0" w:space="0" w:color="auto"/>
            <w:bottom w:val="none" w:sz="0" w:space="0" w:color="auto"/>
            <w:right w:val="none" w:sz="0" w:space="0" w:color="auto"/>
          </w:divBdr>
          <w:divsChild>
            <w:div w:id="1496922466">
              <w:marLeft w:val="0"/>
              <w:marRight w:val="0"/>
              <w:marTop w:val="0"/>
              <w:marBottom w:val="0"/>
              <w:divBdr>
                <w:top w:val="none" w:sz="0" w:space="0" w:color="auto"/>
                <w:left w:val="none" w:sz="0" w:space="0" w:color="auto"/>
                <w:bottom w:val="none" w:sz="0" w:space="0" w:color="auto"/>
                <w:right w:val="none" w:sz="0" w:space="0" w:color="auto"/>
              </w:divBdr>
            </w:div>
          </w:divsChild>
        </w:div>
        <w:div w:id="266037671">
          <w:marLeft w:val="0"/>
          <w:marRight w:val="0"/>
          <w:marTop w:val="0"/>
          <w:marBottom w:val="0"/>
          <w:divBdr>
            <w:top w:val="none" w:sz="0" w:space="0" w:color="auto"/>
            <w:left w:val="none" w:sz="0" w:space="0" w:color="auto"/>
            <w:bottom w:val="none" w:sz="0" w:space="0" w:color="auto"/>
            <w:right w:val="none" w:sz="0" w:space="0" w:color="auto"/>
          </w:divBdr>
          <w:divsChild>
            <w:div w:id="85736356">
              <w:marLeft w:val="0"/>
              <w:marRight w:val="0"/>
              <w:marTop w:val="0"/>
              <w:marBottom w:val="0"/>
              <w:divBdr>
                <w:top w:val="none" w:sz="0" w:space="0" w:color="auto"/>
                <w:left w:val="none" w:sz="0" w:space="0" w:color="auto"/>
                <w:bottom w:val="none" w:sz="0" w:space="0" w:color="auto"/>
                <w:right w:val="none" w:sz="0" w:space="0" w:color="auto"/>
              </w:divBdr>
            </w:div>
          </w:divsChild>
        </w:div>
        <w:div w:id="279840515">
          <w:marLeft w:val="0"/>
          <w:marRight w:val="0"/>
          <w:marTop w:val="0"/>
          <w:marBottom w:val="0"/>
          <w:divBdr>
            <w:top w:val="none" w:sz="0" w:space="0" w:color="auto"/>
            <w:left w:val="none" w:sz="0" w:space="0" w:color="auto"/>
            <w:bottom w:val="none" w:sz="0" w:space="0" w:color="auto"/>
            <w:right w:val="none" w:sz="0" w:space="0" w:color="auto"/>
          </w:divBdr>
          <w:divsChild>
            <w:div w:id="1002782454">
              <w:marLeft w:val="0"/>
              <w:marRight w:val="0"/>
              <w:marTop w:val="0"/>
              <w:marBottom w:val="0"/>
              <w:divBdr>
                <w:top w:val="none" w:sz="0" w:space="0" w:color="auto"/>
                <w:left w:val="none" w:sz="0" w:space="0" w:color="auto"/>
                <w:bottom w:val="none" w:sz="0" w:space="0" w:color="auto"/>
                <w:right w:val="none" w:sz="0" w:space="0" w:color="auto"/>
              </w:divBdr>
            </w:div>
          </w:divsChild>
        </w:div>
        <w:div w:id="348989247">
          <w:marLeft w:val="0"/>
          <w:marRight w:val="0"/>
          <w:marTop w:val="0"/>
          <w:marBottom w:val="0"/>
          <w:divBdr>
            <w:top w:val="none" w:sz="0" w:space="0" w:color="auto"/>
            <w:left w:val="none" w:sz="0" w:space="0" w:color="auto"/>
            <w:bottom w:val="none" w:sz="0" w:space="0" w:color="auto"/>
            <w:right w:val="none" w:sz="0" w:space="0" w:color="auto"/>
          </w:divBdr>
          <w:divsChild>
            <w:div w:id="2119517853">
              <w:marLeft w:val="0"/>
              <w:marRight w:val="0"/>
              <w:marTop w:val="0"/>
              <w:marBottom w:val="0"/>
              <w:divBdr>
                <w:top w:val="none" w:sz="0" w:space="0" w:color="auto"/>
                <w:left w:val="none" w:sz="0" w:space="0" w:color="auto"/>
                <w:bottom w:val="none" w:sz="0" w:space="0" w:color="auto"/>
                <w:right w:val="none" w:sz="0" w:space="0" w:color="auto"/>
              </w:divBdr>
            </w:div>
          </w:divsChild>
        </w:div>
        <w:div w:id="353843363">
          <w:marLeft w:val="0"/>
          <w:marRight w:val="0"/>
          <w:marTop w:val="0"/>
          <w:marBottom w:val="0"/>
          <w:divBdr>
            <w:top w:val="none" w:sz="0" w:space="0" w:color="auto"/>
            <w:left w:val="none" w:sz="0" w:space="0" w:color="auto"/>
            <w:bottom w:val="none" w:sz="0" w:space="0" w:color="auto"/>
            <w:right w:val="none" w:sz="0" w:space="0" w:color="auto"/>
          </w:divBdr>
          <w:divsChild>
            <w:div w:id="1616251668">
              <w:marLeft w:val="0"/>
              <w:marRight w:val="0"/>
              <w:marTop w:val="0"/>
              <w:marBottom w:val="0"/>
              <w:divBdr>
                <w:top w:val="none" w:sz="0" w:space="0" w:color="auto"/>
                <w:left w:val="none" w:sz="0" w:space="0" w:color="auto"/>
                <w:bottom w:val="none" w:sz="0" w:space="0" w:color="auto"/>
                <w:right w:val="none" w:sz="0" w:space="0" w:color="auto"/>
              </w:divBdr>
            </w:div>
          </w:divsChild>
        </w:div>
        <w:div w:id="357396450">
          <w:marLeft w:val="0"/>
          <w:marRight w:val="0"/>
          <w:marTop w:val="0"/>
          <w:marBottom w:val="0"/>
          <w:divBdr>
            <w:top w:val="none" w:sz="0" w:space="0" w:color="auto"/>
            <w:left w:val="none" w:sz="0" w:space="0" w:color="auto"/>
            <w:bottom w:val="none" w:sz="0" w:space="0" w:color="auto"/>
            <w:right w:val="none" w:sz="0" w:space="0" w:color="auto"/>
          </w:divBdr>
          <w:divsChild>
            <w:div w:id="2030256089">
              <w:marLeft w:val="0"/>
              <w:marRight w:val="0"/>
              <w:marTop w:val="0"/>
              <w:marBottom w:val="0"/>
              <w:divBdr>
                <w:top w:val="none" w:sz="0" w:space="0" w:color="auto"/>
                <w:left w:val="none" w:sz="0" w:space="0" w:color="auto"/>
                <w:bottom w:val="none" w:sz="0" w:space="0" w:color="auto"/>
                <w:right w:val="none" w:sz="0" w:space="0" w:color="auto"/>
              </w:divBdr>
            </w:div>
          </w:divsChild>
        </w:div>
        <w:div w:id="380062792">
          <w:marLeft w:val="0"/>
          <w:marRight w:val="0"/>
          <w:marTop w:val="0"/>
          <w:marBottom w:val="0"/>
          <w:divBdr>
            <w:top w:val="none" w:sz="0" w:space="0" w:color="auto"/>
            <w:left w:val="none" w:sz="0" w:space="0" w:color="auto"/>
            <w:bottom w:val="none" w:sz="0" w:space="0" w:color="auto"/>
            <w:right w:val="none" w:sz="0" w:space="0" w:color="auto"/>
          </w:divBdr>
          <w:divsChild>
            <w:div w:id="83961632">
              <w:marLeft w:val="0"/>
              <w:marRight w:val="0"/>
              <w:marTop w:val="0"/>
              <w:marBottom w:val="0"/>
              <w:divBdr>
                <w:top w:val="none" w:sz="0" w:space="0" w:color="auto"/>
                <w:left w:val="none" w:sz="0" w:space="0" w:color="auto"/>
                <w:bottom w:val="none" w:sz="0" w:space="0" w:color="auto"/>
                <w:right w:val="none" w:sz="0" w:space="0" w:color="auto"/>
              </w:divBdr>
            </w:div>
          </w:divsChild>
        </w:div>
        <w:div w:id="395475012">
          <w:marLeft w:val="0"/>
          <w:marRight w:val="0"/>
          <w:marTop w:val="0"/>
          <w:marBottom w:val="0"/>
          <w:divBdr>
            <w:top w:val="none" w:sz="0" w:space="0" w:color="auto"/>
            <w:left w:val="none" w:sz="0" w:space="0" w:color="auto"/>
            <w:bottom w:val="none" w:sz="0" w:space="0" w:color="auto"/>
            <w:right w:val="none" w:sz="0" w:space="0" w:color="auto"/>
          </w:divBdr>
          <w:divsChild>
            <w:div w:id="1352560842">
              <w:marLeft w:val="0"/>
              <w:marRight w:val="0"/>
              <w:marTop w:val="0"/>
              <w:marBottom w:val="0"/>
              <w:divBdr>
                <w:top w:val="none" w:sz="0" w:space="0" w:color="auto"/>
                <w:left w:val="none" w:sz="0" w:space="0" w:color="auto"/>
                <w:bottom w:val="none" w:sz="0" w:space="0" w:color="auto"/>
                <w:right w:val="none" w:sz="0" w:space="0" w:color="auto"/>
              </w:divBdr>
            </w:div>
          </w:divsChild>
        </w:div>
        <w:div w:id="396126377">
          <w:marLeft w:val="0"/>
          <w:marRight w:val="0"/>
          <w:marTop w:val="0"/>
          <w:marBottom w:val="0"/>
          <w:divBdr>
            <w:top w:val="none" w:sz="0" w:space="0" w:color="auto"/>
            <w:left w:val="none" w:sz="0" w:space="0" w:color="auto"/>
            <w:bottom w:val="none" w:sz="0" w:space="0" w:color="auto"/>
            <w:right w:val="none" w:sz="0" w:space="0" w:color="auto"/>
          </w:divBdr>
          <w:divsChild>
            <w:div w:id="1918006564">
              <w:marLeft w:val="0"/>
              <w:marRight w:val="0"/>
              <w:marTop w:val="0"/>
              <w:marBottom w:val="0"/>
              <w:divBdr>
                <w:top w:val="none" w:sz="0" w:space="0" w:color="auto"/>
                <w:left w:val="none" w:sz="0" w:space="0" w:color="auto"/>
                <w:bottom w:val="none" w:sz="0" w:space="0" w:color="auto"/>
                <w:right w:val="none" w:sz="0" w:space="0" w:color="auto"/>
              </w:divBdr>
            </w:div>
          </w:divsChild>
        </w:div>
        <w:div w:id="405614644">
          <w:marLeft w:val="0"/>
          <w:marRight w:val="0"/>
          <w:marTop w:val="0"/>
          <w:marBottom w:val="0"/>
          <w:divBdr>
            <w:top w:val="none" w:sz="0" w:space="0" w:color="auto"/>
            <w:left w:val="none" w:sz="0" w:space="0" w:color="auto"/>
            <w:bottom w:val="none" w:sz="0" w:space="0" w:color="auto"/>
            <w:right w:val="none" w:sz="0" w:space="0" w:color="auto"/>
          </w:divBdr>
          <w:divsChild>
            <w:div w:id="912158261">
              <w:marLeft w:val="0"/>
              <w:marRight w:val="0"/>
              <w:marTop w:val="0"/>
              <w:marBottom w:val="0"/>
              <w:divBdr>
                <w:top w:val="none" w:sz="0" w:space="0" w:color="auto"/>
                <w:left w:val="none" w:sz="0" w:space="0" w:color="auto"/>
                <w:bottom w:val="none" w:sz="0" w:space="0" w:color="auto"/>
                <w:right w:val="none" w:sz="0" w:space="0" w:color="auto"/>
              </w:divBdr>
            </w:div>
          </w:divsChild>
        </w:div>
        <w:div w:id="405693057">
          <w:marLeft w:val="0"/>
          <w:marRight w:val="0"/>
          <w:marTop w:val="0"/>
          <w:marBottom w:val="0"/>
          <w:divBdr>
            <w:top w:val="none" w:sz="0" w:space="0" w:color="auto"/>
            <w:left w:val="none" w:sz="0" w:space="0" w:color="auto"/>
            <w:bottom w:val="none" w:sz="0" w:space="0" w:color="auto"/>
            <w:right w:val="none" w:sz="0" w:space="0" w:color="auto"/>
          </w:divBdr>
          <w:divsChild>
            <w:div w:id="1280066562">
              <w:marLeft w:val="0"/>
              <w:marRight w:val="0"/>
              <w:marTop w:val="0"/>
              <w:marBottom w:val="0"/>
              <w:divBdr>
                <w:top w:val="none" w:sz="0" w:space="0" w:color="auto"/>
                <w:left w:val="none" w:sz="0" w:space="0" w:color="auto"/>
                <w:bottom w:val="none" w:sz="0" w:space="0" w:color="auto"/>
                <w:right w:val="none" w:sz="0" w:space="0" w:color="auto"/>
              </w:divBdr>
            </w:div>
          </w:divsChild>
        </w:div>
        <w:div w:id="434179132">
          <w:marLeft w:val="0"/>
          <w:marRight w:val="0"/>
          <w:marTop w:val="0"/>
          <w:marBottom w:val="0"/>
          <w:divBdr>
            <w:top w:val="none" w:sz="0" w:space="0" w:color="auto"/>
            <w:left w:val="none" w:sz="0" w:space="0" w:color="auto"/>
            <w:bottom w:val="none" w:sz="0" w:space="0" w:color="auto"/>
            <w:right w:val="none" w:sz="0" w:space="0" w:color="auto"/>
          </w:divBdr>
          <w:divsChild>
            <w:div w:id="138349272">
              <w:marLeft w:val="0"/>
              <w:marRight w:val="0"/>
              <w:marTop w:val="0"/>
              <w:marBottom w:val="0"/>
              <w:divBdr>
                <w:top w:val="none" w:sz="0" w:space="0" w:color="auto"/>
                <w:left w:val="none" w:sz="0" w:space="0" w:color="auto"/>
                <w:bottom w:val="none" w:sz="0" w:space="0" w:color="auto"/>
                <w:right w:val="none" w:sz="0" w:space="0" w:color="auto"/>
              </w:divBdr>
            </w:div>
          </w:divsChild>
        </w:div>
        <w:div w:id="449668047">
          <w:marLeft w:val="0"/>
          <w:marRight w:val="0"/>
          <w:marTop w:val="0"/>
          <w:marBottom w:val="0"/>
          <w:divBdr>
            <w:top w:val="none" w:sz="0" w:space="0" w:color="auto"/>
            <w:left w:val="none" w:sz="0" w:space="0" w:color="auto"/>
            <w:bottom w:val="none" w:sz="0" w:space="0" w:color="auto"/>
            <w:right w:val="none" w:sz="0" w:space="0" w:color="auto"/>
          </w:divBdr>
          <w:divsChild>
            <w:div w:id="1022442471">
              <w:marLeft w:val="0"/>
              <w:marRight w:val="0"/>
              <w:marTop w:val="0"/>
              <w:marBottom w:val="0"/>
              <w:divBdr>
                <w:top w:val="none" w:sz="0" w:space="0" w:color="auto"/>
                <w:left w:val="none" w:sz="0" w:space="0" w:color="auto"/>
                <w:bottom w:val="none" w:sz="0" w:space="0" w:color="auto"/>
                <w:right w:val="none" w:sz="0" w:space="0" w:color="auto"/>
              </w:divBdr>
            </w:div>
          </w:divsChild>
        </w:div>
        <w:div w:id="449860659">
          <w:marLeft w:val="0"/>
          <w:marRight w:val="0"/>
          <w:marTop w:val="0"/>
          <w:marBottom w:val="0"/>
          <w:divBdr>
            <w:top w:val="none" w:sz="0" w:space="0" w:color="auto"/>
            <w:left w:val="none" w:sz="0" w:space="0" w:color="auto"/>
            <w:bottom w:val="none" w:sz="0" w:space="0" w:color="auto"/>
            <w:right w:val="none" w:sz="0" w:space="0" w:color="auto"/>
          </w:divBdr>
          <w:divsChild>
            <w:div w:id="1053043449">
              <w:marLeft w:val="0"/>
              <w:marRight w:val="0"/>
              <w:marTop w:val="0"/>
              <w:marBottom w:val="0"/>
              <w:divBdr>
                <w:top w:val="none" w:sz="0" w:space="0" w:color="auto"/>
                <w:left w:val="none" w:sz="0" w:space="0" w:color="auto"/>
                <w:bottom w:val="none" w:sz="0" w:space="0" w:color="auto"/>
                <w:right w:val="none" w:sz="0" w:space="0" w:color="auto"/>
              </w:divBdr>
            </w:div>
          </w:divsChild>
        </w:div>
        <w:div w:id="461845978">
          <w:marLeft w:val="0"/>
          <w:marRight w:val="0"/>
          <w:marTop w:val="0"/>
          <w:marBottom w:val="0"/>
          <w:divBdr>
            <w:top w:val="none" w:sz="0" w:space="0" w:color="auto"/>
            <w:left w:val="none" w:sz="0" w:space="0" w:color="auto"/>
            <w:bottom w:val="none" w:sz="0" w:space="0" w:color="auto"/>
            <w:right w:val="none" w:sz="0" w:space="0" w:color="auto"/>
          </w:divBdr>
          <w:divsChild>
            <w:div w:id="374432459">
              <w:marLeft w:val="0"/>
              <w:marRight w:val="0"/>
              <w:marTop w:val="0"/>
              <w:marBottom w:val="0"/>
              <w:divBdr>
                <w:top w:val="none" w:sz="0" w:space="0" w:color="auto"/>
                <w:left w:val="none" w:sz="0" w:space="0" w:color="auto"/>
                <w:bottom w:val="none" w:sz="0" w:space="0" w:color="auto"/>
                <w:right w:val="none" w:sz="0" w:space="0" w:color="auto"/>
              </w:divBdr>
            </w:div>
          </w:divsChild>
        </w:div>
        <w:div w:id="470827400">
          <w:marLeft w:val="0"/>
          <w:marRight w:val="0"/>
          <w:marTop w:val="0"/>
          <w:marBottom w:val="0"/>
          <w:divBdr>
            <w:top w:val="none" w:sz="0" w:space="0" w:color="auto"/>
            <w:left w:val="none" w:sz="0" w:space="0" w:color="auto"/>
            <w:bottom w:val="none" w:sz="0" w:space="0" w:color="auto"/>
            <w:right w:val="none" w:sz="0" w:space="0" w:color="auto"/>
          </w:divBdr>
          <w:divsChild>
            <w:div w:id="1882354950">
              <w:marLeft w:val="0"/>
              <w:marRight w:val="0"/>
              <w:marTop w:val="0"/>
              <w:marBottom w:val="0"/>
              <w:divBdr>
                <w:top w:val="none" w:sz="0" w:space="0" w:color="auto"/>
                <w:left w:val="none" w:sz="0" w:space="0" w:color="auto"/>
                <w:bottom w:val="none" w:sz="0" w:space="0" w:color="auto"/>
                <w:right w:val="none" w:sz="0" w:space="0" w:color="auto"/>
              </w:divBdr>
            </w:div>
          </w:divsChild>
        </w:div>
        <w:div w:id="475880567">
          <w:marLeft w:val="0"/>
          <w:marRight w:val="0"/>
          <w:marTop w:val="0"/>
          <w:marBottom w:val="0"/>
          <w:divBdr>
            <w:top w:val="none" w:sz="0" w:space="0" w:color="auto"/>
            <w:left w:val="none" w:sz="0" w:space="0" w:color="auto"/>
            <w:bottom w:val="none" w:sz="0" w:space="0" w:color="auto"/>
            <w:right w:val="none" w:sz="0" w:space="0" w:color="auto"/>
          </w:divBdr>
          <w:divsChild>
            <w:div w:id="222912019">
              <w:marLeft w:val="0"/>
              <w:marRight w:val="0"/>
              <w:marTop w:val="0"/>
              <w:marBottom w:val="0"/>
              <w:divBdr>
                <w:top w:val="none" w:sz="0" w:space="0" w:color="auto"/>
                <w:left w:val="none" w:sz="0" w:space="0" w:color="auto"/>
                <w:bottom w:val="none" w:sz="0" w:space="0" w:color="auto"/>
                <w:right w:val="none" w:sz="0" w:space="0" w:color="auto"/>
              </w:divBdr>
            </w:div>
          </w:divsChild>
        </w:div>
        <w:div w:id="478621602">
          <w:marLeft w:val="0"/>
          <w:marRight w:val="0"/>
          <w:marTop w:val="0"/>
          <w:marBottom w:val="0"/>
          <w:divBdr>
            <w:top w:val="none" w:sz="0" w:space="0" w:color="auto"/>
            <w:left w:val="none" w:sz="0" w:space="0" w:color="auto"/>
            <w:bottom w:val="none" w:sz="0" w:space="0" w:color="auto"/>
            <w:right w:val="none" w:sz="0" w:space="0" w:color="auto"/>
          </w:divBdr>
          <w:divsChild>
            <w:div w:id="1400708429">
              <w:marLeft w:val="0"/>
              <w:marRight w:val="0"/>
              <w:marTop w:val="0"/>
              <w:marBottom w:val="0"/>
              <w:divBdr>
                <w:top w:val="none" w:sz="0" w:space="0" w:color="auto"/>
                <w:left w:val="none" w:sz="0" w:space="0" w:color="auto"/>
                <w:bottom w:val="none" w:sz="0" w:space="0" w:color="auto"/>
                <w:right w:val="none" w:sz="0" w:space="0" w:color="auto"/>
              </w:divBdr>
            </w:div>
          </w:divsChild>
        </w:div>
        <w:div w:id="480271507">
          <w:marLeft w:val="0"/>
          <w:marRight w:val="0"/>
          <w:marTop w:val="0"/>
          <w:marBottom w:val="0"/>
          <w:divBdr>
            <w:top w:val="none" w:sz="0" w:space="0" w:color="auto"/>
            <w:left w:val="none" w:sz="0" w:space="0" w:color="auto"/>
            <w:bottom w:val="none" w:sz="0" w:space="0" w:color="auto"/>
            <w:right w:val="none" w:sz="0" w:space="0" w:color="auto"/>
          </w:divBdr>
          <w:divsChild>
            <w:div w:id="1322542551">
              <w:marLeft w:val="0"/>
              <w:marRight w:val="0"/>
              <w:marTop w:val="0"/>
              <w:marBottom w:val="0"/>
              <w:divBdr>
                <w:top w:val="none" w:sz="0" w:space="0" w:color="auto"/>
                <w:left w:val="none" w:sz="0" w:space="0" w:color="auto"/>
                <w:bottom w:val="none" w:sz="0" w:space="0" w:color="auto"/>
                <w:right w:val="none" w:sz="0" w:space="0" w:color="auto"/>
              </w:divBdr>
            </w:div>
          </w:divsChild>
        </w:div>
        <w:div w:id="482428068">
          <w:marLeft w:val="0"/>
          <w:marRight w:val="0"/>
          <w:marTop w:val="0"/>
          <w:marBottom w:val="0"/>
          <w:divBdr>
            <w:top w:val="none" w:sz="0" w:space="0" w:color="auto"/>
            <w:left w:val="none" w:sz="0" w:space="0" w:color="auto"/>
            <w:bottom w:val="none" w:sz="0" w:space="0" w:color="auto"/>
            <w:right w:val="none" w:sz="0" w:space="0" w:color="auto"/>
          </w:divBdr>
          <w:divsChild>
            <w:div w:id="522135275">
              <w:marLeft w:val="0"/>
              <w:marRight w:val="0"/>
              <w:marTop w:val="0"/>
              <w:marBottom w:val="0"/>
              <w:divBdr>
                <w:top w:val="none" w:sz="0" w:space="0" w:color="auto"/>
                <w:left w:val="none" w:sz="0" w:space="0" w:color="auto"/>
                <w:bottom w:val="none" w:sz="0" w:space="0" w:color="auto"/>
                <w:right w:val="none" w:sz="0" w:space="0" w:color="auto"/>
              </w:divBdr>
            </w:div>
          </w:divsChild>
        </w:div>
        <w:div w:id="498079038">
          <w:marLeft w:val="0"/>
          <w:marRight w:val="0"/>
          <w:marTop w:val="0"/>
          <w:marBottom w:val="0"/>
          <w:divBdr>
            <w:top w:val="none" w:sz="0" w:space="0" w:color="auto"/>
            <w:left w:val="none" w:sz="0" w:space="0" w:color="auto"/>
            <w:bottom w:val="none" w:sz="0" w:space="0" w:color="auto"/>
            <w:right w:val="none" w:sz="0" w:space="0" w:color="auto"/>
          </w:divBdr>
          <w:divsChild>
            <w:div w:id="225184289">
              <w:marLeft w:val="0"/>
              <w:marRight w:val="0"/>
              <w:marTop w:val="0"/>
              <w:marBottom w:val="0"/>
              <w:divBdr>
                <w:top w:val="none" w:sz="0" w:space="0" w:color="auto"/>
                <w:left w:val="none" w:sz="0" w:space="0" w:color="auto"/>
                <w:bottom w:val="none" w:sz="0" w:space="0" w:color="auto"/>
                <w:right w:val="none" w:sz="0" w:space="0" w:color="auto"/>
              </w:divBdr>
            </w:div>
          </w:divsChild>
        </w:div>
        <w:div w:id="498695768">
          <w:marLeft w:val="0"/>
          <w:marRight w:val="0"/>
          <w:marTop w:val="0"/>
          <w:marBottom w:val="0"/>
          <w:divBdr>
            <w:top w:val="none" w:sz="0" w:space="0" w:color="auto"/>
            <w:left w:val="none" w:sz="0" w:space="0" w:color="auto"/>
            <w:bottom w:val="none" w:sz="0" w:space="0" w:color="auto"/>
            <w:right w:val="none" w:sz="0" w:space="0" w:color="auto"/>
          </w:divBdr>
          <w:divsChild>
            <w:div w:id="854877782">
              <w:marLeft w:val="0"/>
              <w:marRight w:val="0"/>
              <w:marTop w:val="0"/>
              <w:marBottom w:val="0"/>
              <w:divBdr>
                <w:top w:val="none" w:sz="0" w:space="0" w:color="auto"/>
                <w:left w:val="none" w:sz="0" w:space="0" w:color="auto"/>
                <w:bottom w:val="none" w:sz="0" w:space="0" w:color="auto"/>
                <w:right w:val="none" w:sz="0" w:space="0" w:color="auto"/>
              </w:divBdr>
            </w:div>
          </w:divsChild>
        </w:div>
        <w:div w:id="511535134">
          <w:marLeft w:val="0"/>
          <w:marRight w:val="0"/>
          <w:marTop w:val="0"/>
          <w:marBottom w:val="0"/>
          <w:divBdr>
            <w:top w:val="none" w:sz="0" w:space="0" w:color="auto"/>
            <w:left w:val="none" w:sz="0" w:space="0" w:color="auto"/>
            <w:bottom w:val="none" w:sz="0" w:space="0" w:color="auto"/>
            <w:right w:val="none" w:sz="0" w:space="0" w:color="auto"/>
          </w:divBdr>
          <w:divsChild>
            <w:div w:id="2129085579">
              <w:marLeft w:val="0"/>
              <w:marRight w:val="0"/>
              <w:marTop w:val="0"/>
              <w:marBottom w:val="0"/>
              <w:divBdr>
                <w:top w:val="none" w:sz="0" w:space="0" w:color="auto"/>
                <w:left w:val="none" w:sz="0" w:space="0" w:color="auto"/>
                <w:bottom w:val="none" w:sz="0" w:space="0" w:color="auto"/>
                <w:right w:val="none" w:sz="0" w:space="0" w:color="auto"/>
              </w:divBdr>
            </w:div>
          </w:divsChild>
        </w:div>
        <w:div w:id="512064776">
          <w:marLeft w:val="0"/>
          <w:marRight w:val="0"/>
          <w:marTop w:val="0"/>
          <w:marBottom w:val="0"/>
          <w:divBdr>
            <w:top w:val="none" w:sz="0" w:space="0" w:color="auto"/>
            <w:left w:val="none" w:sz="0" w:space="0" w:color="auto"/>
            <w:bottom w:val="none" w:sz="0" w:space="0" w:color="auto"/>
            <w:right w:val="none" w:sz="0" w:space="0" w:color="auto"/>
          </w:divBdr>
          <w:divsChild>
            <w:div w:id="1591310632">
              <w:marLeft w:val="0"/>
              <w:marRight w:val="0"/>
              <w:marTop w:val="0"/>
              <w:marBottom w:val="0"/>
              <w:divBdr>
                <w:top w:val="none" w:sz="0" w:space="0" w:color="auto"/>
                <w:left w:val="none" w:sz="0" w:space="0" w:color="auto"/>
                <w:bottom w:val="none" w:sz="0" w:space="0" w:color="auto"/>
                <w:right w:val="none" w:sz="0" w:space="0" w:color="auto"/>
              </w:divBdr>
            </w:div>
          </w:divsChild>
        </w:div>
        <w:div w:id="519245128">
          <w:marLeft w:val="0"/>
          <w:marRight w:val="0"/>
          <w:marTop w:val="0"/>
          <w:marBottom w:val="0"/>
          <w:divBdr>
            <w:top w:val="none" w:sz="0" w:space="0" w:color="auto"/>
            <w:left w:val="none" w:sz="0" w:space="0" w:color="auto"/>
            <w:bottom w:val="none" w:sz="0" w:space="0" w:color="auto"/>
            <w:right w:val="none" w:sz="0" w:space="0" w:color="auto"/>
          </w:divBdr>
          <w:divsChild>
            <w:div w:id="1093435318">
              <w:marLeft w:val="0"/>
              <w:marRight w:val="0"/>
              <w:marTop w:val="0"/>
              <w:marBottom w:val="0"/>
              <w:divBdr>
                <w:top w:val="none" w:sz="0" w:space="0" w:color="auto"/>
                <w:left w:val="none" w:sz="0" w:space="0" w:color="auto"/>
                <w:bottom w:val="none" w:sz="0" w:space="0" w:color="auto"/>
                <w:right w:val="none" w:sz="0" w:space="0" w:color="auto"/>
              </w:divBdr>
            </w:div>
          </w:divsChild>
        </w:div>
        <w:div w:id="519704797">
          <w:marLeft w:val="0"/>
          <w:marRight w:val="0"/>
          <w:marTop w:val="0"/>
          <w:marBottom w:val="0"/>
          <w:divBdr>
            <w:top w:val="none" w:sz="0" w:space="0" w:color="auto"/>
            <w:left w:val="none" w:sz="0" w:space="0" w:color="auto"/>
            <w:bottom w:val="none" w:sz="0" w:space="0" w:color="auto"/>
            <w:right w:val="none" w:sz="0" w:space="0" w:color="auto"/>
          </w:divBdr>
          <w:divsChild>
            <w:div w:id="365570906">
              <w:marLeft w:val="0"/>
              <w:marRight w:val="0"/>
              <w:marTop w:val="0"/>
              <w:marBottom w:val="0"/>
              <w:divBdr>
                <w:top w:val="none" w:sz="0" w:space="0" w:color="auto"/>
                <w:left w:val="none" w:sz="0" w:space="0" w:color="auto"/>
                <w:bottom w:val="none" w:sz="0" w:space="0" w:color="auto"/>
                <w:right w:val="none" w:sz="0" w:space="0" w:color="auto"/>
              </w:divBdr>
            </w:div>
          </w:divsChild>
        </w:div>
        <w:div w:id="519974524">
          <w:marLeft w:val="0"/>
          <w:marRight w:val="0"/>
          <w:marTop w:val="0"/>
          <w:marBottom w:val="0"/>
          <w:divBdr>
            <w:top w:val="none" w:sz="0" w:space="0" w:color="auto"/>
            <w:left w:val="none" w:sz="0" w:space="0" w:color="auto"/>
            <w:bottom w:val="none" w:sz="0" w:space="0" w:color="auto"/>
            <w:right w:val="none" w:sz="0" w:space="0" w:color="auto"/>
          </w:divBdr>
          <w:divsChild>
            <w:div w:id="2034383967">
              <w:marLeft w:val="0"/>
              <w:marRight w:val="0"/>
              <w:marTop w:val="0"/>
              <w:marBottom w:val="0"/>
              <w:divBdr>
                <w:top w:val="none" w:sz="0" w:space="0" w:color="auto"/>
                <w:left w:val="none" w:sz="0" w:space="0" w:color="auto"/>
                <w:bottom w:val="none" w:sz="0" w:space="0" w:color="auto"/>
                <w:right w:val="none" w:sz="0" w:space="0" w:color="auto"/>
              </w:divBdr>
            </w:div>
          </w:divsChild>
        </w:div>
        <w:div w:id="521357540">
          <w:marLeft w:val="0"/>
          <w:marRight w:val="0"/>
          <w:marTop w:val="0"/>
          <w:marBottom w:val="0"/>
          <w:divBdr>
            <w:top w:val="none" w:sz="0" w:space="0" w:color="auto"/>
            <w:left w:val="none" w:sz="0" w:space="0" w:color="auto"/>
            <w:bottom w:val="none" w:sz="0" w:space="0" w:color="auto"/>
            <w:right w:val="none" w:sz="0" w:space="0" w:color="auto"/>
          </w:divBdr>
          <w:divsChild>
            <w:div w:id="1656447777">
              <w:marLeft w:val="0"/>
              <w:marRight w:val="0"/>
              <w:marTop w:val="0"/>
              <w:marBottom w:val="0"/>
              <w:divBdr>
                <w:top w:val="none" w:sz="0" w:space="0" w:color="auto"/>
                <w:left w:val="none" w:sz="0" w:space="0" w:color="auto"/>
                <w:bottom w:val="none" w:sz="0" w:space="0" w:color="auto"/>
                <w:right w:val="none" w:sz="0" w:space="0" w:color="auto"/>
              </w:divBdr>
            </w:div>
          </w:divsChild>
        </w:div>
        <w:div w:id="523594358">
          <w:marLeft w:val="0"/>
          <w:marRight w:val="0"/>
          <w:marTop w:val="0"/>
          <w:marBottom w:val="0"/>
          <w:divBdr>
            <w:top w:val="none" w:sz="0" w:space="0" w:color="auto"/>
            <w:left w:val="none" w:sz="0" w:space="0" w:color="auto"/>
            <w:bottom w:val="none" w:sz="0" w:space="0" w:color="auto"/>
            <w:right w:val="none" w:sz="0" w:space="0" w:color="auto"/>
          </w:divBdr>
          <w:divsChild>
            <w:div w:id="1393963546">
              <w:marLeft w:val="0"/>
              <w:marRight w:val="0"/>
              <w:marTop w:val="0"/>
              <w:marBottom w:val="0"/>
              <w:divBdr>
                <w:top w:val="none" w:sz="0" w:space="0" w:color="auto"/>
                <w:left w:val="none" w:sz="0" w:space="0" w:color="auto"/>
                <w:bottom w:val="none" w:sz="0" w:space="0" w:color="auto"/>
                <w:right w:val="none" w:sz="0" w:space="0" w:color="auto"/>
              </w:divBdr>
            </w:div>
          </w:divsChild>
        </w:div>
        <w:div w:id="528569297">
          <w:marLeft w:val="0"/>
          <w:marRight w:val="0"/>
          <w:marTop w:val="0"/>
          <w:marBottom w:val="0"/>
          <w:divBdr>
            <w:top w:val="none" w:sz="0" w:space="0" w:color="auto"/>
            <w:left w:val="none" w:sz="0" w:space="0" w:color="auto"/>
            <w:bottom w:val="none" w:sz="0" w:space="0" w:color="auto"/>
            <w:right w:val="none" w:sz="0" w:space="0" w:color="auto"/>
          </w:divBdr>
          <w:divsChild>
            <w:div w:id="1908421183">
              <w:marLeft w:val="0"/>
              <w:marRight w:val="0"/>
              <w:marTop w:val="0"/>
              <w:marBottom w:val="0"/>
              <w:divBdr>
                <w:top w:val="none" w:sz="0" w:space="0" w:color="auto"/>
                <w:left w:val="none" w:sz="0" w:space="0" w:color="auto"/>
                <w:bottom w:val="none" w:sz="0" w:space="0" w:color="auto"/>
                <w:right w:val="none" w:sz="0" w:space="0" w:color="auto"/>
              </w:divBdr>
            </w:div>
          </w:divsChild>
        </w:div>
        <w:div w:id="542519658">
          <w:marLeft w:val="0"/>
          <w:marRight w:val="0"/>
          <w:marTop w:val="0"/>
          <w:marBottom w:val="0"/>
          <w:divBdr>
            <w:top w:val="none" w:sz="0" w:space="0" w:color="auto"/>
            <w:left w:val="none" w:sz="0" w:space="0" w:color="auto"/>
            <w:bottom w:val="none" w:sz="0" w:space="0" w:color="auto"/>
            <w:right w:val="none" w:sz="0" w:space="0" w:color="auto"/>
          </w:divBdr>
          <w:divsChild>
            <w:div w:id="123013004">
              <w:marLeft w:val="0"/>
              <w:marRight w:val="0"/>
              <w:marTop w:val="0"/>
              <w:marBottom w:val="0"/>
              <w:divBdr>
                <w:top w:val="none" w:sz="0" w:space="0" w:color="auto"/>
                <w:left w:val="none" w:sz="0" w:space="0" w:color="auto"/>
                <w:bottom w:val="none" w:sz="0" w:space="0" w:color="auto"/>
                <w:right w:val="none" w:sz="0" w:space="0" w:color="auto"/>
              </w:divBdr>
            </w:div>
          </w:divsChild>
        </w:div>
        <w:div w:id="543257296">
          <w:marLeft w:val="0"/>
          <w:marRight w:val="0"/>
          <w:marTop w:val="0"/>
          <w:marBottom w:val="0"/>
          <w:divBdr>
            <w:top w:val="none" w:sz="0" w:space="0" w:color="auto"/>
            <w:left w:val="none" w:sz="0" w:space="0" w:color="auto"/>
            <w:bottom w:val="none" w:sz="0" w:space="0" w:color="auto"/>
            <w:right w:val="none" w:sz="0" w:space="0" w:color="auto"/>
          </w:divBdr>
          <w:divsChild>
            <w:div w:id="1844470735">
              <w:marLeft w:val="0"/>
              <w:marRight w:val="0"/>
              <w:marTop w:val="0"/>
              <w:marBottom w:val="0"/>
              <w:divBdr>
                <w:top w:val="none" w:sz="0" w:space="0" w:color="auto"/>
                <w:left w:val="none" w:sz="0" w:space="0" w:color="auto"/>
                <w:bottom w:val="none" w:sz="0" w:space="0" w:color="auto"/>
                <w:right w:val="none" w:sz="0" w:space="0" w:color="auto"/>
              </w:divBdr>
            </w:div>
          </w:divsChild>
        </w:div>
        <w:div w:id="547500184">
          <w:marLeft w:val="0"/>
          <w:marRight w:val="0"/>
          <w:marTop w:val="0"/>
          <w:marBottom w:val="0"/>
          <w:divBdr>
            <w:top w:val="none" w:sz="0" w:space="0" w:color="auto"/>
            <w:left w:val="none" w:sz="0" w:space="0" w:color="auto"/>
            <w:bottom w:val="none" w:sz="0" w:space="0" w:color="auto"/>
            <w:right w:val="none" w:sz="0" w:space="0" w:color="auto"/>
          </w:divBdr>
          <w:divsChild>
            <w:div w:id="1937983213">
              <w:marLeft w:val="0"/>
              <w:marRight w:val="0"/>
              <w:marTop w:val="0"/>
              <w:marBottom w:val="0"/>
              <w:divBdr>
                <w:top w:val="none" w:sz="0" w:space="0" w:color="auto"/>
                <w:left w:val="none" w:sz="0" w:space="0" w:color="auto"/>
                <w:bottom w:val="none" w:sz="0" w:space="0" w:color="auto"/>
                <w:right w:val="none" w:sz="0" w:space="0" w:color="auto"/>
              </w:divBdr>
            </w:div>
          </w:divsChild>
        </w:div>
        <w:div w:id="549073860">
          <w:marLeft w:val="0"/>
          <w:marRight w:val="0"/>
          <w:marTop w:val="0"/>
          <w:marBottom w:val="0"/>
          <w:divBdr>
            <w:top w:val="none" w:sz="0" w:space="0" w:color="auto"/>
            <w:left w:val="none" w:sz="0" w:space="0" w:color="auto"/>
            <w:bottom w:val="none" w:sz="0" w:space="0" w:color="auto"/>
            <w:right w:val="none" w:sz="0" w:space="0" w:color="auto"/>
          </w:divBdr>
          <w:divsChild>
            <w:div w:id="1148401332">
              <w:marLeft w:val="0"/>
              <w:marRight w:val="0"/>
              <w:marTop w:val="0"/>
              <w:marBottom w:val="0"/>
              <w:divBdr>
                <w:top w:val="none" w:sz="0" w:space="0" w:color="auto"/>
                <w:left w:val="none" w:sz="0" w:space="0" w:color="auto"/>
                <w:bottom w:val="none" w:sz="0" w:space="0" w:color="auto"/>
                <w:right w:val="none" w:sz="0" w:space="0" w:color="auto"/>
              </w:divBdr>
            </w:div>
          </w:divsChild>
        </w:div>
        <w:div w:id="556281258">
          <w:marLeft w:val="0"/>
          <w:marRight w:val="0"/>
          <w:marTop w:val="0"/>
          <w:marBottom w:val="0"/>
          <w:divBdr>
            <w:top w:val="none" w:sz="0" w:space="0" w:color="auto"/>
            <w:left w:val="none" w:sz="0" w:space="0" w:color="auto"/>
            <w:bottom w:val="none" w:sz="0" w:space="0" w:color="auto"/>
            <w:right w:val="none" w:sz="0" w:space="0" w:color="auto"/>
          </w:divBdr>
          <w:divsChild>
            <w:div w:id="781877174">
              <w:marLeft w:val="0"/>
              <w:marRight w:val="0"/>
              <w:marTop w:val="0"/>
              <w:marBottom w:val="0"/>
              <w:divBdr>
                <w:top w:val="none" w:sz="0" w:space="0" w:color="auto"/>
                <w:left w:val="none" w:sz="0" w:space="0" w:color="auto"/>
                <w:bottom w:val="none" w:sz="0" w:space="0" w:color="auto"/>
                <w:right w:val="none" w:sz="0" w:space="0" w:color="auto"/>
              </w:divBdr>
            </w:div>
          </w:divsChild>
        </w:div>
        <w:div w:id="570627140">
          <w:marLeft w:val="0"/>
          <w:marRight w:val="0"/>
          <w:marTop w:val="0"/>
          <w:marBottom w:val="0"/>
          <w:divBdr>
            <w:top w:val="none" w:sz="0" w:space="0" w:color="auto"/>
            <w:left w:val="none" w:sz="0" w:space="0" w:color="auto"/>
            <w:bottom w:val="none" w:sz="0" w:space="0" w:color="auto"/>
            <w:right w:val="none" w:sz="0" w:space="0" w:color="auto"/>
          </w:divBdr>
          <w:divsChild>
            <w:div w:id="85809329">
              <w:marLeft w:val="0"/>
              <w:marRight w:val="0"/>
              <w:marTop w:val="0"/>
              <w:marBottom w:val="0"/>
              <w:divBdr>
                <w:top w:val="none" w:sz="0" w:space="0" w:color="auto"/>
                <w:left w:val="none" w:sz="0" w:space="0" w:color="auto"/>
                <w:bottom w:val="none" w:sz="0" w:space="0" w:color="auto"/>
                <w:right w:val="none" w:sz="0" w:space="0" w:color="auto"/>
              </w:divBdr>
            </w:div>
          </w:divsChild>
        </w:div>
        <w:div w:id="573008376">
          <w:marLeft w:val="0"/>
          <w:marRight w:val="0"/>
          <w:marTop w:val="0"/>
          <w:marBottom w:val="0"/>
          <w:divBdr>
            <w:top w:val="none" w:sz="0" w:space="0" w:color="auto"/>
            <w:left w:val="none" w:sz="0" w:space="0" w:color="auto"/>
            <w:bottom w:val="none" w:sz="0" w:space="0" w:color="auto"/>
            <w:right w:val="none" w:sz="0" w:space="0" w:color="auto"/>
          </w:divBdr>
          <w:divsChild>
            <w:div w:id="1935475863">
              <w:marLeft w:val="0"/>
              <w:marRight w:val="0"/>
              <w:marTop w:val="0"/>
              <w:marBottom w:val="0"/>
              <w:divBdr>
                <w:top w:val="none" w:sz="0" w:space="0" w:color="auto"/>
                <w:left w:val="none" w:sz="0" w:space="0" w:color="auto"/>
                <w:bottom w:val="none" w:sz="0" w:space="0" w:color="auto"/>
                <w:right w:val="none" w:sz="0" w:space="0" w:color="auto"/>
              </w:divBdr>
            </w:div>
          </w:divsChild>
        </w:div>
        <w:div w:id="593052884">
          <w:marLeft w:val="0"/>
          <w:marRight w:val="0"/>
          <w:marTop w:val="0"/>
          <w:marBottom w:val="0"/>
          <w:divBdr>
            <w:top w:val="none" w:sz="0" w:space="0" w:color="auto"/>
            <w:left w:val="none" w:sz="0" w:space="0" w:color="auto"/>
            <w:bottom w:val="none" w:sz="0" w:space="0" w:color="auto"/>
            <w:right w:val="none" w:sz="0" w:space="0" w:color="auto"/>
          </w:divBdr>
          <w:divsChild>
            <w:div w:id="1931893077">
              <w:marLeft w:val="0"/>
              <w:marRight w:val="0"/>
              <w:marTop w:val="0"/>
              <w:marBottom w:val="0"/>
              <w:divBdr>
                <w:top w:val="none" w:sz="0" w:space="0" w:color="auto"/>
                <w:left w:val="none" w:sz="0" w:space="0" w:color="auto"/>
                <w:bottom w:val="none" w:sz="0" w:space="0" w:color="auto"/>
                <w:right w:val="none" w:sz="0" w:space="0" w:color="auto"/>
              </w:divBdr>
            </w:div>
          </w:divsChild>
        </w:div>
        <w:div w:id="595864390">
          <w:marLeft w:val="0"/>
          <w:marRight w:val="0"/>
          <w:marTop w:val="0"/>
          <w:marBottom w:val="0"/>
          <w:divBdr>
            <w:top w:val="none" w:sz="0" w:space="0" w:color="auto"/>
            <w:left w:val="none" w:sz="0" w:space="0" w:color="auto"/>
            <w:bottom w:val="none" w:sz="0" w:space="0" w:color="auto"/>
            <w:right w:val="none" w:sz="0" w:space="0" w:color="auto"/>
          </w:divBdr>
          <w:divsChild>
            <w:div w:id="1804498162">
              <w:marLeft w:val="0"/>
              <w:marRight w:val="0"/>
              <w:marTop w:val="0"/>
              <w:marBottom w:val="0"/>
              <w:divBdr>
                <w:top w:val="none" w:sz="0" w:space="0" w:color="auto"/>
                <w:left w:val="none" w:sz="0" w:space="0" w:color="auto"/>
                <w:bottom w:val="none" w:sz="0" w:space="0" w:color="auto"/>
                <w:right w:val="none" w:sz="0" w:space="0" w:color="auto"/>
              </w:divBdr>
            </w:div>
          </w:divsChild>
        </w:div>
        <w:div w:id="597756895">
          <w:marLeft w:val="0"/>
          <w:marRight w:val="0"/>
          <w:marTop w:val="0"/>
          <w:marBottom w:val="0"/>
          <w:divBdr>
            <w:top w:val="none" w:sz="0" w:space="0" w:color="auto"/>
            <w:left w:val="none" w:sz="0" w:space="0" w:color="auto"/>
            <w:bottom w:val="none" w:sz="0" w:space="0" w:color="auto"/>
            <w:right w:val="none" w:sz="0" w:space="0" w:color="auto"/>
          </w:divBdr>
          <w:divsChild>
            <w:div w:id="33700439">
              <w:marLeft w:val="0"/>
              <w:marRight w:val="0"/>
              <w:marTop w:val="0"/>
              <w:marBottom w:val="0"/>
              <w:divBdr>
                <w:top w:val="none" w:sz="0" w:space="0" w:color="auto"/>
                <w:left w:val="none" w:sz="0" w:space="0" w:color="auto"/>
                <w:bottom w:val="none" w:sz="0" w:space="0" w:color="auto"/>
                <w:right w:val="none" w:sz="0" w:space="0" w:color="auto"/>
              </w:divBdr>
            </w:div>
          </w:divsChild>
        </w:div>
        <w:div w:id="599028090">
          <w:marLeft w:val="0"/>
          <w:marRight w:val="0"/>
          <w:marTop w:val="0"/>
          <w:marBottom w:val="0"/>
          <w:divBdr>
            <w:top w:val="none" w:sz="0" w:space="0" w:color="auto"/>
            <w:left w:val="none" w:sz="0" w:space="0" w:color="auto"/>
            <w:bottom w:val="none" w:sz="0" w:space="0" w:color="auto"/>
            <w:right w:val="none" w:sz="0" w:space="0" w:color="auto"/>
          </w:divBdr>
          <w:divsChild>
            <w:div w:id="1118522708">
              <w:marLeft w:val="0"/>
              <w:marRight w:val="0"/>
              <w:marTop w:val="0"/>
              <w:marBottom w:val="0"/>
              <w:divBdr>
                <w:top w:val="none" w:sz="0" w:space="0" w:color="auto"/>
                <w:left w:val="none" w:sz="0" w:space="0" w:color="auto"/>
                <w:bottom w:val="none" w:sz="0" w:space="0" w:color="auto"/>
                <w:right w:val="none" w:sz="0" w:space="0" w:color="auto"/>
              </w:divBdr>
            </w:div>
          </w:divsChild>
        </w:div>
        <w:div w:id="599947587">
          <w:marLeft w:val="0"/>
          <w:marRight w:val="0"/>
          <w:marTop w:val="0"/>
          <w:marBottom w:val="0"/>
          <w:divBdr>
            <w:top w:val="none" w:sz="0" w:space="0" w:color="auto"/>
            <w:left w:val="none" w:sz="0" w:space="0" w:color="auto"/>
            <w:bottom w:val="none" w:sz="0" w:space="0" w:color="auto"/>
            <w:right w:val="none" w:sz="0" w:space="0" w:color="auto"/>
          </w:divBdr>
          <w:divsChild>
            <w:div w:id="2087914241">
              <w:marLeft w:val="0"/>
              <w:marRight w:val="0"/>
              <w:marTop w:val="0"/>
              <w:marBottom w:val="0"/>
              <w:divBdr>
                <w:top w:val="none" w:sz="0" w:space="0" w:color="auto"/>
                <w:left w:val="none" w:sz="0" w:space="0" w:color="auto"/>
                <w:bottom w:val="none" w:sz="0" w:space="0" w:color="auto"/>
                <w:right w:val="none" w:sz="0" w:space="0" w:color="auto"/>
              </w:divBdr>
            </w:div>
          </w:divsChild>
        </w:div>
        <w:div w:id="612322883">
          <w:marLeft w:val="0"/>
          <w:marRight w:val="0"/>
          <w:marTop w:val="0"/>
          <w:marBottom w:val="0"/>
          <w:divBdr>
            <w:top w:val="none" w:sz="0" w:space="0" w:color="auto"/>
            <w:left w:val="none" w:sz="0" w:space="0" w:color="auto"/>
            <w:bottom w:val="none" w:sz="0" w:space="0" w:color="auto"/>
            <w:right w:val="none" w:sz="0" w:space="0" w:color="auto"/>
          </w:divBdr>
          <w:divsChild>
            <w:div w:id="1203397743">
              <w:marLeft w:val="0"/>
              <w:marRight w:val="0"/>
              <w:marTop w:val="0"/>
              <w:marBottom w:val="0"/>
              <w:divBdr>
                <w:top w:val="none" w:sz="0" w:space="0" w:color="auto"/>
                <w:left w:val="none" w:sz="0" w:space="0" w:color="auto"/>
                <w:bottom w:val="none" w:sz="0" w:space="0" w:color="auto"/>
                <w:right w:val="none" w:sz="0" w:space="0" w:color="auto"/>
              </w:divBdr>
            </w:div>
          </w:divsChild>
        </w:div>
        <w:div w:id="613026018">
          <w:marLeft w:val="0"/>
          <w:marRight w:val="0"/>
          <w:marTop w:val="0"/>
          <w:marBottom w:val="0"/>
          <w:divBdr>
            <w:top w:val="none" w:sz="0" w:space="0" w:color="auto"/>
            <w:left w:val="none" w:sz="0" w:space="0" w:color="auto"/>
            <w:bottom w:val="none" w:sz="0" w:space="0" w:color="auto"/>
            <w:right w:val="none" w:sz="0" w:space="0" w:color="auto"/>
          </w:divBdr>
          <w:divsChild>
            <w:div w:id="417098450">
              <w:marLeft w:val="0"/>
              <w:marRight w:val="0"/>
              <w:marTop w:val="0"/>
              <w:marBottom w:val="0"/>
              <w:divBdr>
                <w:top w:val="none" w:sz="0" w:space="0" w:color="auto"/>
                <w:left w:val="none" w:sz="0" w:space="0" w:color="auto"/>
                <w:bottom w:val="none" w:sz="0" w:space="0" w:color="auto"/>
                <w:right w:val="none" w:sz="0" w:space="0" w:color="auto"/>
              </w:divBdr>
            </w:div>
          </w:divsChild>
        </w:div>
        <w:div w:id="619991308">
          <w:marLeft w:val="0"/>
          <w:marRight w:val="0"/>
          <w:marTop w:val="0"/>
          <w:marBottom w:val="0"/>
          <w:divBdr>
            <w:top w:val="none" w:sz="0" w:space="0" w:color="auto"/>
            <w:left w:val="none" w:sz="0" w:space="0" w:color="auto"/>
            <w:bottom w:val="none" w:sz="0" w:space="0" w:color="auto"/>
            <w:right w:val="none" w:sz="0" w:space="0" w:color="auto"/>
          </w:divBdr>
          <w:divsChild>
            <w:div w:id="159659169">
              <w:marLeft w:val="0"/>
              <w:marRight w:val="0"/>
              <w:marTop w:val="0"/>
              <w:marBottom w:val="0"/>
              <w:divBdr>
                <w:top w:val="none" w:sz="0" w:space="0" w:color="auto"/>
                <w:left w:val="none" w:sz="0" w:space="0" w:color="auto"/>
                <w:bottom w:val="none" w:sz="0" w:space="0" w:color="auto"/>
                <w:right w:val="none" w:sz="0" w:space="0" w:color="auto"/>
              </w:divBdr>
            </w:div>
          </w:divsChild>
        </w:div>
        <w:div w:id="627392236">
          <w:marLeft w:val="0"/>
          <w:marRight w:val="0"/>
          <w:marTop w:val="0"/>
          <w:marBottom w:val="0"/>
          <w:divBdr>
            <w:top w:val="none" w:sz="0" w:space="0" w:color="auto"/>
            <w:left w:val="none" w:sz="0" w:space="0" w:color="auto"/>
            <w:bottom w:val="none" w:sz="0" w:space="0" w:color="auto"/>
            <w:right w:val="none" w:sz="0" w:space="0" w:color="auto"/>
          </w:divBdr>
          <w:divsChild>
            <w:div w:id="879197814">
              <w:marLeft w:val="0"/>
              <w:marRight w:val="0"/>
              <w:marTop w:val="0"/>
              <w:marBottom w:val="0"/>
              <w:divBdr>
                <w:top w:val="none" w:sz="0" w:space="0" w:color="auto"/>
                <w:left w:val="none" w:sz="0" w:space="0" w:color="auto"/>
                <w:bottom w:val="none" w:sz="0" w:space="0" w:color="auto"/>
                <w:right w:val="none" w:sz="0" w:space="0" w:color="auto"/>
              </w:divBdr>
            </w:div>
          </w:divsChild>
        </w:div>
        <w:div w:id="628584748">
          <w:marLeft w:val="0"/>
          <w:marRight w:val="0"/>
          <w:marTop w:val="0"/>
          <w:marBottom w:val="0"/>
          <w:divBdr>
            <w:top w:val="none" w:sz="0" w:space="0" w:color="auto"/>
            <w:left w:val="none" w:sz="0" w:space="0" w:color="auto"/>
            <w:bottom w:val="none" w:sz="0" w:space="0" w:color="auto"/>
            <w:right w:val="none" w:sz="0" w:space="0" w:color="auto"/>
          </w:divBdr>
          <w:divsChild>
            <w:div w:id="1551574466">
              <w:marLeft w:val="0"/>
              <w:marRight w:val="0"/>
              <w:marTop w:val="0"/>
              <w:marBottom w:val="0"/>
              <w:divBdr>
                <w:top w:val="none" w:sz="0" w:space="0" w:color="auto"/>
                <w:left w:val="none" w:sz="0" w:space="0" w:color="auto"/>
                <w:bottom w:val="none" w:sz="0" w:space="0" w:color="auto"/>
                <w:right w:val="none" w:sz="0" w:space="0" w:color="auto"/>
              </w:divBdr>
            </w:div>
          </w:divsChild>
        </w:div>
        <w:div w:id="629047291">
          <w:marLeft w:val="0"/>
          <w:marRight w:val="0"/>
          <w:marTop w:val="0"/>
          <w:marBottom w:val="0"/>
          <w:divBdr>
            <w:top w:val="none" w:sz="0" w:space="0" w:color="auto"/>
            <w:left w:val="none" w:sz="0" w:space="0" w:color="auto"/>
            <w:bottom w:val="none" w:sz="0" w:space="0" w:color="auto"/>
            <w:right w:val="none" w:sz="0" w:space="0" w:color="auto"/>
          </w:divBdr>
          <w:divsChild>
            <w:div w:id="1588878523">
              <w:marLeft w:val="0"/>
              <w:marRight w:val="0"/>
              <w:marTop w:val="0"/>
              <w:marBottom w:val="0"/>
              <w:divBdr>
                <w:top w:val="none" w:sz="0" w:space="0" w:color="auto"/>
                <w:left w:val="none" w:sz="0" w:space="0" w:color="auto"/>
                <w:bottom w:val="none" w:sz="0" w:space="0" w:color="auto"/>
                <w:right w:val="none" w:sz="0" w:space="0" w:color="auto"/>
              </w:divBdr>
            </w:div>
          </w:divsChild>
        </w:div>
        <w:div w:id="634455758">
          <w:marLeft w:val="0"/>
          <w:marRight w:val="0"/>
          <w:marTop w:val="0"/>
          <w:marBottom w:val="0"/>
          <w:divBdr>
            <w:top w:val="none" w:sz="0" w:space="0" w:color="auto"/>
            <w:left w:val="none" w:sz="0" w:space="0" w:color="auto"/>
            <w:bottom w:val="none" w:sz="0" w:space="0" w:color="auto"/>
            <w:right w:val="none" w:sz="0" w:space="0" w:color="auto"/>
          </w:divBdr>
          <w:divsChild>
            <w:div w:id="1970742042">
              <w:marLeft w:val="0"/>
              <w:marRight w:val="0"/>
              <w:marTop w:val="0"/>
              <w:marBottom w:val="0"/>
              <w:divBdr>
                <w:top w:val="none" w:sz="0" w:space="0" w:color="auto"/>
                <w:left w:val="none" w:sz="0" w:space="0" w:color="auto"/>
                <w:bottom w:val="none" w:sz="0" w:space="0" w:color="auto"/>
                <w:right w:val="none" w:sz="0" w:space="0" w:color="auto"/>
              </w:divBdr>
            </w:div>
          </w:divsChild>
        </w:div>
        <w:div w:id="641496079">
          <w:marLeft w:val="0"/>
          <w:marRight w:val="0"/>
          <w:marTop w:val="0"/>
          <w:marBottom w:val="0"/>
          <w:divBdr>
            <w:top w:val="none" w:sz="0" w:space="0" w:color="auto"/>
            <w:left w:val="none" w:sz="0" w:space="0" w:color="auto"/>
            <w:bottom w:val="none" w:sz="0" w:space="0" w:color="auto"/>
            <w:right w:val="none" w:sz="0" w:space="0" w:color="auto"/>
          </w:divBdr>
          <w:divsChild>
            <w:div w:id="104079807">
              <w:marLeft w:val="0"/>
              <w:marRight w:val="0"/>
              <w:marTop w:val="0"/>
              <w:marBottom w:val="0"/>
              <w:divBdr>
                <w:top w:val="none" w:sz="0" w:space="0" w:color="auto"/>
                <w:left w:val="none" w:sz="0" w:space="0" w:color="auto"/>
                <w:bottom w:val="none" w:sz="0" w:space="0" w:color="auto"/>
                <w:right w:val="none" w:sz="0" w:space="0" w:color="auto"/>
              </w:divBdr>
            </w:div>
          </w:divsChild>
        </w:div>
        <w:div w:id="643773167">
          <w:marLeft w:val="0"/>
          <w:marRight w:val="0"/>
          <w:marTop w:val="0"/>
          <w:marBottom w:val="0"/>
          <w:divBdr>
            <w:top w:val="none" w:sz="0" w:space="0" w:color="auto"/>
            <w:left w:val="none" w:sz="0" w:space="0" w:color="auto"/>
            <w:bottom w:val="none" w:sz="0" w:space="0" w:color="auto"/>
            <w:right w:val="none" w:sz="0" w:space="0" w:color="auto"/>
          </w:divBdr>
          <w:divsChild>
            <w:div w:id="801116119">
              <w:marLeft w:val="0"/>
              <w:marRight w:val="0"/>
              <w:marTop w:val="0"/>
              <w:marBottom w:val="0"/>
              <w:divBdr>
                <w:top w:val="none" w:sz="0" w:space="0" w:color="auto"/>
                <w:left w:val="none" w:sz="0" w:space="0" w:color="auto"/>
                <w:bottom w:val="none" w:sz="0" w:space="0" w:color="auto"/>
                <w:right w:val="none" w:sz="0" w:space="0" w:color="auto"/>
              </w:divBdr>
            </w:div>
          </w:divsChild>
        </w:div>
        <w:div w:id="669599724">
          <w:marLeft w:val="0"/>
          <w:marRight w:val="0"/>
          <w:marTop w:val="0"/>
          <w:marBottom w:val="0"/>
          <w:divBdr>
            <w:top w:val="none" w:sz="0" w:space="0" w:color="auto"/>
            <w:left w:val="none" w:sz="0" w:space="0" w:color="auto"/>
            <w:bottom w:val="none" w:sz="0" w:space="0" w:color="auto"/>
            <w:right w:val="none" w:sz="0" w:space="0" w:color="auto"/>
          </w:divBdr>
          <w:divsChild>
            <w:div w:id="435949166">
              <w:marLeft w:val="0"/>
              <w:marRight w:val="0"/>
              <w:marTop w:val="0"/>
              <w:marBottom w:val="0"/>
              <w:divBdr>
                <w:top w:val="none" w:sz="0" w:space="0" w:color="auto"/>
                <w:left w:val="none" w:sz="0" w:space="0" w:color="auto"/>
                <w:bottom w:val="none" w:sz="0" w:space="0" w:color="auto"/>
                <w:right w:val="none" w:sz="0" w:space="0" w:color="auto"/>
              </w:divBdr>
            </w:div>
          </w:divsChild>
        </w:div>
        <w:div w:id="672342036">
          <w:marLeft w:val="0"/>
          <w:marRight w:val="0"/>
          <w:marTop w:val="0"/>
          <w:marBottom w:val="0"/>
          <w:divBdr>
            <w:top w:val="none" w:sz="0" w:space="0" w:color="auto"/>
            <w:left w:val="none" w:sz="0" w:space="0" w:color="auto"/>
            <w:bottom w:val="none" w:sz="0" w:space="0" w:color="auto"/>
            <w:right w:val="none" w:sz="0" w:space="0" w:color="auto"/>
          </w:divBdr>
          <w:divsChild>
            <w:div w:id="94445564">
              <w:marLeft w:val="0"/>
              <w:marRight w:val="0"/>
              <w:marTop w:val="0"/>
              <w:marBottom w:val="0"/>
              <w:divBdr>
                <w:top w:val="none" w:sz="0" w:space="0" w:color="auto"/>
                <w:left w:val="none" w:sz="0" w:space="0" w:color="auto"/>
                <w:bottom w:val="none" w:sz="0" w:space="0" w:color="auto"/>
                <w:right w:val="none" w:sz="0" w:space="0" w:color="auto"/>
              </w:divBdr>
            </w:div>
          </w:divsChild>
        </w:div>
        <w:div w:id="672495516">
          <w:marLeft w:val="0"/>
          <w:marRight w:val="0"/>
          <w:marTop w:val="0"/>
          <w:marBottom w:val="0"/>
          <w:divBdr>
            <w:top w:val="none" w:sz="0" w:space="0" w:color="auto"/>
            <w:left w:val="none" w:sz="0" w:space="0" w:color="auto"/>
            <w:bottom w:val="none" w:sz="0" w:space="0" w:color="auto"/>
            <w:right w:val="none" w:sz="0" w:space="0" w:color="auto"/>
          </w:divBdr>
          <w:divsChild>
            <w:div w:id="239367611">
              <w:marLeft w:val="0"/>
              <w:marRight w:val="0"/>
              <w:marTop w:val="0"/>
              <w:marBottom w:val="0"/>
              <w:divBdr>
                <w:top w:val="none" w:sz="0" w:space="0" w:color="auto"/>
                <w:left w:val="none" w:sz="0" w:space="0" w:color="auto"/>
                <w:bottom w:val="none" w:sz="0" w:space="0" w:color="auto"/>
                <w:right w:val="none" w:sz="0" w:space="0" w:color="auto"/>
              </w:divBdr>
            </w:div>
          </w:divsChild>
        </w:div>
        <w:div w:id="673072489">
          <w:marLeft w:val="0"/>
          <w:marRight w:val="0"/>
          <w:marTop w:val="0"/>
          <w:marBottom w:val="0"/>
          <w:divBdr>
            <w:top w:val="none" w:sz="0" w:space="0" w:color="auto"/>
            <w:left w:val="none" w:sz="0" w:space="0" w:color="auto"/>
            <w:bottom w:val="none" w:sz="0" w:space="0" w:color="auto"/>
            <w:right w:val="none" w:sz="0" w:space="0" w:color="auto"/>
          </w:divBdr>
          <w:divsChild>
            <w:div w:id="1680694680">
              <w:marLeft w:val="0"/>
              <w:marRight w:val="0"/>
              <w:marTop w:val="0"/>
              <w:marBottom w:val="0"/>
              <w:divBdr>
                <w:top w:val="none" w:sz="0" w:space="0" w:color="auto"/>
                <w:left w:val="none" w:sz="0" w:space="0" w:color="auto"/>
                <w:bottom w:val="none" w:sz="0" w:space="0" w:color="auto"/>
                <w:right w:val="none" w:sz="0" w:space="0" w:color="auto"/>
              </w:divBdr>
            </w:div>
          </w:divsChild>
        </w:div>
        <w:div w:id="693119275">
          <w:marLeft w:val="0"/>
          <w:marRight w:val="0"/>
          <w:marTop w:val="0"/>
          <w:marBottom w:val="0"/>
          <w:divBdr>
            <w:top w:val="none" w:sz="0" w:space="0" w:color="auto"/>
            <w:left w:val="none" w:sz="0" w:space="0" w:color="auto"/>
            <w:bottom w:val="none" w:sz="0" w:space="0" w:color="auto"/>
            <w:right w:val="none" w:sz="0" w:space="0" w:color="auto"/>
          </w:divBdr>
          <w:divsChild>
            <w:div w:id="1374576137">
              <w:marLeft w:val="0"/>
              <w:marRight w:val="0"/>
              <w:marTop w:val="0"/>
              <w:marBottom w:val="0"/>
              <w:divBdr>
                <w:top w:val="none" w:sz="0" w:space="0" w:color="auto"/>
                <w:left w:val="none" w:sz="0" w:space="0" w:color="auto"/>
                <w:bottom w:val="none" w:sz="0" w:space="0" w:color="auto"/>
                <w:right w:val="none" w:sz="0" w:space="0" w:color="auto"/>
              </w:divBdr>
            </w:div>
          </w:divsChild>
        </w:div>
        <w:div w:id="696084433">
          <w:marLeft w:val="0"/>
          <w:marRight w:val="0"/>
          <w:marTop w:val="0"/>
          <w:marBottom w:val="0"/>
          <w:divBdr>
            <w:top w:val="none" w:sz="0" w:space="0" w:color="auto"/>
            <w:left w:val="none" w:sz="0" w:space="0" w:color="auto"/>
            <w:bottom w:val="none" w:sz="0" w:space="0" w:color="auto"/>
            <w:right w:val="none" w:sz="0" w:space="0" w:color="auto"/>
          </w:divBdr>
          <w:divsChild>
            <w:div w:id="428164769">
              <w:marLeft w:val="0"/>
              <w:marRight w:val="0"/>
              <w:marTop w:val="0"/>
              <w:marBottom w:val="0"/>
              <w:divBdr>
                <w:top w:val="none" w:sz="0" w:space="0" w:color="auto"/>
                <w:left w:val="none" w:sz="0" w:space="0" w:color="auto"/>
                <w:bottom w:val="none" w:sz="0" w:space="0" w:color="auto"/>
                <w:right w:val="none" w:sz="0" w:space="0" w:color="auto"/>
              </w:divBdr>
            </w:div>
          </w:divsChild>
        </w:div>
        <w:div w:id="704211748">
          <w:marLeft w:val="0"/>
          <w:marRight w:val="0"/>
          <w:marTop w:val="0"/>
          <w:marBottom w:val="0"/>
          <w:divBdr>
            <w:top w:val="none" w:sz="0" w:space="0" w:color="auto"/>
            <w:left w:val="none" w:sz="0" w:space="0" w:color="auto"/>
            <w:bottom w:val="none" w:sz="0" w:space="0" w:color="auto"/>
            <w:right w:val="none" w:sz="0" w:space="0" w:color="auto"/>
          </w:divBdr>
          <w:divsChild>
            <w:div w:id="1351026936">
              <w:marLeft w:val="0"/>
              <w:marRight w:val="0"/>
              <w:marTop w:val="0"/>
              <w:marBottom w:val="0"/>
              <w:divBdr>
                <w:top w:val="none" w:sz="0" w:space="0" w:color="auto"/>
                <w:left w:val="none" w:sz="0" w:space="0" w:color="auto"/>
                <w:bottom w:val="none" w:sz="0" w:space="0" w:color="auto"/>
                <w:right w:val="none" w:sz="0" w:space="0" w:color="auto"/>
              </w:divBdr>
            </w:div>
          </w:divsChild>
        </w:div>
        <w:div w:id="712802303">
          <w:marLeft w:val="0"/>
          <w:marRight w:val="0"/>
          <w:marTop w:val="0"/>
          <w:marBottom w:val="0"/>
          <w:divBdr>
            <w:top w:val="none" w:sz="0" w:space="0" w:color="auto"/>
            <w:left w:val="none" w:sz="0" w:space="0" w:color="auto"/>
            <w:bottom w:val="none" w:sz="0" w:space="0" w:color="auto"/>
            <w:right w:val="none" w:sz="0" w:space="0" w:color="auto"/>
          </w:divBdr>
          <w:divsChild>
            <w:div w:id="1624072026">
              <w:marLeft w:val="0"/>
              <w:marRight w:val="0"/>
              <w:marTop w:val="0"/>
              <w:marBottom w:val="0"/>
              <w:divBdr>
                <w:top w:val="none" w:sz="0" w:space="0" w:color="auto"/>
                <w:left w:val="none" w:sz="0" w:space="0" w:color="auto"/>
                <w:bottom w:val="none" w:sz="0" w:space="0" w:color="auto"/>
                <w:right w:val="none" w:sz="0" w:space="0" w:color="auto"/>
              </w:divBdr>
            </w:div>
          </w:divsChild>
        </w:div>
        <w:div w:id="729109545">
          <w:marLeft w:val="0"/>
          <w:marRight w:val="0"/>
          <w:marTop w:val="0"/>
          <w:marBottom w:val="0"/>
          <w:divBdr>
            <w:top w:val="none" w:sz="0" w:space="0" w:color="auto"/>
            <w:left w:val="none" w:sz="0" w:space="0" w:color="auto"/>
            <w:bottom w:val="none" w:sz="0" w:space="0" w:color="auto"/>
            <w:right w:val="none" w:sz="0" w:space="0" w:color="auto"/>
          </w:divBdr>
          <w:divsChild>
            <w:div w:id="1772776230">
              <w:marLeft w:val="0"/>
              <w:marRight w:val="0"/>
              <w:marTop w:val="0"/>
              <w:marBottom w:val="0"/>
              <w:divBdr>
                <w:top w:val="none" w:sz="0" w:space="0" w:color="auto"/>
                <w:left w:val="none" w:sz="0" w:space="0" w:color="auto"/>
                <w:bottom w:val="none" w:sz="0" w:space="0" w:color="auto"/>
                <w:right w:val="none" w:sz="0" w:space="0" w:color="auto"/>
              </w:divBdr>
            </w:div>
          </w:divsChild>
        </w:div>
        <w:div w:id="729157074">
          <w:marLeft w:val="0"/>
          <w:marRight w:val="0"/>
          <w:marTop w:val="0"/>
          <w:marBottom w:val="0"/>
          <w:divBdr>
            <w:top w:val="none" w:sz="0" w:space="0" w:color="auto"/>
            <w:left w:val="none" w:sz="0" w:space="0" w:color="auto"/>
            <w:bottom w:val="none" w:sz="0" w:space="0" w:color="auto"/>
            <w:right w:val="none" w:sz="0" w:space="0" w:color="auto"/>
          </w:divBdr>
          <w:divsChild>
            <w:div w:id="1083376685">
              <w:marLeft w:val="0"/>
              <w:marRight w:val="0"/>
              <w:marTop w:val="0"/>
              <w:marBottom w:val="0"/>
              <w:divBdr>
                <w:top w:val="none" w:sz="0" w:space="0" w:color="auto"/>
                <w:left w:val="none" w:sz="0" w:space="0" w:color="auto"/>
                <w:bottom w:val="none" w:sz="0" w:space="0" w:color="auto"/>
                <w:right w:val="none" w:sz="0" w:space="0" w:color="auto"/>
              </w:divBdr>
            </w:div>
          </w:divsChild>
        </w:div>
        <w:div w:id="731777683">
          <w:marLeft w:val="0"/>
          <w:marRight w:val="0"/>
          <w:marTop w:val="0"/>
          <w:marBottom w:val="0"/>
          <w:divBdr>
            <w:top w:val="none" w:sz="0" w:space="0" w:color="auto"/>
            <w:left w:val="none" w:sz="0" w:space="0" w:color="auto"/>
            <w:bottom w:val="none" w:sz="0" w:space="0" w:color="auto"/>
            <w:right w:val="none" w:sz="0" w:space="0" w:color="auto"/>
          </w:divBdr>
          <w:divsChild>
            <w:div w:id="1767771638">
              <w:marLeft w:val="0"/>
              <w:marRight w:val="0"/>
              <w:marTop w:val="0"/>
              <w:marBottom w:val="0"/>
              <w:divBdr>
                <w:top w:val="none" w:sz="0" w:space="0" w:color="auto"/>
                <w:left w:val="none" w:sz="0" w:space="0" w:color="auto"/>
                <w:bottom w:val="none" w:sz="0" w:space="0" w:color="auto"/>
                <w:right w:val="none" w:sz="0" w:space="0" w:color="auto"/>
              </w:divBdr>
            </w:div>
          </w:divsChild>
        </w:div>
        <w:div w:id="733242998">
          <w:marLeft w:val="0"/>
          <w:marRight w:val="0"/>
          <w:marTop w:val="0"/>
          <w:marBottom w:val="0"/>
          <w:divBdr>
            <w:top w:val="none" w:sz="0" w:space="0" w:color="auto"/>
            <w:left w:val="none" w:sz="0" w:space="0" w:color="auto"/>
            <w:bottom w:val="none" w:sz="0" w:space="0" w:color="auto"/>
            <w:right w:val="none" w:sz="0" w:space="0" w:color="auto"/>
          </w:divBdr>
          <w:divsChild>
            <w:div w:id="1382484016">
              <w:marLeft w:val="0"/>
              <w:marRight w:val="0"/>
              <w:marTop w:val="0"/>
              <w:marBottom w:val="0"/>
              <w:divBdr>
                <w:top w:val="none" w:sz="0" w:space="0" w:color="auto"/>
                <w:left w:val="none" w:sz="0" w:space="0" w:color="auto"/>
                <w:bottom w:val="none" w:sz="0" w:space="0" w:color="auto"/>
                <w:right w:val="none" w:sz="0" w:space="0" w:color="auto"/>
              </w:divBdr>
            </w:div>
          </w:divsChild>
        </w:div>
        <w:div w:id="734402871">
          <w:marLeft w:val="0"/>
          <w:marRight w:val="0"/>
          <w:marTop w:val="0"/>
          <w:marBottom w:val="0"/>
          <w:divBdr>
            <w:top w:val="none" w:sz="0" w:space="0" w:color="auto"/>
            <w:left w:val="none" w:sz="0" w:space="0" w:color="auto"/>
            <w:bottom w:val="none" w:sz="0" w:space="0" w:color="auto"/>
            <w:right w:val="none" w:sz="0" w:space="0" w:color="auto"/>
          </w:divBdr>
          <w:divsChild>
            <w:div w:id="1901667315">
              <w:marLeft w:val="0"/>
              <w:marRight w:val="0"/>
              <w:marTop w:val="0"/>
              <w:marBottom w:val="0"/>
              <w:divBdr>
                <w:top w:val="none" w:sz="0" w:space="0" w:color="auto"/>
                <w:left w:val="none" w:sz="0" w:space="0" w:color="auto"/>
                <w:bottom w:val="none" w:sz="0" w:space="0" w:color="auto"/>
                <w:right w:val="none" w:sz="0" w:space="0" w:color="auto"/>
              </w:divBdr>
            </w:div>
          </w:divsChild>
        </w:div>
        <w:div w:id="737437564">
          <w:marLeft w:val="0"/>
          <w:marRight w:val="0"/>
          <w:marTop w:val="0"/>
          <w:marBottom w:val="0"/>
          <w:divBdr>
            <w:top w:val="none" w:sz="0" w:space="0" w:color="auto"/>
            <w:left w:val="none" w:sz="0" w:space="0" w:color="auto"/>
            <w:bottom w:val="none" w:sz="0" w:space="0" w:color="auto"/>
            <w:right w:val="none" w:sz="0" w:space="0" w:color="auto"/>
          </w:divBdr>
          <w:divsChild>
            <w:div w:id="267391432">
              <w:marLeft w:val="0"/>
              <w:marRight w:val="0"/>
              <w:marTop w:val="0"/>
              <w:marBottom w:val="0"/>
              <w:divBdr>
                <w:top w:val="none" w:sz="0" w:space="0" w:color="auto"/>
                <w:left w:val="none" w:sz="0" w:space="0" w:color="auto"/>
                <w:bottom w:val="none" w:sz="0" w:space="0" w:color="auto"/>
                <w:right w:val="none" w:sz="0" w:space="0" w:color="auto"/>
              </w:divBdr>
            </w:div>
          </w:divsChild>
        </w:div>
        <w:div w:id="748232877">
          <w:marLeft w:val="0"/>
          <w:marRight w:val="0"/>
          <w:marTop w:val="0"/>
          <w:marBottom w:val="0"/>
          <w:divBdr>
            <w:top w:val="none" w:sz="0" w:space="0" w:color="auto"/>
            <w:left w:val="none" w:sz="0" w:space="0" w:color="auto"/>
            <w:bottom w:val="none" w:sz="0" w:space="0" w:color="auto"/>
            <w:right w:val="none" w:sz="0" w:space="0" w:color="auto"/>
          </w:divBdr>
          <w:divsChild>
            <w:div w:id="70585523">
              <w:marLeft w:val="0"/>
              <w:marRight w:val="0"/>
              <w:marTop w:val="0"/>
              <w:marBottom w:val="0"/>
              <w:divBdr>
                <w:top w:val="none" w:sz="0" w:space="0" w:color="auto"/>
                <w:left w:val="none" w:sz="0" w:space="0" w:color="auto"/>
                <w:bottom w:val="none" w:sz="0" w:space="0" w:color="auto"/>
                <w:right w:val="none" w:sz="0" w:space="0" w:color="auto"/>
              </w:divBdr>
            </w:div>
          </w:divsChild>
        </w:div>
        <w:div w:id="752971630">
          <w:marLeft w:val="0"/>
          <w:marRight w:val="0"/>
          <w:marTop w:val="0"/>
          <w:marBottom w:val="0"/>
          <w:divBdr>
            <w:top w:val="none" w:sz="0" w:space="0" w:color="auto"/>
            <w:left w:val="none" w:sz="0" w:space="0" w:color="auto"/>
            <w:bottom w:val="none" w:sz="0" w:space="0" w:color="auto"/>
            <w:right w:val="none" w:sz="0" w:space="0" w:color="auto"/>
          </w:divBdr>
          <w:divsChild>
            <w:div w:id="695423360">
              <w:marLeft w:val="0"/>
              <w:marRight w:val="0"/>
              <w:marTop w:val="0"/>
              <w:marBottom w:val="0"/>
              <w:divBdr>
                <w:top w:val="none" w:sz="0" w:space="0" w:color="auto"/>
                <w:left w:val="none" w:sz="0" w:space="0" w:color="auto"/>
                <w:bottom w:val="none" w:sz="0" w:space="0" w:color="auto"/>
                <w:right w:val="none" w:sz="0" w:space="0" w:color="auto"/>
              </w:divBdr>
            </w:div>
          </w:divsChild>
        </w:div>
        <w:div w:id="758520961">
          <w:marLeft w:val="0"/>
          <w:marRight w:val="0"/>
          <w:marTop w:val="0"/>
          <w:marBottom w:val="0"/>
          <w:divBdr>
            <w:top w:val="none" w:sz="0" w:space="0" w:color="auto"/>
            <w:left w:val="none" w:sz="0" w:space="0" w:color="auto"/>
            <w:bottom w:val="none" w:sz="0" w:space="0" w:color="auto"/>
            <w:right w:val="none" w:sz="0" w:space="0" w:color="auto"/>
          </w:divBdr>
          <w:divsChild>
            <w:div w:id="1030228910">
              <w:marLeft w:val="0"/>
              <w:marRight w:val="0"/>
              <w:marTop w:val="0"/>
              <w:marBottom w:val="0"/>
              <w:divBdr>
                <w:top w:val="none" w:sz="0" w:space="0" w:color="auto"/>
                <w:left w:val="none" w:sz="0" w:space="0" w:color="auto"/>
                <w:bottom w:val="none" w:sz="0" w:space="0" w:color="auto"/>
                <w:right w:val="none" w:sz="0" w:space="0" w:color="auto"/>
              </w:divBdr>
            </w:div>
          </w:divsChild>
        </w:div>
        <w:div w:id="763261907">
          <w:marLeft w:val="0"/>
          <w:marRight w:val="0"/>
          <w:marTop w:val="0"/>
          <w:marBottom w:val="0"/>
          <w:divBdr>
            <w:top w:val="none" w:sz="0" w:space="0" w:color="auto"/>
            <w:left w:val="none" w:sz="0" w:space="0" w:color="auto"/>
            <w:bottom w:val="none" w:sz="0" w:space="0" w:color="auto"/>
            <w:right w:val="none" w:sz="0" w:space="0" w:color="auto"/>
          </w:divBdr>
          <w:divsChild>
            <w:div w:id="1282876239">
              <w:marLeft w:val="0"/>
              <w:marRight w:val="0"/>
              <w:marTop w:val="0"/>
              <w:marBottom w:val="0"/>
              <w:divBdr>
                <w:top w:val="none" w:sz="0" w:space="0" w:color="auto"/>
                <w:left w:val="none" w:sz="0" w:space="0" w:color="auto"/>
                <w:bottom w:val="none" w:sz="0" w:space="0" w:color="auto"/>
                <w:right w:val="none" w:sz="0" w:space="0" w:color="auto"/>
              </w:divBdr>
            </w:div>
          </w:divsChild>
        </w:div>
        <w:div w:id="771975706">
          <w:marLeft w:val="0"/>
          <w:marRight w:val="0"/>
          <w:marTop w:val="0"/>
          <w:marBottom w:val="0"/>
          <w:divBdr>
            <w:top w:val="none" w:sz="0" w:space="0" w:color="auto"/>
            <w:left w:val="none" w:sz="0" w:space="0" w:color="auto"/>
            <w:bottom w:val="none" w:sz="0" w:space="0" w:color="auto"/>
            <w:right w:val="none" w:sz="0" w:space="0" w:color="auto"/>
          </w:divBdr>
          <w:divsChild>
            <w:div w:id="1519586116">
              <w:marLeft w:val="0"/>
              <w:marRight w:val="0"/>
              <w:marTop w:val="0"/>
              <w:marBottom w:val="0"/>
              <w:divBdr>
                <w:top w:val="none" w:sz="0" w:space="0" w:color="auto"/>
                <w:left w:val="none" w:sz="0" w:space="0" w:color="auto"/>
                <w:bottom w:val="none" w:sz="0" w:space="0" w:color="auto"/>
                <w:right w:val="none" w:sz="0" w:space="0" w:color="auto"/>
              </w:divBdr>
            </w:div>
          </w:divsChild>
        </w:div>
        <w:div w:id="786891581">
          <w:marLeft w:val="0"/>
          <w:marRight w:val="0"/>
          <w:marTop w:val="0"/>
          <w:marBottom w:val="0"/>
          <w:divBdr>
            <w:top w:val="none" w:sz="0" w:space="0" w:color="auto"/>
            <w:left w:val="none" w:sz="0" w:space="0" w:color="auto"/>
            <w:bottom w:val="none" w:sz="0" w:space="0" w:color="auto"/>
            <w:right w:val="none" w:sz="0" w:space="0" w:color="auto"/>
          </w:divBdr>
          <w:divsChild>
            <w:div w:id="141897232">
              <w:marLeft w:val="0"/>
              <w:marRight w:val="0"/>
              <w:marTop w:val="0"/>
              <w:marBottom w:val="0"/>
              <w:divBdr>
                <w:top w:val="none" w:sz="0" w:space="0" w:color="auto"/>
                <w:left w:val="none" w:sz="0" w:space="0" w:color="auto"/>
                <w:bottom w:val="none" w:sz="0" w:space="0" w:color="auto"/>
                <w:right w:val="none" w:sz="0" w:space="0" w:color="auto"/>
              </w:divBdr>
            </w:div>
          </w:divsChild>
        </w:div>
        <w:div w:id="788163536">
          <w:marLeft w:val="0"/>
          <w:marRight w:val="0"/>
          <w:marTop w:val="0"/>
          <w:marBottom w:val="0"/>
          <w:divBdr>
            <w:top w:val="none" w:sz="0" w:space="0" w:color="auto"/>
            <w:left w:val="none" w:sz="0" w:space="0" w:color="auto"/>
            <w:bottom w:val="none" w:sz="0" w:space="0" w:color="auto"/>
            <w:right w:val="none" w:sz="0" w:space="0" w:color="auto"/>
          </w:divBdr>
          <w:divsChild>
            <w:div w:id="1352533227">
              <w:marLeft w:val="0"/>
              <w:marRight w:val="0"/>
              <w:marTop w:val="0"/>
              <w:marBottom w:val="0"/>
              <w:divBdr>
                <w:top w:val="none" w:sz="0" w:space="0" w:color="auto"/>
                <w:left w:val="none" w:sz="0" w:space="0" w:color="auto"/>
                <w:bottom w:val="none" w:sz="0" w:space="0" w:color="auto"/>
                <w:right w:val="none" w:sz="0" w:space="0" w:color="auto"/>
              </w:divBdr>
            </w:div>
          </w:divsChild>
        </w:div>
        <w:div w:id="800079981">
          <w:marLeft w:val="0"/>
          <w:marRight w:val="0"/>
          <w:marTop w:val="0"/>
          <w:marBottom w:val="0"/>
          <w:divBdr>
            <w:top w:val="none" w:sz="0" w:space="0" w:color="auto"/>
            <w:left w:val="none" w:sz="0" w:space="0" w:color="auto"/>
            <w:bottom w:val="none" w:sz="0" w:space="0" w:color="auto"/>
            <w:right w:val="none" w:sz="0" w:space="0" w:color="auto"/>
          </w:divBdr>
          <w:divsChild>
            <w:div w:id="599720167">
              <w:marLeft w:val="0"/>
              <w:marRight w:val="0"/>
              <w:marTop w:val="0"/>
              <w:marBottom w:val="0"/>
              <w:divBdr>
                <w:top w:val="none" w:sz="0" w:space="0" w:color="auto"/>
                <w:left w:val="none" w:sz="0" w:space="0" w:color="auto"/>
                <w:bottom w:val="none" w:sz="0" w:space="0" w:color="auto"/>
                <w:right w:val="none" w:sz="0" w:space="0" w:color="auto"/>
              </w:divBdr>
            </w:div>
          </w:divsChild>
        </w:div>
        <w:div w:id="809053456">
          <w:marLeft w:val="0"/>
          <w:marRight w:val="0"/>
          <w:marTop w:val="0"/>
          <w:marBottom w:val="0"/>
          <w:divBdr>
            <w:top w:val="none" w:sz="0" w:space="0" w:color="auto"/>
            <w:left w:val="none" w:sz="0" w:space="0" w:color="auto"/>
            <w:bottom w:val="none" w:sz="0" w:space="0" w:color="auto"/>
            <w:right w:val="none" w:sz="0" w:space="0" w:color="auto"/>
          </w:divBdr>
          <w:divsChild>
            <w:div w:id="1629050811">
              <w:marLeft w:val="0"/>
              <w:marRight w:val="0"/>
              <w:marTop w:val="0"/>
              <w:marBottom w:val="0"/>
              <w:divBdr>
                <w:top w:val="none" w:sz="0" w:space="0" w:color="auto"/>
                <w:left w:val="none" w:sz="0" w:space="0" w:color="auto"/>
                <w:bottom w:val="none" w:sz="0" w:space="0" w:color="auto"/>
                <w:right w:val="none" w:sz="0" w:space="0" w:color="auto"/>
              </w:divBdr>
            </w:div>
          </w:divsChild>
        </w:div>
        <w:div w:id="810293880">
          <w:marLeft w:val="0"/>
          <w:marRight w:val="0"/>
          <w:marTop w:val="0"/>
          <w:marBottom w:val="0"/>
          <w:divBdr>
            <w:top w:val="none" w:sz="0" w:space="0" w:color="auto"/>
            <w:left w:val="none" w:sz="0" w:space="0" w:color="auto"/>
            <w:bottom w:val="none" w:sz="0" w:space="0" w:color="auto"/>
            <w:right w:val="none" w:sz="0" w:space="0" w:color="auto"/>
          </w:divBdr>
          <w:divsChild>
            <w:div w:id="1095131134">
              <w:marLeft w:val="0"/>
              <w:marRight w:val="0"/>
              <w:marTop w:val="0"/>
              <w:marBottom w:val="0"/>
              <w:divBdr>
                <w:top w:val="none" w:sz="0" w:space="0" w:color="auto"/>
                <w:left w:val="none" w:sz="0" w:space="0" w:color="auto"/>
                <w:bottom w:val="none" w:sz="0" w:space="0" w:color="auto"/>
                <w:right w:val="none" w:sz="0" w:space="0" w:color="auto"/>
              </w:divBdr>
            </w:div>
          </w:divsChild>
        </w:div>
        <w:div w:id="829294300">
          <w:marLeft w:val="0"/>
          <w:marRight w:val="0"/>
          <w:marTop w:val="0"/>
          <w:marBottom w:val="0"/>
          <w:divBdr>
            <w:top w:val="none" w:sz="0" w:space="0" w:color="auto"/>
            <w:left w:val="none" w:sz="0" w:space="0" w:color="auto"/>
            <w:bottom w:val="none" w:sz="0" w:space="0" w:color="auto"/>
            <w:right w:val="none" w:sz="0" w:space="0" w:color="auto"/>
          </w:divBdr>
          <w:divsChild>
            <w:div w:id="1516845208">
              <w:marLeft w:val="0"/>
              <w:marRight w:val="0"/>
              <w:marTop w:val="0"/>
              <w:marBottom w:val="0"/>
              <w:divBdr>
                <w:top w:val="none" w:sz="0" w:space="0" w:color="auto"/>
                <w:left w:val="none" w:sz="0" w:space="0" w:color="auto"/>
                <w:bottom w:val="none" w:sz="0" w:space="0" w:color="auto"/>
                <w:right w:val="none" w:sz="0" w:space="0" w:color="auto"/>
              </w:divBdr>
            </w:div>
          </w:divsChild>
        </w:div>
        <w:div w:id="844982120">
          <w:marLeft w:val="0"/>
          <w:marRight w:val="0"/>
          <w:marTop w:val="0"/>
          <w:marBottom w:val="0"/>
          <w:divBdr>
            <w:top w:val="none" w:sz="0" w:space="0" w:color="auto"/>
            <w:left w:val="none" w:sz="0" w:space="0" w:color="auto"/>
            <w:bottom w:val="none" w:sz="0" w:space="0" w:color="auto"/>
            <w:right w:val="none" w:sz="0" w:space="0" w:color="auto"/>
          </w:divBdr>
          <w:divsChild>
            <w:div w:id="1924143904">
              <w:marLeft w:val="0"/>
              <w:marRight w:val="0"/>
              <w:marTop w:val="0"/>
              <w:marBottom w:val="0"/>
              <w:divBdr>
                <w:top w:val="none" w:sz="0" w:space="0" w:color="auto"/>
                <w:left w:val="none" w:sz="0" w:space="0" w:color="auto"/>
                <w:bottom w:val="none" w:sz="0" w:space="0" w:color="auto"/>
                <w:right w:val="none" w:sz="0" w:space="0" w:color="auto"/>
              </w:divBdr>
            </w:div>
          </w:divsChild>
        </w:div>
        <w:div w:id="848370873">
          <w:marLeft w:val="0"/>
          <w:marRight w:val="0"/>
          <w:marTop w:val="0"/>
          <w:marBottom w:val="0"/>
          <w:divBdr>
            <w:top w:val="none" w:sz="0" w:space="0" w:color="auto"/>
            <w:left w:val="none" w:sz="0" w:space="0" w:color="auto"/>
            <w:bottom w:val="none" w:sz="0" w:space="0" w:color="auto"/>
            <w:right w:val="none" w:sz="0" w:space="0" w:color="auto"/>
          </w:divBdr>
          <w:divsChild>
            <w:div w:id="424497225">
              <w:marLeft w:val="0"/>
              <w:marRight w:val="0"/>
              <w:marTop w:val="0"/>
              <w:marBottom w:val="0"/>
              <w:divBdr>
                <w:top w:val="none" w:sz="0" w:space="0" w:color="auto"/>
                <w:left w:val="none" w:sz="0" w:space="0" w:color="auto"/>
                <w:bottom w:val="none" w:sz="0" w:space="0" w:color="auto"/>
                <w:right w:val="none" w:sz="0" w:space="0" w:color="auto"/>
              </w:divBdr>
            </w:div>
          </w:divsChild>
        </w:div>
        <w:div w:id="849369870">
          <w:marLeft w:val="0"/>
          <w:marRight w:val="0"/>
          <w:marTop w:val="0"/>
          <w:marBottom w:val="0"/>
          <w:divBdr>
            <w:top w:val="none" w:sz="0" w:space="0" w:color="auto"/>
            <w:left w:val="none" w:sz="0" w:space="0" w:color="auto"/>
            <w:bottom w:val="none" w:sz="0" w:space="0" w:color="auto"/>
            <w:right w:val="none" w:sz="0" w:space="0" w:color="auto"/>
          </w:divBdr>
          <w:divsChild>
            <w:div w:id="900750013">
              <w:marLeft w:val="0"/>
              <w:marRight w:val="0"/>
              <w:marTop w:val="0"/>
              <w:marBottom w:val="0"/>
              <w:divBdr>
                <w:top w:val="none" w:sz="0" w:space="0" w:color="auto"/>
                <w:left w:val="none" w:sz="0" w:space="0" w:color="auto"/>
                <w:bottom w:val="none" w:sz="0" w:space="0" w:color="auto"/>
                <w:right w:val="none" w:sz="0" w:space="0" w:color="auto"/>
              </w:divBdr>
            </w:div>
          </w:divsChild>
        </w:div>
        <w:div w:id="853567232">
          <w:marLeft w:val="0"/>
          <w:marRight w:val="0"/>
          <w:marTop w:val="0"/>
          <w:marBottom w:val="0"/>
          <w:divBdr>
            <w:top w:val="none" w:sz="0" w:space="0" w:color="auto"/>
            <w:left w:val="none" w:sz="0" w:space="0" w:color="auto"/>
            <w:bottom w:val="none" w:sz="0" w:space="0" w:color="auto"/>
            <w:right w:val="none" w:sz="0" w:space="0" w:color="auto"/>
          </w:divBdr>
          <w:divsChild>
            <w:div w:id="942424523">
              <w:marLeft w:val="0"/>
              <w:marRight w:val="0"/>
              <w:marTop w:val="0"/>
              <w:marBottom w:val="0"/>
              <w:divBdr>
                <w:top w:val="none" w:sz="0" w:space="0" w:color="auto"/>
                <w:left w:val="none" w:sz="0" w:space="0" w:color="auto"/>
                <w:bottom w:val="none" w:sz="0" w:space="0" w:color="auto"/>
                <w:right w:val="none" w:sz="0" w:space="0" w:color="auto"/>
              </w:divBdr>
            </w:div>
          </w:divsChild>
        </w:div>
        <w:div w:id="867446918">
          <w:marLeft w:val="0"/>
          <w:marRight w:val="0"/>
          <w:marTop w:val="0"/>
          <w:marBottom w:val="0"/>
          <w:divBdr>
            <w:top w:val="none" w:sz="0" w:space="0" w:color="auto"/>
            <w:left w:val="none" w:sz="0" w:space="0" w:color="auto"/>
            <w:bottom w:val="none" w:sz="0" w:space="0" w:color="auto"/>
            <w:right w:val="none" w:sz="0" w:space="0" w:color="auto"/>
          </w:divBdr>
          <w:divsChild>
            <w:div w:id="1934972949">
              <w:marLeft w:val="0"/>
              <w:marRight w:val="0"/>
              <w:marTop w:val="0"/>
              <w:marBottom w:val="0"/>
              <w:divBdr>
                <w:top w:val="none" w:sz="0" w:space="0" w:color="auto"/>
                <w:left w:val="none" w:sz="0" w:space="0" w:color="auto"/>
                <w:bottom w:val="none" w:sz="0" w:space="0" w:color="auto"/>
                <w:right w:val="none" w:sz="0" w:space="0" w:color="auto"/>
              </w:divBdr>
            </w:div>
          </w:divsChild>
        </w:div>
        <w:div w:id="869225711">
          <w:marLeft w:val="0"/>
          <w:marRight w:val="0"/>
          <w:marTop w:val="0"/>
          <w:marBottom w:val="0"/>
          <w:divBdr>
            <w:top w:val="none" w:sz="0" w:space="0" w:color="auto"/>
            <w:left w:val="none" w:sz="0" w:space="0" w:color="auto"/>
            <w:bottom w:val="none" w:sz="0" w:space="0" w:color="auto"/>
            <w:right w:val="none" w:sz="0" w:space="0" w:color="auto"/>
          </w:divBdr>
          <w:divsChild>
            <w:div w:id="2146072332">
              <w:marLeft w:val="0"/>
              <w:marRight w:val="0"/>
              <w:marTop w:val="0"/>
              <w:marBottom w:val="0"/>
              <w:divBdr>
                <w:top w:val="none" w:sz="0" w:space="0" w:color="auto"/>
                <w:left w:val="none" w:sz="0" w:space="0" w:color="auto"/>
                <w:bottom w:val="none" w:sz="0" w:space="0" w:color="auto"/>
                <w:right w:val="none" w:sz="0" w:space="0" w:color="auto"/>
              </w:divBdr>
            </w:div>
          </w:divsChild>
        </w:div>
        <w:div w:id="885145517">
          <w:marLeft w:val="0"/>
          <w:marRight w:val="0"/>
          <w:marTop w:val="0"/>
          <w:marBottom w:val="0"/>
          <w:divBdr>
            <w:top w:val="none" w:sz="0" w:space="0" w:color="auto"/>
            <w:left w:val="none" w:sz="0" w:space="0" w:color="auto"/>
            <w:bottom w:val="none" w:sz="0" w:space="0" w:color="auto"/>
            <w:right w:val="none" w:sz="0" w:space="0" w:color="auto"/>
          </w:divBdr>
          <w:divsChild>
            <w:div w:id="817846560">
              <w:marLeft w:val="0"/>
              <w:marRight w:val="0"/>
              <w:marTop w:val="0"/>
              <w:marBottom w:val="0"/>
              <w:divBdr>
                <w:top w:val="none" w:sz="0" w:space="0" w:color="auto"/>
                <w:left w:val="none" w:sz="0" w:space="0" w:color="auto"/>
                <w:bottom w:val="none" w:sz="0" w:space="0" w:color="auto"/>
                <w:right w:val="none" w:sz="0" w:space="0" w:color="auto"/>
              </w:divBdr>
            </w:div>
          </w:divsChild>
        </w:div>
        <w:div w:id="888300846">
          <w:marLeft w:val="0"/>
          <w:marRight w:val="0"/>
          <w:marTop w:val="0"/>
          <w:marBottom w:val="0"/>
          <w:divBdr>
            <w:top w:val="none" w:sz="0" w:space="0" w:color="auto"/>
            <w:left w:val="none" w:sz="0" w:space="0" w:color="auto"/>
            <w:bottom w:val="none" w:sz="0" w:space="0" w:color="auto"/>
            <w:right w:val="none" w:sz="0" w:space="0" w:color="auto"/>
          </w:divBdr>
          <w:divsChild>
            <w:div w:id="1005286206">
              <w:marLeft w:val="0"/>
              <w:marRight w:val="0"/>
              <w:marTop w:val="0"/>
              <w:marBottom w:val="0"/>
              <w:divBdr>
                <w:top w:val="none" w:sz="0" w:space="0" w:color="auto"/>
                <w:left w:val="none" w:sz="0" w:space="0" w:color="auto"/>
                <w:bottom w:val="none" w:sz="0" w:space="0" w:color="auto"/>
                <w:right w:val="none" w:sz="0" w:space="0" w:color="auto"/>
              </w:divBdr>
            </w:div>
          </w:divsChild>
        </w:div>
        <w:div w:id="888611818">
          <w:marLeft w:val="0"/>
          <w:marRight w:val="0"/>
          <w:marTop w:val="0"/>
          <w:marBottom w:val="0"/>
          <w:divBdr>
            <w:top w:val="none" w:sz="0" w:space="0" w:color="auto"/>
            <w:left w:val="none" w:sz="0" w:space="0" w:color="auto"/>
            <w:bottom w:val="none" w:sz="0" w:space="0" w:color="auto"/>
            <w:right w:val="none" w:sz="0" w:space="0" w:color="auto"/>
          </w:divBdr>
          <w:divsChild>
            <w:div w:id="1517109137">
              <w:marLeft w:val="0"/>
              <w:marRight w:val="0"/>
              <w:marTop w:val="0"/>
              <w:marBottom w:val="0"/>
              <w:divBdr>
                <w:top w:val="none" w:sz="0" w:space="0" w:color="auto"/>
                <w:left w:val="none" w:sz="0" w:space="0" w:color="auto"/>
                <w:bottom w:val="none" w:sz="0" w:space="0" w:color="auto"/>
                <w:right w:val="none" w:sz="0" w:space="0" w:color="auto"/>
              </w:divBdr>
            </w:div>
          </w:divsChild>
        </w:div>
        <w:div w:id="893277578">
          <w:marLeft w:val="0"/>
          <w:marRight w:val="0"/>
          <w:marTop w:val="0"/>
          <w:marBottom w:val="0"/>
          <w:divBdr>
            <w:top w:val="none" w:sz="0" w:space="0" w:color="auto"/>
            <w:left w:val="none" w:sz="0" w:space="0" w:color="auto"/>
            <w:bottom w:val="none" w:sz="0" w:space="0" w:color="auto"/>
            <w:right w:val="none" w:sz="0" w:space="0" w:color="auto"/>
          </w:divBdr>
          <w:divsChild>
            <w:div w:id="545994660">
              <w:marLeft w:val="0"/>
              <w:marRight w:val="0"/>
              <w:marTop w:val="0"/>
              <w:marBottom w:val="0"/>
              <w:divBdr>
                <w:top w:val="none" w:sz="0" w:space="0" w:color="auto"/>
                <w:left w:val="none" w:sz="0" w:space="0" w:color="auto"/>
                <w:bottom w:val="none" w:sz="0" w:space="0" w:color="auto"/>
                <w:right w:val="none" w:sz="0" w:space="0" w:color="auto"/>
              </w:divBdr>
            </w:div>
          </w:divsChild>
        </w:div>
        <w:div w:id="894973388">
          <w:marLeft w:val="0"/>
          <w:marRight w:val="0"/>
          <w:marTop w:val="0"/>
          <w:marBottom w:val="0"/>
          <w:divBdr>
            <w:top w:val="none" w:sz="0" w:space="0" w:color="auto"/>
            <w:left w:val="none" w:sz="0" w:space="0" w:color="auto"/>
            <w:bottom w:val="none" w:sz="0" w:space="0" w:color="auto"/>
            <w:right w:val="none" w:sz="0" w:space="0" w:color="auto"/>
          </w:divBdr>
          <w:divsChild>
            <w:div w:id="1161431566">
              <w:marLeft w:val="0"/>
              <w:marRight w:val="0"/>
              <w:marTop w:val="0"/>
              <w:marBottom w:val="0"/>
              <w:divBdr>
                <w:top w:val="none" w:sz="0" w:space="0" w:color="auto"/>
                <w:left w:val="none" w:sz="0" w:space="0" w:color="auto"/>
                <w:bottom w:val="none" w:sz="0" w:space="0" w:color="auto"/>
                <w:right w:val="none" w:sz="0" w:space="0" w:color="auto"/>
              </w:divBdr>
            </w:div>
          </w:divsChild>
        </w:div>
        <w:div w:id="895553821">
          <w:marLeft w:val="0"/>
          <w:marRight w:val="0"/>
          <w:marTop w:val="0"/>
          <w:marBottom w:val="0"/>
          <w:divBdr>
            <w:top w:val="none" w:sz="0" w:space="0" w:color="auto"/>
            <w:left w:val="none" w:sz="0" w:space="0" w:color="auto"/>
            <w:bottom w:val="none" w:sz="0" w:space="0" w:color="auto"/>
            <w:right w:val="none" w:sz="0" w:space="0" w:color="auto"/>
          </w:divBdr>
          <w:divsChild>
            <w:div w:id="1789347099">
              <w:marLeft w:val="0"/>
              <w:marRight w:val="0"/>
              <w:marTop w:val="0"/>
              <w:marBottom w:val="0"/>
              <w:divBdr>
                <w:top w:val="none" w:sz="0" w:space="0" w:color="auto"/>
                <w:left w:val="none" w:sz="0" w:space="0" w:color="auto"/>
                <w:bottom w:val="none" w:sz="0" w:space="0" w:color="auto"/>
                <w:right w:val="none" w:sz="0" w:space="0" w:color="auto"/>
              </w:divBdr>
            </w:div>
          </w:divsChild>
        </w:div>
        <w:div w:id="903101264">
          <w:marLeft w:val="0"/>
          <w:marRight w:val="0"/>
          <w:marTop w:val="0"/>
          <w:marBottom w:val="0"/>
          <w:divBdr>
            <w:top w:val="none" w:sz="0" w:space="0" w:color="auto"/>
            <w:left w:val="none" w:sz="0" w:space="0" w:color="auto"/>
            <w:bottom w:val="none" w:sz="0" w:space="0" w:color="auto"/>
            <w:right w:val="none" w:sz="0" w:space="0" w:color="auto"/>
          </w:divBdr>
          <w:divsChild>
            <w:div w:id="1473404345">
              <w:marLeft w:val="0"/>
              <w:marRight w:val="0"/>
              <w:marTop w:val="0"/>
              <w:marBottom w:val="0"/>
              <w:divBdr>
                <w:top w:val="none" w:sz="0" w:space="0" w:color="auto"/>
                <w:left w:val="none" w:sz="0" w:space="0" w:color="auto"/>
                <w:bottom w:val="none" w:sz="0" w:space="0" w:color="auto"/>
                <w:right w:val="none" w:sz="0" w:space="0" w:color="auto"/>
              </w:divBdr>
            </w:div>
          </w:divsChild>
        </w:div>
        <w:div w:id="904533106">
          <w:marLeft w:val="0"/>
          <w:marRight w:val="0"/>
          <w:marTop w:val="0"/>
          <w:marBottom w:val="0"/>
          <w:divBdr>
            <w:top w:val="none" w:sz="0" w:space="0" w:color="auto"/>
            <w:left w:val="none" w:sz="0" w:space="0" w:color="auto"/>
            <w:bottom w:val="none" w:sz="0" w:space="0" w:color="auto"/>
            <w:right w:val="none" w:sz="0" w:space="0" w:color="auto"/>
          </w:divBdr>
          <w:divsChild>
            <w:div w:id="1991671585">
              <w:marLeft w:val="0"/>
              <w:marRight w:val="0"/>
              <w:marTop w:val="0"/>
              <w:marBottom w:val="0"/>
              <w:divBdr>
                <w:top w:val="none" w:sz="0" w:space="0" w:color="auto"/>
                <w:left w:val="none" w:sz="0" w:space="0" w:color="auto"/>
                <w:bottom w:val="none" w:sz="0" w:space="0" w:color="auto"/>
                <w:right w:val="none" w:sz="0" w:space="0" w:color="auto"/>
              </w:divBdr>
            </w:div>
          </w:divsChild>
        </w:div>
        <w:div w:id="905799161">
          <w:marLeft w:val="0"/>
          <w:marRight w:val="0"/>
          <w:marTop w:val="0"/>
          <w:marBottom w:val="0"/>
          <w:divBdr>
            <w:top w:val="none" w:sz="0" w:space="0" w:color="auto"/>
            <w:left w:val="none" w:sz="0" w:space="0" w:color="auto"/>
            <w:bottom w:val="none" w:sz="0" w:space="0" w:color="auto"/>
            <w:right w:val="none" w:sz="0" w:space="0" w:color="auto"/>
          </w:divBdr>
          <w:divsChild>
            <w:div w:id="1404723421">
              <w:marLeft w:val="0"/>
              <w:marRight w:val="0"/>
              <w:marTop w:val="0"/>
              <w:marBottom w:val="0"/>
              <w:divBdr>
                <w:top w:val="none" w:sz="0" w:space="0" w:color="auto"/>
                <w:left w:val="none" w:sz="0" w:space="0" w:color="auto"/>
                <w:bottom w:val="none" w:sz="0" w:space="0" w:color="auto"/>
                <w:right w:val="none" w:sz="0" w:space="0" w:color="auto"/>
              </w:divBdr>
            </w:div>
          </w:divsChild>
        </w:div>
        <w:div w:id="905991776">
          <w:marLeft w:val="0"/>
          <w:marRight w:val="0"/>
          <w:marTop w:val="0"/>
          <w:marBottom w:val="0"/>
          <w:divBdr>
            <w:top w:val="none" w:sz="0" w:space="0" w:color="auto"/>
            <w:left w:val="none" w:sz="0" w:space="0" w:color="auto"/>
            <w:bottom w:val="none" w:sz="0" w:space="0" w:color="auto"/>
            <w:right w:val="none" w:sz="0" w:space="0" w:color="auto"/>
          </w:divBdr>
          <w:divsChild>
            <w:div w:id="162010899">
              <w:marLeft w:val="0"/>
              <w:marRight w:val="0"/>
              <w:marTop w:val="0"/>
              <w:marBottom w:val="0"/>
              <w:divBdr>
                <w:top w:val="none" w:sz="0" w:space="0" w:color="auto"/>
                <w:left w:val="none" w:sz="0" w:space="0" w:color="auto"/>
                <w:bottom w:val="none" w:sz="0" w:space="0" w:color="auto"/>
                <w:right w:val="none" w:sz="0" w:space="0" w:color="auto"/>
              </w:divBdr>
            </w:div>
          </w:divsChild>
        </w:div>
        <w:div w:id="917129850">
          <w:marLeft w:val="0"/>
          <w:marRight w:val="0"/>
          <w:marTop w:val="0"/>
          <w:marBottom w:val="0"/>
          <w:divBdr>
            <w:top w:val="none" w:sz="0" w:space="0" w:color="auto"/>
            <w:left w:val="none" w:sz="0" w:space="0" w:color="auto"/>
            <w:bottom w:val="none" w:sz="0" w:space="0" w:color="auto"/>
            <w:right w:val="none" w:sz="0" w:space="0" w:color="auto"/>
          </w:divBdr>
          <w:divsChild>
            <w:div w:id="1656298289">
              <w:marLeft w:val="0"/>
              <w:marRight w:val="0"/>
              <w:marTop w:val="0"/>
              <w:marBottom w:val="0"/>
              <w:divBdr>
                <w:top w:val="none" w:sz="0" w:space="0" w:color="auto"/>
                <w:left w:val="none" w:sz="0" w:space="0" w:color="auto"/>
                <w:bottom w:val="none" w:sz="0" w:space="0" w:color="auto"/>
                <w:right w:val="none" w:sz="0" w:space="0" w:color="auto"/>
              </w:divBdr>
            </w:div>
          </w:divsChild>
        </w:div>
        <w:div w:id="932200697">
          <w:marLeft w:val="0"/>
          <w:marRight w:val="0"/>
          <w:marTop w:val="0"/>
          <w:marBottom w:val="0"/>
          <w:divBdr>
            <w:top w:val="none" w:sz="0" w:space="0" w:color="auto"/>
            <w:left w:val="none" w:sz="0" w:space="0" w:color="auto"/>
            <w:bottom w:val="none" w:sz="0" w:space="0" w:color="auto"/>
            <w:right w:val="none" w:sz="0" w:space="0" w:color="auto"/>
          </w:divBdr>
          <w:divsChild>
            <w:div w:id="491026588">
              <w:marLeft w:val="0"/>
              <w:marRight w:val="0"/>
              <w:marTop w:val="0"/>
              <w:marBottom w:val="0"/>
              <w:divBdr>
                <w:top w:val="none" w:sz="0" w:space="0" w:color="auto"/>
                <w:left w:val="none" w:sz="0" w:space="0" w:color="auto"/>
                <w:bottom w:val="none" w:sz="0" w:space="0" w:color="auto"/>
                <w:right w:val="none" w:sz="0" w:space="0" w:color="auto"/>
              </w:divBdr>
            </w:div>
          </w:divsChild>
        </w:div>
        <w:div w:id="950017312">
          <w:marLeft w:val="0"/>
          <w:marRight w:val="0"/>
          <w:marTop w:val="0"/>
          <w:marBottom w:val="0"/>
          <w:divBdr>
            <w:top w:val="none" w:sz="0" w:space="0" w:color="auto"/>
            <w:left w:val="none" w:sz="0" w:space="0" w:color="auto"/>
            <w:bottom w:val="none" w:sz="0" w:space="0" w:color="auto"/>
            <w:right w:val="none" w:sz="0" w:space="0" w:color="auto"/>
          </w:divBdr>
          <w:divsChild>
            <w:div w:id="490293701">
              <w:marLeft w:val="0"/>
              <w:marRight w:val="0"/>
              <w:marTop w:val="0"/>
              <w:marBottom w:val="0"/>
              <w:divBdr>
                <w:top w:val="none" w:sz="0" w:space="0" w:color="auto"/>
                <w:left w:val="none" w:sz="0" w:space="0" w:color="auto"/>
                <w:bottom w:val="none" w:sz="0" w:space="0" w:color="auto"/>
                <w:right w:val="none" w:sz="0" w:space="0" w:color="auto"/>
              </w:divBdr>
            </w:div>
          </w:divsChild>
        </w:div>
        <w:div w:id="952637884">
          <w:marLeft w:val="0"/>
          <w:marRight w:val="0"/>
          <w:marTop w:val="0"/>
          <w:marBottom w:val="0"/>
          <w:divBdr>
            <w:top w:val="none" w:sz="0" w:space="0" w:color="auto"/>
            <w:left w:val="none" w:sz="0" w:space="0" w:color="auto"/>
            <w:bottom w:val="none" w:sz="0" w:space="0" w:color="auto"/>
            <w:right w:val="none" w:sz="0" w:space="0" w:color="auto"/>
          </w:divBdr>
          <w:divsChild>
            <w:div w:id="1828328104">
              <w:marLeft w:val="0"/>
              <w:marRight w:val="0"/>
              <w:marTop w:val="0"/>
              <w:marBottom w:val="0"/>
              <w:divBdr>
                <w:top w:val="none" w:sz="0" w:space="0" w:color="auto"/>
                <w:left w:val="none" w:sz="0" w:space="0" w:color="auto"/>
                <w:bottom w:val="none" w:sz="0" w:space="0" w:color="auto"/>
                <w:right w:val="none" w:sz="0" w:space="0" w:color="auto"/>
              </w:divBdr>
            </w:div>
          </w:divsChild>
        </w:div>
        <w:div w:id="952859145">
          <w:marLeft w:val="0"/>
          <w:marRight w:val="0"/>
          <w:marTop w:val="0"/>
          <w:marBottom w:val="0"/>
          <w:divBdr>
            <w:top w:val="none" w:sz="0" w:space="0" w:color="auto"/>
            <w:left w:val="none" w:sz="0" w:space="0" w:color="auto"/>
            <w:bottom w:val="none" w:sz="0" w:space="0" w:color="auto"/>
            <w:right w:val="none" w:sz="0" w:space="0" w:color="auto"/>
          </w:divBdr>
          <w:divsChild>
            <w:div w:id="1135102212">
              <w:marLeft w:val="0"/>
              <w:marRight w:val="0"/>
              <w:marTop w:val="0"/>
              <w:marBottom w:val="0"/>
              <w:divBdr>
                <w:top w:val="none" w:sz="0" w:space="0" w:color="auto"/>
                <w:left w:val="none" w:sz="0" w:space="0" w:color="auto"/>
                <w:bottom w:val="none" w:sz="0" w:space="0" w:color="auto"/>
                <w:right w:val="none" w:sz="0" w:space="0" w:color="auto"/>
              </w:divBdr>
            </w:div>
          </w:divsChild>
        </w:div>
        <w:div w:id="960310064">
          <w:marLeft w:val="0"/>
          <w:marRight w:val="0"/>
          <w:marTop w:val="0"/>
          <w:marBottom w:val="0"/>
          <w:divBdr>
            <w:top w:val="none" w:sz="0" w:space="0" w:color="auto"/>
            <w:left w:val="none" w:sz="0" w:space="0" w:color="auto"/>
            <w:bottom w:val="none" w:sz="0" w:space="0" w:color="auto"/>
            <w:right w:val="none" w:sz="0" w:space="0" w:color="auto"/>
          </w:divBdr>
          <w:divsChild>
            <w:div w:id="711804344">
              <w:marLeft w:val="0"/>
              <w:marRight w:val="0"/>
              <w:marTop w:val="0"/>
              <w:marBottom w:val="0"/>
              <w:divBdr>
                <w:top w:val="none" w:sz="0" w:space="0" w:color="auto"/>
                <w:left w:val="none" w:sz="0" w:space="0" w:color="auto"/>
                <w:bottom w:val="none" w:sz="0" w:space="0" w:color="auto"/>
                <w:right w:val="none" w:sz="0" w:space="0" w:color="auto"/>
              </w:divBdr>
            </w:div>
          </w:divsChild>
        </w:div>
        <w:div w:id="987712465">
          <w:marLeft w:val="0"/>
          <w:marRight w:val="0"/>
          <w:marTop w:val="0"/>
          <w:marBottom w:val="0"/>
          <w:divBdr>
            <w:top w:val="none" w:sz="0" w:space="0" w:color="auto"/>
            <w:left w:val="none" w:sz="0" w:space="0" w:color="auto"/>
            <w:bottom w:val="none" w:sz="0" w:space="0" w:color="auto"/>
            <w:right w:val="none" w:sz="0" w:space="0" w:color="auto"/>
          </w:divBdr>
          <w:divsChild>
            <w:div w:id="1961954773">
              <w:marLeft w:val="0"/>
              <w:marRight w:val="0"/>
              <w:marTop w:val="0"/>
              <w:marBottom w:val="0"/>
              <w:divBdr>
                <w:top w:val="none" w:sz="0" w:space="0" w:color="auto"/>
                <w:left w:val="none" w:sz="0" w:space="0" w:color="auto"/>
                <w:bottom w:val="none" w:sz="0" w:space="0" w:color="auto"/>
                <w:right w:val="none" w:sz="0" w:space="0" w:color="auto"/>
              </w:divBdr>
            </w:div>
          </w:divsChild>
        </w:div>
        <w:div w:id="988247794">
          <w:marLeft w:val="0"/>
          <w:marRight w:val="0"/>
          <w:marTop w:val="0"/>
          <w:marBottom w:val="0"/>
          <w:divBdr>
            <w:top w:val="none" w:sz="0" w:space="0" w:color="auto"/>
            <w:left w:val="none" w:sz="0" w:space="0" w:color="auto"/>
            <w:bottom w:val="none" w:sz="0" w:space="0" w:color="auto"/>
            <w:right w:val="none" w:sz="0" w:space="0" w:color="auto"/>
          </w:divBdr>
          <w:divsChild>
            <w:div w:id="1119185368">
              <w:marLeft w:val="0"/>
              <w:marRight w:val="0"/>
              <w:marTop w:val="0"/>
              <w:marBottom w:val="0"/>
              <w:divBdr>
                <w:top w:val="none" w:sz="0" w:space="0" w:color="auto"/>
                <w:left w:val="none" w:sz="0" w:space="0" w:color="auto"/>
                <w:bottom w:val="none" w:sz="0" w:space="0" w:color="auto"/>
                <w:right w:val="none" w:sz="0" w:space="0" w:color="auto"/>
              </w:divBdr>
            </w:div>
          </w:divsChild>
        </w:div>
        <w:div w:id="993676933">
          <w:marLeft w:val="0"/>
          <w:marRight w:val="0"/>
          <w:marTop w:val="0"/>
          <w:marBottom w:val="0"/>
          <w:divBdr>
            <w:top w:val="none" w:sz="0" w:space="0" w:color="auto"/>
            <w:left w:val="none" w:sz="0" w:space="0" w:color="auto"/>
            <w:bottom w:val="none" w:sz="0" w:space="0" w:color="auto"/>
            <w:right w:val="none" w:sz="0" w:space="0" w:color="auto"/>
          </w:divBdr>
          <w:divsChild>
            <w:div w:id="1461916968">
              <w:marLeft w:val="0"/>
              <w:marRight w:val="0"/>
              <w:marTop w:val="0"/>
              <w:marBottom w:val="0"/>
              <w:divBdr>
                <w:top w:val="none" w:sz="0" w:space="0" w:color="auto"/>
                <w:left w:val="none" w:sz="0" w:space="0" w:color="auto"/>
                <w:bottom w:val="none" w:sz="0" w:space="0" w:color="auto"/>
                <w:right w:val="none" w:sz="0" w:space="0" w:color="auto"/>
              </w:divBdr>
            </w:div>
          </w:divsChild>
        </w:div>
        <w:div w:id="998191796">
          <w:marLeft w:val="0"/>
          <w:marRight w:val="0"/>
          <w:marTop w:val="0"/>
          <w:marBottom w:val="0"/>
          <w:divBdr>
            <w:top w:val="none" w:sz="0" w:space="0" w:color="auto"/>
            <w:left w:val="none" w:sz="0" w:space="0" w:color="auto"/>
            <w:bottom w:val="none" w:sz="0" w:space="0" w:color="auto"/>
            <w:right w:val="none" w:sz="0" w:space="0" w:color="auto"/>
          </w:divBdr>
          <w:divsChild>
            <w:div w:id="188496191">
              <w:marLeft w:val="0"/>
              <w:marRight w:val="0"/>
              <w:marTop w:val="0"/>
              <w:marBottom w:val="0"/>
              <w:divBdr>
                <w:top w:val="none" w:sz="0" w:space="0" w:color="auto"/>
                <w:left w:val="none" w:sz="0" w:space="0" w:color="auto"/>
                <w:bottom w:val="none" w:sz="0" w:space="0" w:color="auto"/>
                <w:right w:val="none" w:sz="0" w:space="0" w:color="auto"/>
              </w:divBdr>
            </w:div>
          </w:divsChild>
        </w:div>
        <w:div w:id="999429278">
          <w:marLeft w:val="0"/>
          <w:marRight w:val="0"/>
          <w:marTop w:val="0"/>
          <w:marBottom w:val="0"/>
          <w:divBdr>
            <w:top w:val="none" w:sz="0" w:space="0" w:color="auto"/>
            <w:left w:val="none" w:sz="0" w:space="0" w:color="auto"/>
            <w:bottom w:val="none" w:sz="0" w:space="0" w:color="auto"/>
            <w:right w:val="none" w:sz="0" w:space="0" w:color="auto"/>
          </w:divBdr>
          <w:divsChild>
            <w:div w:id="420489030">
              <w:marLeft w:val="0"/>
              <w:marRight w:val="0"/>
              <w:marTop w:val="0"/>
              <w:marBottom w:val="0"/>
              <w:divBdr>
                <w:top w:val="none" w:sz="0" w:space="0" w:color="auto"/>
                <w:left w:val="none" w:sz="0" w:space="0" w:color="auto"/>
                <w:bottom w:val="none" w:sz="0" w:space="0" w:color="auto"/>
                <w:right w:val="none" w:sz="0" w:space="0" w:color="auto"/>
              </w:divBdr>
            </w:div>
          </w:divsChild>
        </w:div>
        <w:div w:id="1004169711">
          <w:marLeft w:val="0"/>
          <w:marRight w:val="0"/>
          <w:marTop w:val="0"/>
          <w:marBottom w:val="0"/>
          <w:divBdr>
            <w:top w:val="none" w:sz="0" w:space="0" w:color="auto"/>
            <w:left w:val="none" w:sz="0" w:space="0" w:color="auto"/>
            <w:bottom w:val="none" w:sz="0" w:space="0" w:color="auto"/>
            <w:right w:val="none" w:sz="0" w:space="0" w:color="auto"/>
          </w:divBdr>
          <w:divsChild>
            <w:div w:id="208424707">
              <w:marLeft w:val="0"/>
              <w:marRight w:val="0"/>
              <w:marTop w:val="0"/>
              <w:marBottom w:val="0"/>
              <w:divBdr>
                <w:top w:val="none" w:sz="0" w:space="0" w:color="auto"/>
                <w:left w:val="none" w:sz="0" w:space="0" w:color="auto"/>
                <w:bottom w:val="none" w:sz="0" w:space="0" w:color="auto"/>
                <w:right w:val="none" w:sz="0" w:space="0" w:color="auto"/>
              </w:divBdr>
            </w:div>
          </w:divsChild>
        </w:div>
        <w:div w:id="1013995402">
          <w:marLeft w:val="0"/>
          <w:marRight w:val="0"/>
          <w:marTop w:val="0"/>
          <w:marBottom w:val="0"/>
          <w:divBdr>
            <w:top w:val="none" w:sz="0" w:space="0" w:color="auto"/>
            <w:left w:val="none" w:sz="0" w:space="0" w:color="auto"/>
            <w:bottom w:val="none" w:sz="0" w:space="0" w:color="auto"/>
            <w:right w:val="none" w:sz="0" w:space="0" w:color="auto"/>
          </w:divBdr>
          <w:divsChild>
            <w:div w:id="1889148021">
              <w:marLeft w:val="0"/>
              <w:marRight w:val="0"/>
              <w:marTop w:val="0"/>
              <w:marBottom w:val="0"/>
              <w:divBdr>
                <w:top w:val="none" w:sz="0" w:space="0" w:color="auto"/>
                <w:left w:val="none" w:sz="0" w:space="0" w:color="auto"/>
                <w:bottom w:val="none" w:sz="0" w:space="0" w:color="auto"/>
                <w:right w:val="none" w:sz="0" w:space="0" w:color="auto"/>
              </w:divBdr>
            </w:div>
          </w:divsChild>
        </w:div>
        <w:div w:id="1022166760">
          <w:marLeft w:val="0"/>
          <w:marRight w:val="0"/>
          <w:marTop w:val="0"/>
          <w:marBottom w:val="0"/>
          <w:divBdr>
            <w:top w:val="none" w:sz="0" w:space="0" w:color="auto"/>
            <w:left w:val="none" w:sz="0" w:space="0" w:color="auto"/>
            <w:bottom w:val="none" w:sz="0" w:space="0" w:color="auto"/>
            <w:right w:val="none" w:sz="0" w:space="0" w:color="auto"/>
          </w:divBdr>
          <w:divsChild>
            <w:div w:id="1013845798">
              <w:marLeft w:val="0"/>
              <w:marRight w:val="0"/>
              <w:marTop w:val="0"/>
              <w:marBottom w:val="0"/>
              <w:divBdr>
                <w:top w:val="none" w:sz="0" w:space="0" w:color="auto"/>
                <w:left w:val="none" w:sz="0" w:space="0" w:color="auto"/>
                <w:bottom w:val="none" w:sz="0" w:space="0" w:color="auto"/>
                <w:right w:val="none" w:sz="0" w:space="0" w:color="auto"/>
              </w:divBdr>
            </w:div>
          </w:divsChild>
        </w:div>
        <w:div w:id="1024752178">
          <w:marLeft w:val="0"/>
          <w:marRight w:val="0"/>
          <w:marTop w:val="0"/>
          <w:marBottom w:val="0"/>
          <w:divBdr>
            <w:top w:val="none" w:sz="0" w:space="0" w:color="auto"/>
            <w:left w:val="none" w:sz="0" w:space="0" w:color="auto"/>
            <w:bottom w:val="none" w:sz="0" w:space="0" w:color="auto"/>
            <w:right w:val="none" w:sz="0" w:space="0" w:color="auto"/>
          </w:divBdr>
          <w:divsChild>
            <w:div w:id="176383585">
              <w:marLeft w:val="0"/>
              <w:marRight w:val="0"/>
              <w:marTop w:val="0"/>
              <w:marBottom w:val="0"/>
              <w:divBdr>
                <w:top w:val="none" w:sz="0" w:space="0" w:color="auto"/>
                <w:left w:val="none" w:sz="0" w:space="0" w:color="auto"/>
                <w:bottom w:val="none" w:sz="0" w:space="0" w:color="auto"/>
                <w:right w:val="none" w:sz="0" w:space="0" w:color="auto"/>
              </w:divBdr>
            </w:div>
          </w:divsChild>
        </w:div>
        <w:div w:id="1026756176">
          <w:marLeft w:val="0"/>
          <w:marRight w:val="0"/>
          <w:marTop w:val="0"/>
          <w:marBottom w:val="0"/>
          <w:divBdr>
            <w:top w:val="none" w:sz="0" w:space="0" w:color="auto"/>
            <w:left w:val="none" w:sz="0" w:space="0" w:color="auto"/>
            <w:bottom w:val="none" w:sz="0" w:space="0" w:color="auto"/>
            <w:right w:val="none" w:sz="0" w:space="0" w:color="auto"/>
          </w:divBdr>
          <w:divsChild>
            <w:div w:id="2060786047">
              <w:marLeft w:val="0"/>
              <w:marRight w:val="0"/>
              <w:marTop w:val="0"/>
              <w:marBottom w:val="0"/>
              <w:divBdr>
                <w:top w:val="none" w:sz="0" w:space="0" w:color="auto"/>
                <w:left w:val="none" w:sz="0" w:space="0" w:color="auto"/>
                <w:bottom w:val="none" w:sz="0" w:space="0" w:color="auto"/>
                <w:right w:val="none" w:sz="0" w:space="0" w:color="auto"/>
              </w:divBdr>
            </w:div>
          </w:divsChild>
        </w:div>
        <w:div w:id="1027677007">
          <w:marLeft w:val="0"/>
          <w:marRight w:val="0"/>
          <w:marTop w:val="0"/>
          <w:marBottom w:val="0"/>
          <w:divBdr>
            <w:top w:val="none" w:sz="0" w:space="0" w:color="auto"/>
            <w:left w:val="none" w:sz="0" w:space="0" w:color="auto"/>
            <w:bottom w:val="none" w:sz="0" w:space="0" w:color="auto"/>
            <w:right w:val="none" w:sz="0" w:space="0" w:color="auto"/>
          </w:divBdr>
          <w:divsChild>
            <w:div w:id="474563490">
              <w:marLeft w:val="0"/>
              <w:marRight w:val="0"/>
              <w:marTop w:val="0"/>
              <w:marBottom w:val="0"/>
              <w:divBdr>
                <w:top w:val="none" w:sz="0" w:space="0" w:color="auto"/>
                <w:left w:val="none" w:sz="0" w:space="0" w:color="auto"/>
                <w:bottom w:val="none" w:sz="0" w:space="0" w:color="auto"/>
                <w:right w:val="none" w:sz="0" w:space="0" w:color="auto"/>
              </w:divBdr>
            </w:div>
          </w:divsChild>
        </w:div>
        <w:div w:id="1037974031">
          <w:marLeft w:val="0"/>
          <w:marRight w:val="0"/>
          <w:marTop w:val="0"/>
          <w:marBottom w:val="0"/>
          <w:divBdr>
            <w:top w:val="none" w:sz="0" w:space="0" w:color="auto"/>
            <w:left w:val="none" w:sz="0" w:space="0" w:color="auto"/>
            <w:bottom w:val="none" w:sz="0" w:space="0" w:color="auto"/>
            <w:right w:val="none" w:sz="0" w:space="0" w:color="auto"/>
          </w:divBdr>
          <w:divsChild>
            <w:div w:id="737630452">
              <w:marLeft w:val="0"/>
              <w:marRight w:val="0"/>
              <w:marTop w:val="0"/>
              <w:marBottom w:val="0"/>
              <w:divBdr>
                <w:top w:val="none" w:sz="0" w:space="0" w:color="auto"/>
                <w:left w:val="none" w:sz="0" w:space="0" w:color="auto"/>
                <w:bottom w:val="none" w:sz="0" w:space="0" w:color="auto"/>
                <w:right w:val="none" w:sz="0" w:space="0" w:color="auto"/>
              </w:divBdr>
            </w:div>
          </w:divsChild>
        </w:div>
        <w:div w:id="1043293315">
          <w:marLeft w:val="0"/>
          <w:marRight w:val="0"/>
          <w:marTop w:val="0"/>
          <w:marBottom w:val="0"/>
          <w:divBdr>
            <w:top w:val="none" w:sz="0" w:space="0" w:color="auto"/>
            <w:left w:val="none" w:sz="0" w:space="0" w:color="auto"/>
            <w:bottom w:val="none" w:sz="0" w:space="0" w:color="auto"/>
            <w:right w:val="none" w:sz="0" w:space="0" w:color="auto"/>
          </w:divBdr>
          <w:divsChild>
            <w:div w:id="113332581">
              <w:marLeft w:val="0"/>
              <w:marRight w:val="0"/>
              <w:marTop w:val="0"/>
              <w:marBottom w:val="0"/>
              <w:divBdr>
                <w:top w:val="none" w:sz="0" w:space="0" w:color="auto"/>
                <w:left w:val="none" w:sz="0" w:space="0" w:color="auto"/>
                <w:bottom w:val="none" w:sz="0" w:space="0" w:color="auto"/>
                <w:right w:val="none" w:sz="0" w:space="0" w:color="auto"/>
              </w:divBdr>
            </w:div>
          </w:divsChild>
        </w:div>
        <w:div w:id="1067654875">
          <w:marLeft w:val="0"/>
          <w:marRight w:val="0"/>
          <w:marTop w:val="0"/>
          <w:marBottom w:val="0"/>
          <w:divBdr>
            <w:top w:val="none" w:sz="0" w:space="0" w:color="auto"/>
            <w:left w:val="none" w:sz="0" w:space="0" w:color="auto"/>
            <w:bottom w:val="none" w:sz="0" w:space="0" w:color="auto"/>
            <w:right w:val="none" w:sz="0" w:space="0" w:color="auto"/>
          </w:divBdr>
          <w:divsChild>
            <w:div w:id="1365599424">
              <w:marLeft w:val="0"/>
              <w:marRight w:val="0"/>
              <w:marTop w:val="0"/>
              <w:marBottom w:val="0"/>
              <w:divBdr>
                <w:top w:val="none" w:sz="0" w:space="0" w:color="auto"/>
                <w:left w:val="none" w:sz="0" w:space="0" w:color="auto"/>
                <w:bottom w:val="none" w:sz="0" w:space="0" w:color="auto"/>
                <w:right w:val="none" w:sz="0" w:space="0" w:color="auto"/>
              </w:divBdr>
            </w:div>
          </w:divsChild>
        </w:div>
        <w:div w:id="1087534117">
          <w:marLeft w:val="0"/>
          <w:marRight w:val="0"/>
          <w:marTop w:val="0"/>
          <w:marBottom w:val="0"/>
          <w:divBdr>
            <w:top w:val="none" w:sz="0" w:space="0" w:color="auto"/>
            <w:left w:val="none" w:sz="0" w:space="0" w:color="auto"/>
            <w:bottom w:val="none" w:sz="0" w:space="0" w:color="auto"/>
            <w:right w:val="none" w:sz="0" w:space="0" w:color="auto"/>
          </w:divBdr>
          <w:divsChild>
            <w:div w:id="1568373310">
              <w:marLeft w:val="0"/>
              <w:marRight w:val="0"/>
              <w:marTop w:val="0"/>
              <w:marBottom w:val="0"/>
              <w:divBdr>
                <w:top w:val="none" w:sz="0" w:space="0" w:color="auto"/>
                <w:left w:val="none" w:sz="0" w:space="0" w:color="auto"/>
                <w:bottom w:val="none" w:sz="0" w:space="0" w:color="auto"/>
                <w:right w:val="none" w:sz="0" w:space="0" w:color="auto"/>
              </w:divBdr>
            </w:div>
          </w:divsChild>
        </w:div>
        <w:div w:id="1096250296">
          <w:marLeft w:val="0"/>
          <w:marRight w:val="0"/>
          <w:marTop w:val="0"/>
          <w:marBottom w:val="0"/>
          <w:divBdr>
            <w:top w:val="none" w:sz="0" w:space="0" w:color="auto"/>
            <w:left w:val="none" w:sz="0" w:space="0" w:color="auto"/>
            <w:bottom w:val="none" w:sz="0" w:space="0" w:color="auto"/>
            <w:right w:val="none" w:sz="0" w:space="0" w:color="auto"/>
          </w:divBdr>
          <w:divsChild>
            <w:div w:id="750002417">
              <w:marLeft w:val="0"/>
              <w:marRight w:val="0"/>
              <w:marTop w:val="0"/>
              <w:marBottom w:val="0"/>
              <w:divBdr>
                <w:top w:val="none" w:sz="0" w:space="0" w:color="auto"/>
                <w:left w:val="none" w:sz="0" w:space="0" w:color="auto"/>
                <w:bottom w:val="none" w:sz="0" w:space="0" w:color="auto"/>
                <w:right w:val="none" w:sz="0" w:space="0" w:color="auto"/>
              </w:divBdr>
            </w:div>
          </w:divsChild>
        </w:div>
        <w:div w:id="1109475313">
          <w:marLeft w:val="0"/>
          <w:marRight w:val="0"/>
          <w:marTop w:val="0"/>
          <w:marBottom w:val="0"/>
          <w:divBdr>
            <w:top w:val="none" w:sz="0" w:space="0" w:color="auto"/>
            <w:left w:val="none" w:sz="0" w:space="0" w:color="auto"/>
            <w:bottom w:val="none" w:sz="0" w:space="0" w:color="auto"/>
            <w:right w:val="none" w:sz="0" w:space="0" w:color="auto"/>
          </w:divBdr>
          <w:divsChild>
            <w:div w:id="1843619805">
              <w:marLeft w:val="0"/>
              <w:marRight w:val="0"/>
              <w:marTop w:val="0"/>
              <w:marBottom w:val="0"/>
              <w:divBdr>
                <w:top w:val="none" w:sz="0" w:space="0" w:color="auto"/>
                <w:left w:val="none" w:sz="0" w:space="0" w:color="auto"/>
                <w:bottom w:val="none" w:sz="0" w:space="0" w:color="auto"/>
                <w:right w:val="none" w:sz="0" w:space="0" w:color="auto"/>
              </w:divBdr>
            </w:div>
          </w:divsChild>
        </w:div>
        <w:div w:id="1118645890">
          <w:marLeft w:val="0"/>
          <w:marRight w:val="0"/>
          <w:marTop w:val="0"/>
          <w:marBottom w:val="0"/>
          <w:divBdr>
            <w:top w:val="none" w:sz="0" w:space="0" w:color="auto"/>
            <w:left w:val="none" w:sz="0" w:space="0" w:color="auto"/>
            <w:bottom w:val="none" w:sz="0" w:space="0" w:color="auto"/>
            <w:right w:val="none" w:sz="0" w:space="0" w:color="auto"/>
          </w:divBdr>
          <w:divsChild>
            <w:div w:id="487136513">
              <w:marLeft w:val="0"/>
              <w:marRight w:val="0"/>
              <w:marTop w:val="0"/>
              <w:marBottom w:val="0"/>
              <w:divBdr>
                <w:top w:val="none" w:sz="0" w:space="0" w:color="auto"/>
                <w:left w:val="none" w:sz="0" w:space="0" w:color="auto"/>
                <w:bottom w:val="none" w:sz="0" w:space="0" w:color="auto"/>
                <w:right w:val="none" w:sz="0" w:space="0" w:color="auto"/>
              </w:divBdr>
            </w:div>
          </w:divsChild>
        </w:div>
        <w:div w:id="1137529359">
          <w:marLeft w:val="0"/>
          <w:marRight w:val="0"/>
          <w:marTop w:val="0"/>
          <w:marBottom w:val="0"/>
          <w:divBdr>
            <w:top w:val="none" w:sz="0" w:space="0" w:color="auto"/>
            <w:left w:val="none" w:sz="0" w:space="0" w:color="auto"/>
            <w:bottom w:val="none" w:sz="0" w:space="0" w:color="auto"/>
            <w:right w:val="none" w:sz="0" w:space="0" w:color="auto"/>
          </w:divBdr>
          <w:divsChild>
            <w:div w:id="672076656">
              <w:marLeft w:val="0"/>
              <w:marRight w:val="0"/>
              <w:marTop w:val="0"/>
              <w:marBottom w:val="0"/>
              <w:divBdr>
                <w:top w:val="none" w:sz="0" w:space="0" w:color="auto"/>
                <w:left w:val="none" w:sz="0" w:space="0" w:color="auto"/>
                <w:bottom w:val="none" w:sz="0" w:space="0" w:color="auto"/>
                <w:right w:val="none" w:sz="0" w:space="0" w:color="auto"/>
              </w:divBdr>
            </w:div>
          </w:divsChild>
        </w:div>
        <w:div w:id="1137603694">
          <w:marLeft w:val="0"/>
          <w:marRight w:val="0"/>
          <w:marTop w:val="0"/>
          <w:marBottom w:val="0"/>
          <w:divBdr>
            <w:top w:val="none" w:sz="0" w:space="0" w:color="auto"/>
            <w:left w:val="none" w:sz="0" w:space="0" w:color="auto"/>
            <w:bottom w:val="none" w:sz="0" w:space="0" w:color="auto"/>
            <w:right w:val="none" w:sz="0" w:space="0" w:color="auto"/>
          </w:divBdr>
          <w:divsChild>
            <w:div w:id="1647008926">
              <w:marLeft w:val="0"/>
              <w:marRight w:val="0"/>
              <w:marTop w:val="0"/>
              <w:marBottom w:val="0"/>
              <w:divBdr>
                <w:top w:val="none" w:sz="0" w:space="0" w:color="auto"/>
                <w:left w:val="none" w:sz="0" w:space="0" w:color="auto"/>
                <w:bottom w:val="none" w:sz="0" w:space="0" w:color="auto"/>
                <w:right w:val="none" w:sz="0" w:space="0" w:color="auto"/>
              </w:divBdr>
            </w:div>
          </w:divsChild>
        </w:div>
        <w:div w:id="1146357981">
          <w:marLeft w:val="0"/>
          <w:marRight w:val="0"/>
          <w:marTop w:val="0"/>
          <w:marBottom w:val="0"/>
          <w:divBdr>
            <w:top w:val="none" w:sz="0" w:space="0" w:color="auto"/>
            <w:left w:val="none" w:sz="0" w:space="0" w:color="auto"/>
            <w:bottom w:val="none" w:sz="0" w:space="0" w:color="auto"/>
            <w:right w:val="none" w:sz="0" w:space="0" w:color="auto"/>
          </w:divBdr>
          <w:divsChild>
            <w:div w:id="218784817">
              <w:marLeft w:val="0"/>
              <w:marRight w:val="0"/>
              <w:marTop w:val="0"/>
              <w:marBottom w:val="0"/>
              <w:divBdr>
                <w:top w:val="none" w:sz="0" w:space="0" w:color="auto"/>
                <w:left w:val="none" w:sz="0" w:space="0" w:color="auto"/>
                <w:bottom w:val="none" w:sz="0" w:space="0" w:color="auto"/>
                <w:right w:val="none" w:sz="0" w:space="0" w:color="auto"/>
              </w:divBdr>
            </w:div>
          </w:divsChild>
        </w:div>
        <w:div w:id="1147165170">
          <w:marLeft w:val="0"/>
          <w:marRight w:val="0"/>
          <w:marTop w:val="0"/>
          <w:marBottom w:val="0"/>
          <w:divBdr>
            <w:top w:val="none" w:sz="0" w:space="0" w:color="auto"/>
            <w:left w:val="none" w:sz="0" w:space="0" w:color="auto"/>
            <w:bottom w:val="none" w:sz="0" w:space="0" w:color="auto"/>
            <w:right w:val="none" w:sz="0" w:space="0" w:color="auto"/>
          </w:divBdr>
          <w:divsChild>
            <w:div w:id="109863060">
              <w:marLeft w:val="0"/>
              <w:marRight w:val="0"/>
              <w:marTop w:val="0"/>
              <w:marBottom w:val="0"/>
              <w:divBdr>
                <w:top w:val="none" w:sz="0" w:space="0" w:color="auto"/>
                <w:left w:val="none" w:sz="0" w:space="0" w:color="auto"/>
                <w:bottom w:val="none" w:sz="0" w:space="0" w:color="auto"/>
                <w:right w:val="none" w:sz="0" w:space="0" w:color="auto"/>
              </w:divBdr>
            </w:div>
          </w:divsChild>
        </w:div>
        <w:div w:id="1147478183">
          <w:marLeft w:val="0"/>
          <w:marRight w:val="0"/>
          <w:marTop w:val="0"/>
          <w:marBottom w:val="0"/>
          <w:divBdr>
            <w:top w:val="none" w:sz="0" w:space="0" w:color="auto"/>
            <w:left w:val="none" w:sz="0" w:space="0" w:color="auto"/>
            <w:bottom w:val="none" w:sz="0" w:space="0" w:color="auto"/>
            <w:right w:val="none" w:sz="0" w:space="0" w:color="auto"/>
          </w:divBdr>
          <w:divsChild>
            <w:div w:id="1074817173">
              <w:marLeft w:val="0"/>
              <w:marRight w:val="0"/>
              <w:marTop w:val="0"/>
              <w:marBottom w:val="0"/>
              <w:divBdr>
                <w:top w:val="none" w:sz="0" w:space="0" w:color="auto"/>
                <w:left w:val="none" w:sz="0" w:space="0" w:color="auto"/>
                <w:bottom w:val="none" w:sz="0" w:space="0" w:color="auto"/>
                <w:right w:val="none" w:sz="0" w:space="0" w:color="auto"/>
              </w:divBdr>
            </w:div>
          </w:divsChild>
        </w:div>
        <w:div w:id="1159231462">
          <w:marLeft w:val="0"/>
          <w:marRight w:val="0"/>
          <w:marTop w:val="0"/>
          <w:marBottom w:val="0"/>
          <w:divBdr>
            <w:top w:val="none" w:sz="0" w:space="0" w:color="auto"/>
            <w:left w:val="none" w:sz="0" w:space="0" w:color="auto"/>
            <w:bottom w:val="none" w:sz="0" w:space="0" w:color="auto"/>
            <w:right w:val="none" w:sz="0" w:space="0" w:color="auto"/>
          </w:divBdr>
          <w:divsChild>
            <w:div w:id="140466868">
              <w:marLeft w:val="0"/>
              <w:marRight w:val="0"/>
              <w:marTop w:val="0"/>
              <w:marBottom w:val="0"/>
              <w:divBdr>
                <w:top w:val="none" w:sz="0" w:space="0" w:color="auto"/>
                <w:left w:val="none" w:sz="0" w:space="0" w:color="auto"/>
                <w:bottom w:val="none" w:sz="0" w:space="0" w:color="auto"/>
                <w:right w:val="none" w:sz="0" w:space="0" w:color="auto"/>
              </w:divBdr>
            </w:div>
          </w:divsChild>
        </w:div>
        <w:div w:id="1169102422">
          <w:marLeft w:val="0"/>
          <w:marRight w:val="0"/>
          <w:marTop w:val="0"/>
          <w:marBottom w:val="0"/>
          <w:divBdr>
            <w:top w:val="none" w:sz="0" w:space="0" w:color="auto"/>
            <w:left w:val="none" w:sz="0" w:space="0" w:color="auto"/>
            <w:bottom w:val="none" w:sz="0" w:space="0" w:color="auto"/>
            <w:right w:val="none" w:sz="0" w:space="0" w:color="auto"/>
          </w:divBdr>
          <w:divsChild>
            <w:div w:id="109857045">
              <w:marLeft w:val="0"/>
              <w:marRight w:val="0"/>
              <w:marTop w:val="0"/>
              <w:marBottom w:val="0"/>
              <w:divBdr>
                <w:top w:val="none" w:sz="0" w:space="0" w:color="auto"/>
                <w:left w:val="none" w:sz="0" w:space="0" w:color="auto"/>
                <w:bottom w:val="none" w:sz="0" w:space="0" w:color="auto"/>
                <w:right w:val="none" w:sz="0" w:space="0" w:color="auto"/>
              </w:divBdr>
            </w:div>
          </w:divsChild>
        </w:div>
        <w:div w:id="1181511428">
          <w:marLeft w:val="0"/>
          <w:marRight w:val="0"/>
          <w:marTop w:val="0"/>
          <w:marBottom w:val="0"/>
          <w:divBdr>
            <w:top w:val="none" w:sz="0" w:space="0" w:color="auto"/>
            <w:left w:val="none" w:sz="0" w:space="0" w:color="auto"/>
            <w:bottom w:val="none" w:sz="0" w:space="0" w:color="auto"/>
            <w:right w:val="none" w:sz="0" w:space="0" w:color="auto"/>
          </w:divBdr>
          <w:divsChild>
            <w:div w:id="558325755">
              <w:marLeft w:val="0"/>
              <w:marRight w:val="0"/>
              <w:marTop w:val="0"/>
              <w:marBottom w:val="0"/>
              <w:divBdr>
                <w:top w:val="none" w:sz="0" w:space="0" w:color="auto"/>
                <w:left w:val="none" w:sz="0" w:space="0" w:color="auto"/>
                <w:bottom w:val="none" w:sz="0" w:space="0" w:color="auto"/>
                <w:right w:val="none" w:sz="0" w:space="0" w:color="auto"/>
              </w:divBdr>
            </w:div>
          </w:divsChild>
        </w:div>
        <w:div w:id="1192574036">
          <w:marLeft w:val="0"/>
          <w:marRight w:val="0"/>
          <w:marTop w:val="0"/>
          <w:marBottom w:val="0"/>
          <w:divBdr>
            <w:top w:val="none" w:sz="0" w:space="0" w:color="auto"/>
            <w:left w:val="none" w:sz="0" w:space="0" w:color="auto"/>
            <w:bottom w:val="none" w:sz="0" w:space="0" w:color="auto"/>
            <w:right w:val="none" w:sz="0" w:space="0" w:color="auto"/>
          </w:divBdr>
          <w:divsChild>
            <w:div w:id="1833252206">
              <w:marLeft w:val="0"/>
              <w:marRight w:val="0"/>
              <w:marTop w:val="0"/>
              <w:marBottom w:val="0"/>
              <w:divBdr>
                <w:top w:val="none" w:sz="0" w:space="0" w:color="auto"/>
                <w:left w:val="none" w:sz="0" w:space="0" w:color="auto"/>
                <w:bottom w:val="none" w:sz="0" w:space="0" w:color="auto"/>
                <w:right w:val="none" w:sz="0" w:space="0" w:color="auto"/>
              </w:divBdr>
            </w:div>
          </w:divsChild>
        </w:div>
        <w:div w:id="1193229305">
          <w:marLeft w:val="0"/>
          <w:marRight w:val="0"/>
          <w:marTop w:val="0"/>
          <w:marBottom w:val="0"/>
          <w:divBdr>
            <w:top w:val="none" w:sz="0" w:space="0" w:color="auto"/>
            <w:left w:val="none" w:sz="0" w:space="0" w:color="auto"/>
            <w:bottom w:val="none" w:sz="0" w:space="0" w:color="auto"/>
            <w:right w:val="none" w:sz="0" w:space="0" w:color="auto"/>
          </w:divBdr>
          <w:divsChild>
            <w:div w:id="501354659">
              <w:marLeft w:val="0"/>
              <w:marRight w:val="0"/>
              <w:marTop w:val="0"/>
              <w:marBottom w:val="0"/>
              <w:divBdr>
                <w:top w:val="none" w:sz="0" w:space="0" w:color="auto"/>
                <w:left w:val="none" w:sz="0" w:space="0" w:color="auto"/>
                <w:bottom w:val="none" w:sz="0" w:space="0" w:color="auto"/>
                <w:right w:val="none" w:sz="0" w:space="0" w:color="auto"/>
              </w:divBdr>
            </w:div>
          </w:divsChild>
        </w:div>
        <w:div w:id="1198079534">
          <w:marLeft w:val="0"/>
          <w:marRight w:val="0"/>
          <w:marTop w:val="0"/>
          <w:marBottom w:val="0"/>
          <w:divBdr>
            <w:top w:val="none" w:sz="0" w:space="0" w:color="auto"/>
            <w:left w:val="none" w:sz="0" w:space="0" w:color="auto"/>
            <w:bottom w:val="none" w:sz="0" w:space="0" w:color="auto"/>
            <w:right w:val="none" w:sz="0" w:space="0" w:color="auto"/>
          </w:divBdr>
          <w:divsChild>
            <w:div w:id="1628467917">
              <w:marLeft w:val="0"/>
              <w:marRight w:val="0"/>
              <w:marTop w:val="0"/>
              <w:marBottom w:val="0"/>
              <w:divBdr>
                <w:top w:val="none" w:sz="0" w:space="0" w:color="auto"/>
                <w:left w:val="none" w:sz="0" w:space="0" w:color="auto"/>
                <w:bottom w:val="none" w:sz="0" w:space="0" w:color="auto"/>
                <w:right w:val="none" w:sz="0" w:space="0" w:color="auto"/>
              </w:divBdr>
            </w:div>
          </w:divsChild>
        </w:div>
        <w:div w:id="1206870028">
          <w:marLeft w:val="0"/>
          <w:marRight w:val="0"/>
          <w:marTop w:val="0"/>
          <w:marBottom w:val="0"/>
          <w:divBdr>
            <w:top w:val="none" w:sz="0" w:space="0" w:color="auto"/>
            <w:left w:val="none" w:sz="0" w:space="0" w:color="auto"/>
            <w:bottom w:val="none" w:sz="0" w:space="0" w:color="auto"/>
            <w:right w:val="none" w:sz="0" w:space="0" w:color="auto"/>
          </w:divBdr>
          <w:divsChild>
            <w:div w:id="1994409967">
              <w:marLeft w:val="0"/>
              <w:marRight w:val="0"/>
              <w:marTop w:val="0"/>
              <w:marBottom w:val="0"/>
              <w:divBdr>
                <w:top w:val="none" w:sz="0" w:space="0" w:color="auto"/>
                <w:left w:val="none" w:sz="0" w:space="0" w:color="auto"/>
                <w:bottom w:val="none" w:sz="0" w:space="0" w:color="auto"/>
                <w:right w:val="none" w:sz="0" w:space="0" w:color="auto"/>
              </w:divBdr>
            </w:div>
          </w:divsChild>
        </w:div>
        <w:div w:id="1221750921">
          <w:marLeft w:val="0"/>
          <w:marRight w:val="0"/>
          <w:marTop w:val="0"/>
          <w:marBottom w:val="0"/>
          <w:divBdr>
            <w:top w:val="none" w:sz="0" w:space="0" w:color="auto"/>
            <w:left w:val="none" w:sz="0" w:space="0" w:color="auto"/>
            <w:bottom w:val="none" w:sz="0" w:space="0" w:color="auto"/>
            <w:right w:val="none" w:sz="0" w:space="0" w:color="auto"/>
          </w:divBdr>
          <w:divsChild>
            <w:div w:id="1067454717">
              <w:marLeft w:val="0"/>
              <w:marRight w:val="0"/>
              <w:marTop w:val="0"/>
              <w:marBottom w:val="0"/>
              <w:divBdr>
                <w:top w:val="none" w:sz="0" w:space="0" w:color="auto"/>
                <w:left w:val="none" w:sz="0" w:space="0" w:color="auto"/>
                <w:bottom w:val="none" w:sz="0" w:space="0" w:color="auto"/>
                <w:right w:val="none" w:sz="0" w:space="0" w:color="auto"/>
              </w:divBdr>
            </w:div>
          </w:divsChild>
        </w:div>
        <w:div w:id="1231966501">
          <w:marLeft w:val="0"/>
          <w:marRight w:val="0"/>
          <w:marTop w:val="0"/>
          <w:marBottom w:val="0"/>
          <w:divBdr>
            <w:top w:val="none" w:sz="0" w:space="0" w:color="auto"/>
            <w:left w:val="none" w:sz="0" w:space="0" w:color="auto"/>
            <w:bottom w:val="none" w:sz="0" w:space="0" w:color="auto"/>
            <w:right w:val="none" w:sz="0" w:space="0" w:color="auto"/>
          </w:divBdr>
          <w:divsChild>
            <w:div w:id="1101413792">
              <w:marLeft w:val="0"/>
              <w:marRight w:val="0"/>
              <w:marTop w:val="0"/>
              <w:marBottom w:val="0"/>
              <w:divBdr>
                <w:top w:val="none" w:sz="0" w:space="0" w:color="auto"/>
                <w:left w:val="none" w:sz="0" w:space="0" w:color="auto"/>
                <w:bottom w:val="none" w:sz="0" w:space="0" w:color="auto"/>
                <w:right w:val="none" w:sz="0" w:space="0" w:color="auto"/>
              </w:divBdr>
            </w:div>
          </w:divsChild>
        </w:div>
        <w:div w:id="1237864580">
          <w:marLeft w:val="0"/>
          <w:marRight w:val="0"/>
          <w:marTop w:val="0"/>
          <w:marBottom w:val="0"/>
          <w:divBdr>
            <w:top w:val="none" w:sz="0" w:space="0" w:color="auto"/>
            <w:left w:val="none" w:sz="0" w:space="0" w:color="auto"/>
            <w:bottom w:val="none" w:sz="0" w:space="0" w:color="auto"/>
            <w:right w:val="none" w:sz="0" w:space="0" w:color="auto"/>
          </w:divBdr>
          <w:divsChild>
            <w:div w:id="738946157">
              <w:marLeft w:val="0"/>
              <w:marRight w:val="0"/>
              <w:marTop w:val="0"/>
              <w:marBottom w:val="0"/>
              <w:divBdr>
                <w:top w:val="none" w:sz="0" w:space="0" w:color="auto"/>
                <w:left w:val="none" w:sz="0" w:space="0" w:color="auto"/>
                <w:bottom w:val="none" w:sz="0" w:space="0" w:color="auto"/>
                <w:right w:val="none" w:sz="0" w:space="0" w:color="auto"/>
              </w:divBdr>
            </w:div>
          </w:divsChild>
        </w:div>
        <w:div w:id="1238711388">
          <w:marLeft w:val="0"/>
          <w:marRight w:val="0"/>
          <w:marTop w:val="0"/>
          <w:marBottom w:val="0"/>
          <w:divBdr>
            <w:top w:val="none" w:sz="0" w:space="0" w:color="auto"/>
            <w:left w:val="none" w:sz="0" w:space="0" w:color="auto"/>
            <w:bottom w:val="none" w:sz="0" w:space="0" w:color="auto"/>
            <w:right w:val="none" w:sz="0" w:space="0" w:color="auto"/>
          </w:divBdr>
          <w:divsChild>
            <w:div w:id="2039622210">
              <w:marLeft w:val="0"/>
              <w:marRight w:val="0"/>
              <w:marTop w:val="0"/>
              <w:marBottom w:val="0"/>
              <w:divBdr>
                <w:top w:val="none" w:sz="0" w:space="0" w:color="auto"/>
                <w:left w:val="none" w:sz="0" w:space="0" w:color="auto"/>
                <w:bottom w:val="none" w:sz="0" w:space="0" w:color="auto"/>
                <w:right w:val="none" w:sz="0" w:space="0" w:color="auto"/>
              </w:divBdr>
            </w:div>
          </w:divsChild>
        </w:div>
        <w:div w:id="1243753377">
          <w:marLeft w:val="0"/>
          <w:marRight w:val="0"/>
          <w:marTop w:val="0"/>
          <w:marBottom w:val="0"/>
          <w:divBdr>
            <w:top w:val="none" w:sz="0" w:space="0" w:color="auto"/>
            <w:left w:val="none" w:sz="0" w:space="0" w:color="auto"/>
            <w:bottom w:val="none" w:sz="0" w:space="0" w:color="auto"/>
            <w:right w:val="none" w:sz="0" w:space="0" w:color="auto"/>
          </w:divBdr>
          <w:divsChild>
            <w:div w:id="2028939746">
              <w:marLeft w:val="0"/>
              <w:marRight w:val="0"/>
              <w:marTop w:val="0"/>
              <w:marBottom w:val="0"/>
              <w:divBdr>
                <w:top w:val="none" w:sz="0" w:space="0" w:color="auto"/>
                <w:left w:val="none" w:sz="0" w:space="0" w:color="auto"/>
                <w:bottom w:val="none" w:sz="0" w:space="0" w:color="auto"/>
                <w:right w:val="none" w:sz="0" w:space="0" w:color="auto"/>
              </w:divBdr>
            </w:div>
          </w:divsChild>
        </w:div>
        <w:div w:id="1244294555">
          <w:marLeft w:val="0"/>
          <w:marRight w:val="0"/>
          <w:marTop w:val="0"/>
          <w:marBottom w:val="0"/>
          <w:divBdr>
            <w:top w:val="none" w:sz="0" w:space="0" w:color="auto"/>
            <w:left w:val="none" w:sz="0" w:space="0" w:color="auto"/>
            <w:bottom w:val="none" w:sz="0" w:space="0" w:color="auto"/>
            <w:right w:val="none" w:sz="0" w:space="0" w:color="auto"/>
          </w:divBdr>
          <w:divsChild>
            <w:div w:id="1047341211">
              <w:marLeft w:val="0"/>
              <w:marRight w:val="0"/>
              <w:marTop w:val="0"/>
              <w:marBottom w:val="0"/>
              <w:divBdr>
                <w:top w:val="none" w:sz="0" w:space="0" w:color="auto"/>
                <w:left w:val="none" w:sz="0" w:space="0" w:color="auto"/>
                <w:bottom w:val="none" w:sz="0" w:space="0" w:color="auto"/>
                <w:right w:val="none" w:sz="0" w:space="0" w:color="auto"/>
              </w:divBdr>
            </w:div>
          </w:divsChild>
        </w:div>
        <w:div w:id="1244684166">
          <w:marLeft w:val="0"/>
          <w:marRight w:val="0"/>
          <w:marTop w:val="0"/>
          <w:marBottom w:val="0"/>
          <w:divBdr>
            <w:top w:val="none" w:sz="0" w:space="0" w:color="auto"/>
            <w:left w:val="none" w:sz="0" w:space="0" w:color="auto"/>
            <w:bottom w:val="none" w:sz="0" w:space="0" w:color="auto"/>
            <w:right w:val="none" w:sz="0" w:space="0" w:color="auto"/>
          </w:divBdr>
          <w:divsChild>
            <w:div w:id="576666727">
              <w:marLeft w:val="0"/>
              <w:marRight w:val="0"/>
              <w:marTop w:val="0"/>
              <w:marBottom w:val="0"/>
              <w:divBdr>
                <w:top w:val="none" w:sz="0" w:space="0" w:color="auto"/>
                <w:left w:val="none" w:sz="0" w:space="0" w:color="auto"/>
                <w:bottom w:val="none" w:sz="0" w:space="0" w:color="auto"/>
                <w:right w:val="none" w:sz="0" w:space="0" w:color="auto"/>
              </w:divBdr>
            </w:div>
          </w:divsChild>
        </w:div>
        <w:div w:id="1249148840">
          <w:marLeft w:val="0"/>
          <w:marRight w:val="0"/>
          <w:marTop w:val="0"/>
          <w:marBottom w:val="0"/>
          <w:divBdr>
            <w:top w:val="none" w:sz="0" w:space="0" w:color="auto"/>
            <w:left w:val="none" w:sz="0" w:space="0" w:color="auto"/>
            <w:bottom w:val="none" w:sz="0" w:space="0" w:color="auto"/>
            <w:right w:val="none" w:sz="0" w:space="0" w:color="auto"/>
          </w:divBdr>
          <w:divsChild>
            <w:div w:id="844055105">
              <w:marLeft w:val="0"/>
              <w:marRight w:val="0"/>
              <w:marTop w:val="0"/>
              <w:marBottom w:val="0"/>
              <w:divBdr>
                <w:top w:val="none" w:sz="0" w:space="0" w:color="auto"/>
                <w:left w:val="none" w:sz="0" w:space="0" w:color="auto"/>
                <w:bottom w:val="none" w:sz="0" w:space="0" w:color="auto"/>
                <w:right w:val="none" w:sz="0" w:space="0" w:color="auto"/>
              </w:divBdr>
            </w:div>
          </w:divsChild>
        </w:div>
        <w:div w:id="1253709298">
          <w:marLeft w:val="0"/>
          <w:marRight w:val="0"/>
          <w:marTop w:val="0"/>
          <w:marBottom w:val="0"/>
          <w:divBdr>
            <w:top w:val="none" w:sz="0" w:space="0" w:color="auto"/>
            <w:left w:val="none" w:sz="0" w:space="0" w:color="auto"/>
            <w:bottom w:val="none" w:sz="0" w:space="0" w:color="auto"/>
            <w:right w:val="none" w:sz="0" w:space="0" w:color="auto"/>
          </w:divBdr>
          <w:divsChild>
            <w:div w:id="416441643">
              <w:marLeft w:val="0"/>
              <w:marRight w:val="0"/>
              <w:marTop w:val="0"/>
              <w:marBottom w:val="0"/>
              <w:divBdr>
                <w:top w:val="none" w:sz="0" w:space="0" w:color="auto"/>
                <w:left w:val="none" w:sz="0" w:space="0" w:color="auto"/>
                <w:bottom w:val="none" w:sz="0" w:space="0" w:color="auto"/>
                <w:right w:val="none" w:sz="0" w:space="0" w:color="auto"/>
              </w:divBdr>
            </w:div>
          </w:divsChild>
        </w:div>
        <w:div w:id="1253734070">
          <w:marLeft w:val="0"/>
          <w:marRight w:val="0"/>
          <w:marTop w:val="0"/>
          <w:marBottom w:val="0"/>
          <w:divBdr>
            <w:top w:val="none" w:sz="0" w:space="0" w:color="auto"/>
            <w:left w:val="none" w:sz="0" w:space="0" w:color="auto"/>
            <w:bottom w:val="none" w:sz="0" w:space="0" w:color="auto"/>
            <w:right w:val="none" w:sz="0" w:space="0" w:color="auto"/>
          </w:divBdr>
          <w:divsChild>
            <w:div w:id="1216283176">
              <w:marLeft w:val="0"/>
              <w:marRight w:val="0"/>
              <w:marTop w:val="0"/>
              <w:marBottom w:val="0"/>
              <w:divBdr>
                <w:top w:val="none" w:sz="0" w:space="0" w:color="auto"/>
                <w:left w:val="none" w:sz="0" w:space="0" w:color="auto"/>
                <w:bottom w:val="none" w:sz="0" w:space="0" w:color="auto"/>
                <w:right w:val="none" w:sz="0" w:space="0" w:color="auto"/>
              </w:divBdr>
            </w:div>
          </w:divsChild>
        </w:div>
        <w:div w:id="1259866852">
          <w:marLeft w:val="0"/>
          <w:marRight w:val="0"/>
          <w:marTop w:val="0"/>
          <w:marBottom w:val="0"/>
          <w:divBdr>
            <w:top w:val="none" w:sz="0" w:space="0" w:color="auto"/>
            <w:left w:val="none" w:sz="0" w:space="0" w:color="auto"/>
            <w:bottom w:val="none" w:sz="0" w:space="0" w:color="auto"/>
            <w:right w:val="none" w:sz="0" w:space="0" w:color="auto"/>
          </w:divBdr>
          <w:divsChild>
            <w:div w:id="1761367612">
              <w:marLeft w:val="0"/>
              <w:marRight w:val="0"/>
              <w:marTop w:val="0"/>
              <w:marBottom w:val="0"/>
              <w:divBdr>
                <w:top w:val="none" w:sz="0" w:space="0" w:color="auto"/>
                <w:left w:val="none" w:sz="0" w:space="0" w:color="auto"/>
                <w:bottom w:val="none" w:sz="0" w:space="0" w:color="auto"/>
                <w:right w:val="none" w:sz="0" w:space="0" w:color="auto"/>
              </w:divBdr>
            </w:div>
          </w:divsChild>
        </w:div>
        <w:div w:id="1264729597">
          <w:marLeft w:val="0"/>
          <w:marRight w:val="0"/>
          <w:marTop w:val="0"/>
          <w:marBottom w:val="0"/>
          <w:divBdr>
            <w:top w:val="none" w:sz="0" w:space="0" w:color="auto"/>
            <w:left w:val="none" w:sz="0" w:space="0" w:color="auto"/>
            <w:bottom w:val="none" w:sz="0" w:space="0" w:color="auto"/>
            <w:right w:val="none" w:sz="0" w:space="0" w:color="auto"/>
          </w:divBdr>
          <w:divsChild>
            <w:div w:id="947011433">
              <w:marLeft w:val="0"/>
              <w:marRight w:val="0"/>
              <w:marTop w:val="0"/>
              <w:marBottom w:val="0"/>
              <w:divBdr>
                <w:top w:val="none" w:sz="0" w:space="0" w:color="auto"/>
                <w:left w:val="none" w:sz="0" w:space="0" w:color="auto"/>
                <w:bottom w:val="none" w:sz="0" w:space="0" w:color="auto"/>
                <w:right w:val="none" w:sz="0" w:space="0" w:color="auto"/>
              </w:divBdr>
            </w:div>
          </w:divsChild>
        </w:div>
        <w:div w:id="1270815807">
          <w:marLeft w:val="0"/>
          <w:marRight w:val="0"/>
          <w:marTop w:val="0"/>
          <w:marBottom w:val="0"/>
          <w:divBdr>
            <w:top w:val="none" w:sz="0" w:space="0" w:color="auto"/>
            <w:left w:val="none" w:sz="0" w:space="0" w:color="auto"/>
            <w:bottom w:val="none" w:sz="0" w:space="0" w:color="auto"/>
            <w:right w:val="none" w:sz="0" w:space="0" w:color="auto"/>
          </w:divBdr>
          <w:divsChild>
            <w:div w:id="1830830053">
              <w:marLeft w:val="0"/>
              <w:marRight w:val="0"/>
              <w:marTop w:val="0"/>
              <w:marBottom w:val="0"/>
              <w:divBdr>
                <w:top w:val="none" w:sz="0" w:space="0" w:color="auto"/>
                <w:left w:val="none" w:sz="0" w:space="0" w:color="auto"/>
                <w:bottom w:val="none" w:sz="0" w:space="0" w:color="auto"/>
                <w:right w:val="none" w:sz="0" w:space="0" w:color="auto"/>
              </w:divBdr>
            </w:div>
          </w:divsChild>
        </w:div>
        <w:div w:id="1272593495">
          <w:marLeft w:val="0"/>
          <w:marRight w:val="0"/>
          <w:marTop w:val="0"/>
          <w:marBottom w:val="0"/>
          <w:divBdr>
            <w:top w:val="none" w:sz="0" w:space="0" w:color="auto"/>
            <w:left w:val="none" w:sz="0" w:space="0" w:color="auto"/>
            <w:bottom w:val="none" w:sz="0" w:space="0" w:color="auto"/>
            <w:right w:val="none" w:sz="0" w:space="0" w:color="auto"/>
          </w:divBdr>
          <w:divsChild>
            <w:div w:id="817067789">
              <w:marLeft w:val="0"/>
              <w:marRight w:val="0"/>
              <w:marTop w:val="0"/>
              <w:marBottom w:val="0"/>
              <w:divBdr>
                <w:top w:val="none" w:sz="0" w:space="0" w:color="auto"/>
                <w:left w:val="none" w:sz="0" w:space="0" w:color="auto"/>
                <w:bottom w:val="none" w:sz="0" w:space="0" w:color="auto"/>
                <w:right w:val="none" w:sz="0" w:space="0" w:color="auto"/>
              </w:divBdr>
            </w:div>
          </w:divsChild>
        </w:div>
        <w:div w:id="1278368149">
          <w:marLeft w:val="0"/>
          <w:marRight w:val="0"/>
          <w:marTop w:val="0"/>
          <w:marBottom w:val="0"/>
          <w:divBdr>
            <w:top w:val="none" w:sz="0" w:space="0" w:color="auto"/>
            <w:left w:val="none" w:sz="0" w:space="0" w:color="auto"/>
            <w:bottom w:val="none" w:sz="0" w:space="0" w:color="auto"/>
            <w:right w:val="none" w:sz="0" w:space="0" w:color="auto"/>
          </w:divBdr>
          <w:divsChild>
            <w:div w:id="1072385718">
              <w:marLeft w:val="0"/>
              <w:marRight w:val="0"/>
              <w:marTop w:val="0"/>
              <w:marBottom w:val="0"/>
              <w:divBdr>
                <w:top w:val="none" w:sz="0" w:space="0" w:color="auto"/>
                <w:left w:val="none" w:sz="0" w:space="0" w:color="auto"/>
                <w:bottom w:val="none" w:sz="0" w:space="0" w:color="auto"/>
                <w:right w:val="none" w:sz="0" w:space="0" w:color="auto"/>
              </w:divBdr>
            </w:div>
          </w:divsChild>
        </w:div>
        <w:div w:id="1279485727">
          <w:marLeft w:val="0"/>
          <w:marRight w:val="0"/>
          <w:marTop w:val="0"/>
          <w:marBottom w:val="0"/>
          <w:divBdr>
            <w:top w:val="none" w:sz="0" w:space="0" w:color="auto"/>
            <w:left w:val="none" w:sz="0" w:space="0" w:color="auto"/>
            <w:bottom w:val="none" w:sz="0" w:space="0" w:color="auto"/>
            <w:right w:val="none" w:sz="0" w:space="0" w:color="auto"/>
          </w:divBdr>
          <w:divsChild>
            <w:div w:id="1525358669">
              <w:marLeft w:val="0"/>
              <w:marRight w:val="0"/>
              <w:marTop w:val="0"/>
              <w:marBottom w:val="0"/>
              <w:divBdr>
                <w:top w:val="none" w:sz="0" w:space="0" w:color="auto"/>
                <w:left w:val="none" w:sz="0" w:space="0" w:color="auto"/>
                <w:bottom w:val="none" w:sz="0" w:space="0" w:color="auto"/>
                <w:right w:val="none" w:sz="0" w:space="0" w:color="auto"/>
              </w:divBdr>
            </w:div>
          </w:divsChild>
        </w:div>
        <w:div w:id="1282885166">
          <w:marLeft w:val="0"/>
          <w:marRight w:val="0"/>
          <w:marTop w:val="0"/>
          <w:marBottom w:val="0"/>
          <w:divBdr>
            <w:top w:val="none" w:sz="0" w:space="0" w:color="auto"/>
            <w:left w:val="none" w:sz="0" w:space="0" w:color="auto"/>
            <w:bottom w:val="none" w:sz="0" w:space="0" w:color="auto"/>
            <w:right w:val="none" w:sz="0" w:space="0" w:color="auto"/>
          </w:divBdr>
          <w:divsChild>
            <w:div w:id="1045831240">
              <w:marLeft w:val="0"/>
              <w:marRight w:val="0"/>
              <w:marTop w:val="0"/>
              <w:marBottom w:val="0"/>
              <w:divBdr>
                <w:top w:val="none" w:sz="0" w:space="0" w:color="auto"/>
                <w:left w:val="none" w:sz="0" w:space="0" w:color="auto"/>
                <w:bottom w:val="none" w:sz="0" w:space="0" w:color="auto"/>
                <w:right w:val="none" w:sz="0" w:space="0" w:color="auto"/>
              </w:divBdr>
            </w:div>
          </w:divsChild>
        </w:div>
        <w:div w:id="1290471019">
          <w:marLeft w:val="0"/>
          <w:marRight w:val="0"/>
          <w:marTop w:val="0"/>
          <w:marBottom w:val="0"/>
          <w:divBdr>
            <w:top w:val="none" w:sz="0" w:space="0" w:color="auto"/>
            <w:left w:val="none" w:sz="0" w:space="0" w:color="auto"/>
            <w:bottom w:val="none" w:sz="0" w:space="0" w:color="auto"/>
            <w:right w:val="none" w:sz="0" w:space="0" w:color="auto"/>
          </w:divBdr>
          <w:divsChild>
            <w:div w:id="1051228791">
              <w:marLeft w:val="0"/>
              <w:marRight w:val="0"/>
              <w:marTop w:val="0"/>
              <w:marBottom w:val="0"/>
              <w:divBdr>
                <w:top w:val="none" w:sz="0" w:space="0" w:color="auto"/>
                <w:left w:val="none" w:sz="0" w:space="0" w:color="auto"/>
                <w:bottom w:val="none" w:sz="0" w:space="0" w:color="auto"/>
                <w:right w:val="none" w:sz="0" w:space="0" w:color="auto"/>
              </w:divBdr>
            </w:div>
          </w:divsChild>
        </w:div>
        <w:div w:id="1303850065">
          <w:marLeft w:val="0"/>
          <w:marRight w:val="0"/>
          <w:marTop w:val="0"/>
          <w:marBottom w:val="0"/>
          <w:divBdr>
            <w:top w:val="none" w:sz="0" w:space="0" w:color="auto"/>
            <w:left w:val="none" w:sz="0" w:space="0" w:color="auto"/>
            <w:bottom w:val="none" w:sz="0" w:space="0" w:color="auto"/>
            <w:right w:val="none" w:sz="0" w:space="0" w:color="auto"/>
          </w:divBdr>
          <w:divsChild>
            <w:div w:id="1466464376">
              <w:marLeft w:val="0"/>
              <w:marRight w:val="0"/>
              <w:marTop w:val="0"/>
              <w:marBottom w:val="0"/>
              <w:divBdr>
                <w:top w:val="none" w:sz="0" w:space="0" w:color="auto"/>
                <w:left w:val="none" w:sz="0" w:space="0" w:color="auto"/>
                <w:bottom w:val="none" w:sz="0" w:space="0" w:color="auto"/>
                <w:right w:val="none" w:sz="0" w:space="0" w:color="auto"/>
              </w:divBdr>
            </w:div>
          </w:divsChild>
        </w:div>
        <w:div w:id="1304965030">
          <w:marLeft w:val="0"/>
          <w:marRight w:val="0"/>
          <w:marTop w:val="0"/>
          <w:marBottom w:val="0"/>
          <w:divBdr>
            <w:top w:val="none" w:sz="0" w:space="0" w:color="auto"/>
            <w:left w:val="none" w:sz="0" w:space="0" w:color="auto"/>
            <w:bottom w:val="none" w:sz="0" w:space="0" w:color="auto"/>
            <w:right w:val="none" w:sz="0" w:space="0" w:color="auto"/>
          </w:divBdr>
          <w:divsChild>
            <w:div w:id="1429498776">
              <w:marLeft w:val="0"/>
              <w:marRight w:val="0"/>
              <w:marTop w:val="0"/>
              <w:marBottom w:val="0"/>
              <w:divBdr>
                <w:top w:val="none" w:sz="0" w:space="0" w:color="auto"/>
                <w:left w:val="none" w:sz="0" w:space="0" w:color="auto"/>
                <w:bottom w:val="none" w:sz="0" w:space="0" w:color="auto"/>
                <w:right w:val="none" w:sz="0" w:space="0" w:color="auto"/>
              </w:divBdr>
            </w:div>
          </w:divsChild>
        </w:div>
        <w:div w:id="1317414934">
          <w:marLeft w:val="0"/>
          <w:marRight w:val="0"/>
          <w:marTop w:val="0"/>
          <w:marBottom w:val="0"/>
          <w:divBdr>
            <w:top w:val="none" w:sz="0" w:space="0" w:color="auto"/>
            <w:left w:val="none" w:sz="0" w:space="0" w:color="auto"/>
            <w:bottom w:val="none" w:sz="0" w:space="0" w:color="auto"/>
            <w:right w:val="none" w:sz="0" w:space="0" w:color="auto"/>
          </w:divBdr>
          <w:divsChild>
            <w:div w:id="462424177">
              <w:marLeft w:val="0"/>
              <w:marRight w:val="0"/>
              <w:marTop w:val="0"/>
              <w:marBottom w:val="0"/>
              <w:divBdr>
                <w:top w:val="none" w:sz="0" w:space="0" w:color="auto"/>
                <w:left w:val="none" w:sz="0" w:space="0" w:color="auto"/>
                <w:bottom w:val="none" w:sz="0" w:space="0" w:color="auto"/>
                <w:right w:val="none" w:sz="0" w:space="0" w:color="auto"/>
              </w:divBdr>
            </w:div>
          </w:divsChild>
        </w:div>
        <w:div w:id="1322536411">
          <w:marLeft w:val="0"/>
          <w:marRight w:val="0"/>
          <w:marTop w:val="0"/>
          <w:marBottom w:val="0"/>
          <w:divBdr>
            <w:top w:val="none" w:sz="0" w:space="0" w:color="auto"/>
            <w:left w:val="none" w:sz="0" w:space="0" w:color="auto"/>
            <w:bottom w:val="none" w:sz="0" w:space="0" w:color="auto"/>
            <w:right w:val="none" w:sz="0" w:space="0" w:color="auto"/>
          </w:divBdr>
          <w:divsChild>
            <w:div w:id="111440576">
              <w:marLeft w:val="0"/>
              <w:marRight w:val="0"/>
              <w:marTop w:val="0"/>
              <w:marBottom w:val="0"/>
              <w:divBdr>
                <w:top w:val="none" w:sz="0" w:space="0" w:color="auto"/>
                <w:left w:val="none" w:sz="0" w:space="0" w:color="auto"/>
                <w:bottom w:val="none" w:sz="0" w:space="0" w:color="auto"/>
                <w:right w:val="none" w:sz="0" w:space="0" w:color="auto"/>
              </w:divBdr>
            </w:div>
          </w:divsChild>
        </w:div>
        <w:div w:id="1324433925">
          <w:marLeft w:val="0"/>
          <w:marRight w:val="0"/>
          <w:marTop w:val="0"/>
          <w:marBottom w:val="0"/>
          <w:divBdr>
            <w:top w:val="none" w:sz="0" w:space="0" w:color="auto"/>
            <w:left w:val="none" w:sz="0" w:space="0" w:color="auto"/>
            <w:bottom w:val="none" w:sz="0" w:space="0" w:color="auto"/>
            <w:right w:val="none" w:sz="0" w:space="0" w:color="auto"/>
          </w:divBdr>
          <w:divsChild>
            <w:div w:id="1250311021">
              <w:marLeft w:val="0"/>
              <w:marRight w:val="0"/>
              <w:marTop w:val="0"/>
              <w:marBottom w:val="0"/>
              <w:divBdr>
                <w:top w:val="none" w:sz="0" w:space="0" w:color="auto"/>
                <w:left w:val="none" w:sz="0" w:space="0" w:color="auto"/>
                <w:bottom w:val="none" w:sz="0" w:space="0" w:color="auto"/>
                <w:right w:val="none" w:sz="0" w:space="0" w:color="auto"/>
              </w:divBdr>
            </w:div>
          </w:divsChild>
        </w:div>
        <w:div w:id="1326083271">
          <w:marLeft w:val="0"/>
          <w:marRight w:val="0"/>
          <w:marTop w:val="0"/>
          <w:marBottom w:val="0"/>
          <w:divBdr>
            <w:top w:val="none" w:sz="0" w:space="0" w:color="auto"/>
            <w:left w:val="none" w:sz="0" w:space="0" w:color="auto"/>
            <w:bottom w:val="none" w:sz="0" w:space="0" w:color="auto"/>
            <w:right w:val="none" w:sz="0" w:space="0" w:color="auto"/>
          </w:divBdr>
          <w:divsChild>
            <w:div w:id="109397109">
              <w:marLeft w:val="0"/>
              <w:marRight w:val="0"/>
              <w:marTop w:val="0"/>
              <w:marBottom w:val="0"/>
              <w:divBdr>
                <w:top w:val="none" w:sz="0" w:space="0" w:color="auto"/>
                <w:left w:val="none" w:sz="0" w:space="0" w:color="auto"/>
                <w:bottom w:val="none" w:sz="0" w:space="0" w:color="auto"/>
                <w:right w:val="none" w:sz="0" w:space="0" w:color="auto"/>
              </w:divBdr>
            </w:div>
          </w:divsChild>
        </w:div>
        <w:div w:id="1331103049">
          <w:marLeft w:val="0"/>
          <w:marRight w:val="0"/>
          <w:marTop w:val="0"/>
          <w:marBottom w:val="0"/>
          <w:divBdr>
            <w:top w:val="none" w:sz="0" w:space="0" w:color="auto"/>
            <w:left w:val="none" w:sz="0" w:space="0" w:color="auto"/>
            <w:bottom w:val="none" w:sz="0" w:space="0" w:color="auto"/>
            <w:right w:val="none" w:sz="0" w:space="0" w:color="auto"/>
          </w:divBdr>
          <w:divsChild>
            <w:div w:id="1810976625">
              <w:marLeft w:val="0"/>
              <w:marRight w:val="0"/>
              <w:marTop w:val="0"/>
              <w:marBottom w:val="0"/>
              <w:divBdr>
                <w:top w:val="none" w:sz="0" w:space="0" w:color="auto"/>
                <w:left w:val="none" w:sz="0" w:space="0" w:color="auto"/>
                <w:bottom w:val="none" w:sz="0" w:space="0" w:color="auto"/>
                <w:right w:val="none" w:sz="0" w:space="0" w:color="auto"/>
              </w:divBdr>
            </w:div>
          </w:divsChild>
        </w:div>
        <w:div w:id="1339893769">
          <w:marLeft w:val="0"/>
          <w:marRight w:val="0"/>
          <w:marTop w:val="0"/>
          <w:marBottom w:val="0"/>
          <w:divBdr>
            <w:top w:val="none" w:sz="0" w:space="0" w:color="auto"/>
            <w:left w:val="none" w:sz="0" w:space="0" w:color="auto"/>
            <w:bottom w:val="none" w:sz="0" w:space="0" w:color="auto"/>
            <w:right w:val="none" w:sz="0" w:space="0" w:color="auto"/>
          </w:divBdr>
          <w:divsChild>
            <w:div w:id="1911501639">
              <w:marLeft w:val="0"/>
              <w:marRight w:val="0"/>
              <w:marTop w:val="0"/>
              <w:marBottom w:val="0"/>
              <w:divBdr>
                <w:top w:val="none" w:sz="0" w:space="0" w:color="auto"/>
                <w:left w:val="none" w:sz="0" w:space="0" w:color="auto"/>
                <w:bottom w:val="none" w:sz="0" w:space="0" w:color="auto"/>
                <w:right w:val="none" w:sz="0" w:space="0" w:color="auto"/>
              </w:divBdr>
            </w:div>
          </w:divsChild>
        </w:div>
        <w:div w:id="1348558383">
          <w:marLeft w:val="0"/>
          <w:marRight w:val="0"/>
          <w:marTop w:val="0"/>
          <w:marBottom w:val="0"/>
          <w:divBdr>
            <w:top w:val="none" w:sz="0" w:space="0" w:color="auto"/>
            <w:left w:val="none" w:sz="0" w:space="0" w:color="auto"/>
            <w:bottom w:val="none" w:sz="0" w:space="0" w:color="auto"/>
            <w:right w:val="none" w:sz="0" w:space="0" w:color="auto"/>
          </w:divBdr>
          <w:divsChild>
            <w:div w:id="375349514">
              <w:marLeft w:val="0"/>
              <w:marRight w:val="0"/>
              <w:marTop w:val="0"/>
              <w:marBottom w:val="0"/>
              <w:divBdr>
                <w:top w:val="none" w:sz="0" w:space="0" w:color="auto"/>
                <w:left w:val="none" w:sz="0" w:space="0" w:color="auto"/>
                <w:bottom w:val="none" w:sz="0" w:space="0" w:color="auto"/>
                <w:right w:val="none" w:sz="0" w:space="0" w:color="auto"/>
              </w:divBdr>
            </w:div>
          </w:divsChild>
        </w:div>
        <w:div w:id="1353022901">
          <w:marLeft w:val="0"/>
          <w:marRight w:val="0"/>
          <w:marTop w:val="0"/>
          <w:marBottom w:val="0"/>
          <w:divBdr>
            <w:top w:val="none" w:sz="0" w:space="0" w:color="auto"/>
            <w:left w:val="none" w:sz="0" w:space="0" w:color="auto"/>
            <w:bottom w:val="none" w:sz="0" w:space="0" w:color="auto"/>
            <w:right w:val="none" w:sz="0" w:space="0" w:color="auto"/>
          </w:divBdr>
          <w:divsChild>
            <w:div w:id="223177357">
              <w:marLeft w:val="0"/>
              <w:marRight w:val="0"/>
              <w:marTop w:val="0"/>
              <w:marBottom w:val="0"/>
              <w:divBdr>
                <w:top w:val="none" w:sz="0" w:space="0" w:color="auto"/>
                <w:left w:val="none" w:sz="0" w:space="0" w:color="auto"/>
                <w:bottom w:val="none" w:sz="0" w:space="0" w:color="auto"/>
                <w:right w:val="none" w:sz="0" w:space="0" w:color="auto"/>
              </w:divBdr>
            </w:div>
          </w:divsChild>
        </w:div>
        <w:div w:id="1354040031">
          <w:marLeft w:val="0"/>
          <w:marRight w:val="0"/>
          <w:marTop w:val="0"/>
          <w:marBottom w:val="0"/>
          <w:divBdr>
            <w:top w:val="none" w:sz="0" w:space="0" w:color="auto"/>
            <w:left w:val="none" w:sz="0" w:space="0" w:color="auto"/>
            <w:bottom w:val="none" w:sz="0" w:space="0" w:color="auto"/>
            <w:right w:val="none" w:sz="0" w:space="0" w:color="auto"/>
          </w:divBdr>
          <w:divsChild>
            <w:div w:id="1153983253">
              <w:marLeft w:val="0"/>
              <w:marRight w:val="0"/>
              <w:marTop w:val="0"/>
              <w:marBottom w:val="0"/>
              <w:divBdr>
                <w:top w:val="none" w:sz="0" w:space="0" w:color="auto"/>
                <w:left w:val="none" w:sz="0" w:space="0" w:color="auto"/>
                <w:bottom w:val="none" w:sz="0" w:space="0" w:color="auto"/>
                <w:right w:val="none" w:sz="0" w:space="0" w:color="auto"/>
              </w:divBdr>
            </w:div>
          </w:divsChild>
        </w:div>
        <w:div w:id="1355838621">
          <w:marLeft w:val="0"/>
          <w:marRight w:val="0"/>
          <w:marTop w:val="0"/>
          <w:marBottom w:val="0"/>
          <w:divBdr>
            <w:top w:val="none" w:sz="0" w:space="0" w:color="auto"/>
            <w:left w:val="none" w:sz="0" w:space="0" w:color="auto"/>
            <w:bottom w:val="none" w:sz="0" w:space="0" w:color="auto"/>
            <w:right w:val="none" w:sz="0" w:space="0" w:color="auto"/>
          </w:divBdr>
          <w:divsChild>
            <w:div w:id="2077238223">
              <w:marLeft w:val="0"/>
              <w:marRight w:val="0"/>
              <w:marTop w:val="0"/>
              <w:marBottom w:val="0"/>
              <w:divBdr>
                <w:top w:val="none" w:sz="0" w:space="0" w:color="auto"/>
                <w:left w:val="none" w:sz="0" w:space="0" w:color="auto"/>
                <w:bottom w:val="none" w:sz="0" w:space="0" w:color="auto"/>
                <w:right w:val="none" w:sz="0" w:space="0" w:color="auto"/>
              </w:divBdr>
            </w:div>
          </w:divsChild>
        </w:div>
        <w:div w:id="1373187720">
          <w:marLeft w:val="0"/>
          <w:marRight w:val="0"/>
          <w:marTop w:val="0"/>
          <w:marBottom w:val="0"/>
          <w:divBdr>
            <w:top w:val="none" w:sz="0" w:space="0" w:color="auto"/>
            <w:left w:val="none" w:sz="0" w:space="0" w:color="auto"/>
            <w:bottom w:val="none" w:sz="0" w:space="0" w:color="auto"/>
            <w:right w:val="none" w:sz="0" w:space="0" w:color="auto"/>
          </w:divBdr>
          <w:divsChild>
            <w:div w:id="1240822601">
              <w:marLeft w:val="0"/>
              <w:marRight w:val="0"/>
              <w:marTop w:val="0"/>
              <w:marBottom w:val="0"/>
              <w:divBdr>
                <w:top w:val="none" w:sz="0" w:space="0" w:color="auto"/>
                <w:left w:val="none" w:sz="0" w:space="0" w:color="auto"/>
                <w:bottom w:val="none" w:sz="0" w:space="0" w:color="auto"/>
                <w:right w:val="none" w:sz="0" w:space="0" w:color="auto"/>
              </w:divBdr>
            </w:div>
          </w:divsChild>
        </w:div>
        <w:div w:id="1375502326">
          <w:marLeft w:val="0"/>
          <w:marRight w:val="0"/>
          <w:marTop w:val="0"/>
          <w:marBottom w:val="0"/>
          <w:divBdr>
            <w:top w:val="none" w:sz="0" w:space="0" w:color="auto"/>
            <w:left w:val="none" w:sz="0" w:space="0" w:color="auto"/>
            <w:bottom w:val="none" w:sz="0" w:space="0" w:color="auto"/>
            <w:right w:val="none" w:sz="0" w:space="0" w:color="auto"/>
          </w:divBdr>
          <w:divsChild>
            <w:div w:id="1816753549">
              <w:marLeft w:val="0"/>
              <w:marRight w:val="0"/>
              <w:marTop w:val="0"/>
              <w:marBottom w:val="0"/>
              <w:divBdr>
                <w:top w:val="none" w:sz="0" w:space="0" w:color="auto"/>
                <w:left w:val="none" w:sz="0" w:space="0" w:color="auto"/>
                <w:bottom w:val="none" w:sz="0" w:space="0" w:color="auto"/>
                <w:right w:val="none" w:sz="0" w:space="0" w:color="auto"/>
              </w:divBdr>
            </w:div>
          </w:divsChild>
        </w:div>
        <w:div w:id="1381511310">
          <w:marLeft w:val="0"/>
          <w:marRight w:val="0"/>
          <w:marTop w:val="0"/>
          <w:marBottom w:val="0"/>
          <w:divBdr>
            <w:top w:val="none" w:sz="0" w:space="0" w:color="auto"/>
            <w:left w:val="none" w:sz="0" w:space="0" w:color="auto"/>
            <w:bottom w:val="none" w:sz="0" w:space="0" w:color="auto"/>
            <w:right w:val="none" w:sz="0" w:space="0" w:color="auto"/>
          </w:divBdr>
          <w:divsChild>
            <w:div w:id="872232249">
              <w:marLeft w:val="0"/>
              <w:marRight w:val="0"/>
              <w:marTop w:val="0"/>
              <w:marBottom w:val="0"/>
              <w:divBdr>
                <w:top w:val="none" w:sz="0" w:space="0" w:color="auto"/>
                <w:left w:val="none" w:sz="0" w:space="0" w:color="auto"/>
                <w:bottom w:val="none" w:sz="0" w:space="0" w:color="auto"/>
                <w:right w:val="none" w:sz="0" w:space="0" w:color="auto"/>
              </w:divBdr>
            </w:div>
          </w:divsChild>
        </w:div>
        <w:div w:id="1392533682">
          <w:marLeft w:val="0"/>
          <w:marRight w:val="0"/>
          <w:marTop w:val="0"/>
          <w:marBottom w:val="0"/>
          <w:divBdr>
            <w:top w:val="none" w:sz="0" w:space="0" w:color="auto"/>
            <w:left w:val="none" w:sz="0" w:space="0" w:color="auto"/>
            <w:bottom w:val="none" w:sz="0" w:space="0" w:color="auto"/>
            <w:right w:val="none" w:sz="0" w:space="0" w:color="auto"/>
          </w:divBdr>
          <w:divsChild>
            <w:div w:id="1058669003">
              <w:marLeft w:val="0"/>
              <w:marRight w:val="0"/>
              <w:marTop w:val="0"/>
              <w:marBottom w:val="0"/>
              <w:divBdr>
                <w:top w:val="none" w:sz="0" w:space="0" w:color="auto"/>
                <w:left w:val="none" w:sz="0" w:space="0" w:color="auto"/>
                <w:bottom w:val="none" w:sz="0" w:space="0" w:color="auto"/>
                <w:right w:val="none" w:sz="0" w:space="0" w:color="auto"/>
              </w:divBdr>
            </w:div>
          </w:divsChild>
        </w:div>
        <w:div w:id="1400984087">
          <w:marLeft w:val="0"/>
          <w:marRight w:val="0"/>
          <w:marTop w:val="0"/>
          <w:marBottom w:val="0"/>
          <w:divBdr>
            <w:top w:val="none" w:sz="0" w:space="0" w:color="auto"/>
            <w:left w:val="none" w:sz="0" w:space="0" w:color="auto"/>
            <w:bottom w:val="none" w:sz="0" w:space="0" w:color="auto"/>
            <w:right w:val="none" w:sz="0" w:space="0" w:color="auto"/>
          </w:divBdr>
          <w:divsChild>
            <w:div w:id="589630594">
              <w:marLeft w:val="0"/>
              <w:marRight w:val="0"/>
              <w:marTop w:val="0"/>
              <w:marBottom w:val="0"/>
              <w:divBdr>
                <w:top w:val="none" w:sz="0" w:space="0" w:color="auto"/>
                <w:left w:val="none" w:sz="0" w:space="0" w:color="auto"/>
                <w:bottom w:val="none" w:sz="0" w:space="0" w:color="auto"/>
                <w:right w:val="none" w:sz="0" w:space="0" w:color="auto"/>
              </w:divBdr>
            </w:div>
          </w:divsChild>
        </w:div>
        <w:div w:id="1417165884">
          <w:marLeft w:val="0"/>
          <w:marRight w:val="0"/>
          <w:marTop w:val="0"/>
          <w:marBottom w:val="0"/>
          <w:divBdr>
            <w:top w:val="none" w:sz="0" w:space="0" w:color="auto"/>
            <w:left w:val="none" w:sz="0" w:space="0" w:color="auto"/>
            <w:bottom w:val="none" w:sz="0" w:space="0" w:color="auto"/>
            <w:right w:val="none" w:sz="0" w:space="0" w:color="auto"/>
          </w:divBdr>
          <w:divsChild>
            <w:div w:id="1579440039">
              <w:marLeft w:val="0"/>
              <w:marRight w:val="0"/>
              <w:marTop w:val="0"/>
              <w:marBottom w:val="0"/>
              <w:divBdr>
                <w:top w:val="none" w:sz="0" w:space="0" w:color="auto"/>
                <w:left w:val="none" w:sz="0" w:space="0" w:color="auto"/>
                <w:bottom w:val="none" w:sz="0" w:space="0" w:color="auto"/>
                <w:right w:val="none" w:sz="0" w:space="0" w:color="auto"/>
              </w:divBdr>
            </w:div>
          </w:divsChild>
        </w:div>
        <w:div w:id="1418362287">
          <w:marLeft w:val="0"/>
          <w:marRight w:val="0"/>
          <w:marTop w:val="0"/>
          <w:marBottom w:val="0"/>
          <w:divBdr>
            <w:top w:val="none" w:sz="0" w:space="0" w:color="auto"/>
            <w:left w:val="none" w:sz="0" w:space="0" w:color="auto"/>
            <w:bottom w:val="none" w:sz="0" w:space="0" w:color="auto"/>
            <w:right w:val="none" w:sz="0" w:space="0" w:color="auto"/>
          </w:divBdr>
          <w:divsChild>
            <w:div w:id="1326011727">
              <w:marLeft w:val="0"/>
              <w:marRight w:val="0"/>
              <w:marTop w:val="0"/>
              <w:marBottom w:val="0"/>
              <w:divBdr>
                <w:top w:val="none" w:sz="0" w:space="0" w:color="auto"/>
                <w:left w:val="none" w:sz="0" w:space="0" w:color="auto"/>
                <w:bottom w:val="none" w:sz="0" w:space="0" w:color="auto"/>
                <w:right w:val="none" w:sz="0" w:space="0" w:color="auto"/>
              </w:divBdr>
            </w:div>
          </w:divsChild>
        </w:div>
        <w:div w:id="1419670649">
          <w:marLeft w:val="0"/>
          <w:marRight w:val="0"/>
          <w:marTop w:val="0"/>
          <w:marBottom w:val="0"/>
          <w:divBdr>
            <w:top w:val="none" w:sz="0" w:space="0" w:color="auto"/>
            <w:left w:val="none" w:sz="0" w:space="0" w:color="auto"/>
            <w:bottom w:val="none" w:sz="0" w:space="0" w:color="auto"/>
            <w:right w:val="none" w:sz="0" w:space="0" w:color="auto"/>
          </w:divBdr>
          <w:divsChild>
            <w:div w:id="2073698882">
              <w:marLeft w:val="0"/>
              <w:marRight w:val="0"/>
              <w:marTop w:val="0"/>
              <w:marBottom w:val="0"/>
              <w:divBdr>
                <w:top w:val="none" w:sz="0" w:space="0" w:color="auto"/>
                <w:left w:val="none" w:sz="0" w:space="0" w:color="auto"/>
                <w:bottom w:val="none" w:sz="0" w:space="0" w:color="auto"/>
                <w:right w:val="none" w:sz="0" w:space="0" w:color="auto"/>
              </w:divBdr>
            </w:div>
          </w:divsChild>
        </w:div>
        <w:div w:id="1420059603">
          <w:marLeft w:val="0"/>
          <w:marRight w:val="0"/>
          <w:marTop w:val="0"/>
          <w:marBottom w:val="0"/>
          <w:divBdr>
            <w:top w:val="none" w:sz="0" w:space="0" w:color="auto"/>
            <w:left w:val="none" w:sz="0" w:space="0" w:color="auto"/>
            <w:bottom w:val="none" w:sz="0" w:space="0" w:color="auto"/>
            <w:right w:val="none" w:sz="0" w:space="0" w:color="auto"/>
          </w:divBdr>
          <w:divsChild>
            <w:div w:id="170225260">
              <w:marLeft w:val="0"/>
              <w:marRight w:val="0"/>
              <w:marTop w:val="0"/>
              <w:marBottom w:val="0"/>
              <w:divBdr>
                <w:top w:val="none" w:sz="0" w:space="0" w:color="auto"/>
                <w:left w:val="none" w:sz="0" w:space="0" w:color="auto"/>
                <w:bottom w:val="none" w:sz="0" w:space="0" w:color="auto"/>
                <w:right w:val="none" w:sz="0" w:space="0" w:color="auto"/>
              </w:divBdr>
            </w:div>
          </w:divsChild>
        </w:div>
        <w:div w:id="1428817177">
          <w:marLeft w:val="0"/>
          <w:marRight w:val="0"/>
          <w:marTop w:val="0"/>
          <w:marBottom w:val="0"/>
          <w:divBdr>
            <w:top w:val="none" w:sz="0" w:space="0" w:color="auto"/>
            <w:left w:val="none" w:sz="0" w:space="0" w:color="auto"/>
            <w:bottom w:val="none" w:sz="0" w:space="0" w:color="auto"/>
            <w:right w:val="none" w:sz="0" w:space="0" w:color="auto"/>
          </w:divBdr>
          <w:divsChild>
            <w:div w:id="1163084767">
              <w:marLeft w:val="0"/>
              <w:marRight w:val="0"/>
              <w:marTop w:val="0"/>
              <w:marBottom w:val="0"/>
              <w:divBdr>
                <w:top w:val="none" w:sz="0" w:space="0" w:color="auto"/>
                <w:left w:val="none" w:sz="0" w:space="0" w:color="auto"/>
                <w:bottom w:val="none" w:sz="0" w:space="0" w:color="auto"/>
                <w:right w:val="none" w:sz="0" w:space="0" w:color="auto"/>
              </w:divBdr>
            </w:div>
          </w:divsChild>
        </w:div>
        <w:div w:id="1452556113">
          <w:marLeft w:val="0"/>
          <w:marRight w:val="0"/>
          <w:marTop w:val="0"/>
          <w:marBottom w:val="0"/>
          <w:divBdr>
            <w:top w:val="none" w:sz="0" w:space="0" w:color="auto"/>
            <w:left w:val="none" w:sz="0" w:space="0" w:color="auto"/>
            <w:bottom w:val="none" w:sz="0" w:space="0" w:color="auto"/>
            <w:right w:val="none" w:sz="0" w:space="0" w:color="auto"/>
          </w:divBdr>
          <w:divsChild>
            <w:div w:id="1525285637">
              <w:marLeft w:val="0"/>
              <w:marRight w:val="0"/>
              <w:marTop w:val="0"/>
              <w:marBottom w:val="0"/>
              <w:divBdr>
                <w:top w:val="none" w:sz="0" w:space="0" w:color="auto"/>
                <w:left w:val="none" w:sz="0" w:space="0" w:color="auto"/>
                <w:bottom w:val="none" w:sz="0" w:space="0" w:color="auto"/>
                <w:right w:val="none" w:sz="0" w:space="0" w:color="auto"/>
              </w:divBdr>
            </w:div>
          </w:divsChild>
        </w:div>
        <w:div w:id="1456555688">
          <w:marLeft w:val="0"/>
          <w:marRight w:val="0"/>
          <w:marTop w:val="0"/>
          <w:marBottom w:val="0"/>
          <w:divBdr>
            <w:top w:val="none" w:sz="0" w:space="0" w:color="auto"/>
            <w:left w:val="none" w:sz="0" w:space="0" w:color="auto"/>
            <w:bottom w:val="none" w:sz="0" w:space="0" w:color="auto"/>
            <w:right w:val="none" w:sz="0" w:space="0" w:color="auto"/>
          </w:divBdr>
          <w:divsChild>
            <w:div w:id="1496920460">
              <w:marLeft w:val="0"/>
              <w:marRight w:val="0"/>
              <w:marTop w:val="0"/>
              <w:marBottom w:val="0"/>
              <w:divBdr>
                <w:top w:val="none" w:sz="0" w:space="0" w:color="auto"/>
                <w:left w:val="none" w:sz="0" w:space="0" w:color="auto"/>
                <w:bottom w:val="none" w:sz="0" w:space="0" w:color="auto"/>
                <w:right w:val="none" w:sz="0" w:space="0" w:color="auto"/>
              </w:divBdr>
            </w:div>
          </w:divsChild>
        </w:div>
        <w:div w:id="1458333080">
          <w:marLeft w:val="0"/>
          <w:marRight w:val="0"/>
          <w:marTop w:val="0"/>
          <w:marBottom w:val="0"/>
          <w:divBdr>
            <w:top w:val="none" w:sz="0" w:space="0" w:color="auto"/>
            <w:left w:val="none" w:sz="0" w:space="0" w:color="auto"/>
            <w:bottom w:val="none" w:sz="0" w:space="0" w:color="auto"/>
            <w:right w:val="none" w:sz="0" w:space="0" w:color="auto"/>
          </w:divBdr>
          <w:divsChild>
            <w:div w:id="1071853046">
              <w:marLeft w:val="0"/>
              <w:marRight w:val="0"/>
              <w:marTop w:val="0"/>
              <w:marBottom w:val="0"/>
              <w:divBdr>
                <w:top w:val="none" w:sz="0" w:space="0" w:color="auto"/>
                <w:left w:val="none" w:sz="0" w:space="0" w:color="auto"/>
                <w:bottom w:val="none" w:sz="0" w:space="0" w:color="auto"/>
                <w:right w:val="none" w:sz="0" w:space="0" w:color="auto"/>
              </w:divBdr>
            </w:div>
          </w:divsChild>
        </w:div>
        <w:div w:id="1471172296">
          <w:marLeft w:val="0"/>
          <w:marRight w:val="0"/>
          <w:marTop w:val="0"/>
          <w:marBottom w:val="0"/>
          <w:divBdr>
            <w:top w:val="none" w:sz="0" w:space="0" w:color="auto"/>
            <w:left w:val="none" w:sz="0" w:space="0" w:color="auto"/>
            <w:bottom w:val="none" w:sz="0" w:space="0" w:color="auto"/>
            <w:right w:val="none" w:sz="0" w:space="0" w:color="auto"/>
          </w:divBdr>
          <w:divsChild>
            <w:div w:id="1577014143">
              <w:marLeft w:val="0"/>
              <w:marRight w:val="0"/>
              <w:marTop w:val="0"/>
              <w:marBottom w:val="0"/>
              <w:divBdr>
                <w:top w:val="none" w:sz="0" w:space="0" w:color="auto"/>
                <w:left w:val="none" w:sz="0" w:space="0" w:color="auto"/>
                <w:bottom w:val="none" w:sz="0" w:space="0" w:color="auto"/>
                <w:right w:val="none" w:sz="0" w:space="0" w:color="auto"/>
              </w:divBdr>
            </w:div>
          </w:divsChild>
        </w:div>
        <w:div w:id="1471897712">
          <w:marLeft w:val="0"/>
          <w:marRight w:val="0"/>
          <w:marTop w:val="0"/>
          <w:marBottom w:val="0"/>
          <w:divBdr>
            <w:top w:val="none" w:sz="0" w:space="0" w:color="auto"/>
            <w:left w:val="none" w:sz="0" w:space="0" w:color="auto"/>
            <w:bottom w:val="none" w:sz="0" w:space="0" w:color="auto"/>
            <w:right w:val="none" w:sz="0" w:space="0" w:color="auto"/>
          </w:divBdr>
          <w:divsChild>
            <w:div w:id="34932061">
              <w:marLeft w:val="0"/>
              <w:marRight w:val="0"/>
              <w:marTop w:val="0"/>
              <w:marBottom w:val="0"/>
              <w:divBdr>
                <w:top w:val="none" w:sz="0" w:space="0" w:color="auto"/>
                <w:left w:val="none" w:sz="0" w:space="0" w:color="auto"/>
                <w:bottom w:val="none" w:sz="0" w:space="0" w:color="auto"/>
                <w:right w:val="none" w:sz="0" w:space="0" w:color="auto"/>
              </w:divBdr>
            </w:div>
          </w:divsChild>
        </w:div>
        <w:div w:id="1480338750">
          <w:marLeft w:val="0"/>
          <w:marRight w:val="0"/>
          <w:marTop w:val="0"/>
          <w:marBottom w:val="0"/>
          <w:divBdr>
            <w:top w:val="none" w:sz="0" w:space="0" w:color="auto"/>
            <w:left w:val="none" w:sz="0" w:space="0" w:color="auto"/>
            <w:bottom w:val="none" w:sz="0" w:space="0" w:color="auto"/>
            <w:right w:val="none" w:sz="0" w:space="0" w:color="auto"/>
          </w:divBdr>
          <w:divsChild>
            <w:div w:id="1260604927">
              <w:marLeft w:val="0"/>
              <w:marRight w:val="0"/>
              <w:marTop w:val="0"/>
              <w:marBottom w:val="0"/>
              <w:divBdr>
                <w:top w:val="none" w:sz="0" w:space="0" w:color="auto"/>
                <w:left w:val="none" w:sz="0" w:space="0" w:color="auto"/>
                <w:bottom w:val="none" w:sz="0" w:space="0" w:color="auto"/>
                <w:right w:val="none" w:sz="0" w:space="0" w:color="auto"/>
              </w:divBdr>
            </w:div>
          </w:divsChild>
        </w:div>
        <w:div w:id="1480462117">
          <w:marLeft w:val="0"/>
          <w:marRight w:val="0"/>
          <w:marTop w:val="0"/>
          <w:marBottom w:val="0"/>
          <w:divBdr>
            <w:top w:val="none" w:sz="0" w:space="0" w:color="auto"/>
            <w:left w:val="none" w:sz="0" w:space="0" w:color="auto"/>
            <w:bottom w:val="none" w:sz="0" w:space="0" w:color="auto"/>
            <w:right w:val="none" w:sz="0" w:space="0" w:color="auto"/>
          </w:divBdr>
          <w:divsChild>
            <w:div w:id="260645692">
              <w:marLeft w:val="0"/>
              <w:marRight w:val="0"/>
              <w:marTop w:val="0"/>
              <w:marBottom w:val="0"/>
              <w:divBdr>
                <w:top w:val="none" w:sz="0" w:space="0" w:color="auto"/>
                <w:left w:val="none" w:sz="0" w:space="0" w:color="auto"/>
                <w:bottom w:val="none" w:sz="0" w:space="0" w:color="auto"/>
                <w:right w:val="none" w:sz="0" w:space="0" w:color="auto"/>
              </w:divBdr>
            </w:div>
          </w:divsChild>
        </w:div>
        <w:div w:id="1490174439">
          <w:marLeft w:val="0"/>
          <w:marRight w:val="0"/>
          <w:marTop w:val="0"/>
          <w:marBottom w:val="0"/>
          <w:divBdr>
            <w:top w:val="none" w:sz="0" w:space="0" w:color="auto"/>
            <w:left w:val="none" w:sz="0" w:space="0" w:color="auto"/>
            <w:bottom w:val="none" w:sz="0" w:space="0" w:color="auto"/>
            <w:right w:val="none" w:sz="0" w:space="0" w:color="auto"/>
          </w:divBdr>
          <w:divsChild>
            <w:div w:id="916086930">
              <w:marLeft w:val="0"/>
              <w:marRight w:val="0"/>
              <w:marTop w:val="0"/>
              <w:marBottom w:val="0"/>
              <w:divBdr>
                <w:top w:val="none" w:sz="0" w:space="0" w:color="auto"/>
                <w:left w:val="none" w:sz="0" w:space="0" w:color="auto"/>
                <w:bottom w:val="none" w:sz="0" w:space="0" w:color="auto"/>
                <w:right w:val="none" w:sz="0" w:space="0" w:color="auto"/>
              </w:divBdr>
            </w:div>
          </w:divsChild>
        </w:div>
        <w:div w:id="1490976419">
          <w:marLeft w:val="0"/>
          <w:marRight w:val="0"/>
          <w:marTop w:val="0"/>
          <w:marBottom w:val="0"/>
          <w:divBdr>
            <w:top w:val="none" w:sz="0" w:space="0" w:color="auto"/>
            <w:left w:val="none" w:sz="0" w:space="0" w:color="auto"/>
            <w:bottom w:val="none" w:sz="0" w:space="0" w:color="auto"/>
            <w:right w:val="none" w:sz="0" w:space="0" w:color="auto"/>
          </w:divBdr>
          <w:divsChild>
            <w:div w:id="133718325">
              <w:marLeft w:val="0"/>
              <w:marRight w:val="0"/>
              <w:marTop w:val="0"/>
              <w:marBottom w:val="0"/>
              <w:divBdr>
                <w:top w:val="none" w:sz="0" w:space="0" w:color="auto"/>
                <w:left w:val="none" w:sz="0" w:space="0" w:color="auto"/>
                <w:bottom w:val="none" w:sz="0" w:space="0" w:color="auto"/>
                <w:right w:val="none" w:sz="0" w:space="0" w:color="auto"/>
              </w:divBdr>
            </w:div>
          </w:divsChild>
        </w:div>
        <w:div w:id="1491825845">
          <w:marLeft w:val="0"/>
          <w:marRight w:val="0"/>
          <w:marTop w:val="0"/>
          <w:marBottom w:val="0"/>
          <w:divBdr>
            <w:top w:val="none" w:sz="0" w:space="0" w:color="auto"/>
            <w:left w:val="none" w:sz="0" w:space="0" w:color="auto"/>
            <w:bottom w:val="none" w:sz="0" w:space="0" w:color="auto"/>
            <w:right w:val="none" w:sz="0" w:space="0" w:color="auto"/>
          </w:divBdr>
          <w:divsChild>
            <w:div w:id="8219851">
              <w:marLeft w:val="0"/>
              <w:marRight w:val="0"/>
              <w:marTop w:val="0"/>
              <w:marBottom w:val="0"/>
              <w:divBdr>
                <w:top w:val="none" w:sz="0" w:space="0" w:color="auto"/>
                <w:left w:val="none" w:sz="0" w:space="0" w:color="auto"/>
                <w:bottom w:val="none" w:sz="0" w:space="0" w:color="auto"/>
                <w:right w:val="none" w:sz="0" w:space="0" w:color="auto"/>
              </w:divBdr>
            </w:div>
          </w:divsChild>
        </w:div>
        <w:div w:id="1509103166">
          <w:marLeft w:val="0"/>
          <w:marRight w:val="0"/>
          <w:marTop w:val="0"/>
          <w:marBottom w:val="0"/>
          <w:divBdr>
            <w:top w:val="none" w:sz="0" w:space="0" w:color="auto"/>
            <w:left w:val="none" w:sz="0" w:space="0" w:color="auto"/>
            <w:bottom w:val="none" w:sz="0" w:space="0" w:color="auto"/>
            <w:right w:val="none" w:sz="0" w:space="0" w:color="auto"/>
          </w:divBdr>
          <w:divsChild>
            <w:div w:id="837773048">
              <w:marLeft w:val="0"/>
              <w:marRight w:val="0"/>
              <w:marTop w:val="0"/>
              <w:marBottom w:val="0"/>
              <w:divBdr>
                <w:top w:val="none" w:sz="0" w:space="0" w:color="auto"/>
                <w:left w:val="none" w:sz="0" w:space="0" w:color="auto"/>
                <w:bottom w:val="none" w:sz="0" w:space="0" w:color="auto"/>
                <w:right w:val="none" w:sz="0" w:space="0" w:color="auto"/>
              </w:divBdr>
            </w:div>
          </w:divsChild>
        </w:div>
        <w:div w:id="1542785833">
          <w:marLeft w:val="0"/>
          <w:marRight w:val="0"/>
          <w:marTop w:val="0"/>
          <w:marBottom w:val="0"/>
          <w:divBdr>
            <w:top w:val="none" w:sz="0" w:space="0" w:color="auto"/>
            <w:left w:val="none" w:sz="0" w:space="0" w:color="auto"/>
            <w:bottom w:val="none" w:sz="0" w:space="0" w:color="auto"/>
            <w:right w:val="none" w:sz="0" w:space="0" w:color="auto"/>
          </w:divBdr>
          <w:divsChild>
            <w:div w:id="1128745288">
              <w:marLeft w:val="0"/>
              <w:marRight w:val="0"/>
              <w:marTop w:val="0"/>
              <w:marBottom w:val="0"/>
              <w:divBdr>
                <w:top w:val="none" w:sz="0" w:space="0" w:color="auto"/>
                <w:left w:val="none" w:sz="0" w:space="0" w:color="auto"/>
                <w:bottom w:val="none" w:sz="0" w:space="0" w:color="auto"/>
                <w:right w:val="none" w:sz="0" w:space="0" w:color="auto"/>
              </w:divBdr>
            </w:div>
          </w:divsChild>
        </w:div>
        <w:div w:id="1545288712">
          <w:marLeft w:val="0"/>
          <w:marRight w:val="0"/>
          <w:marTop w:val="0"/>
          <w:marBottom w:val="0"/>
          <w:divBdr>
            <w:top w:val="none" w:sz="0" w:space="0" w:color="auto"/>
            <w:left w:val="none" w:sz="0" w:space="0" w:color="auto"/>
            <w:bottom w:val="none" w:sz="0" w:space="0" w:color="auto"/>
            <w:right w:val="none" w:sz="0" w:space="0" w:color="auto"/>
          </w:divBdr>
          <w:divsChild>
            <w:div w:id="1696879838">
              <w:marLeft w:val="0"/>
              <w:marRight w:val="0"/>
              <w:marTop w:val="0"/>
              <w:marBottom w:val="0"/>
              <w:divBdr>
                <w:top w:val="none" w:sz="0" w:space="0" w:color="auto"/>
                <w:left w:val="none" w:sz="0" w:space="0" w:color="auto"/>
                <w:bottom w:val="none" w:sz="0" w:space="0" w:color="auto"/>
                <w:right w:val="none" w:sz="0" w:space="0" w:color="auto"/>
              </w:divBdr>
            </w:div>
          </w:divsChild>
        </w:div>
        <w:div w:id="1546022687">
          <w:marLeft w:val="0"/>
          <w:marRight w:val="0"/>
          <w:marTop w:val="0"/>
          <w:marBottom w:val="0"/>
          <w:divBdr>
            <w:top w:val="none" w:sz="0" w:space="0" w:color="auto"/>
            <w:left w:val="none" w:sz="0" w:space="0" w:color="auto"/>
            <w:bottom w:val="none" w:sz="0" w:space="0" w:color="auto"/>
            <w:right w:val="none" w:sz="0" w:space="0" w:color="auto"/>
          </w:divBdr>
          <w:divsChild>
            <w:div w:id="149255092">
              <w:marLeft w:val="0"/>
              <w:marRight w:val="0"/>
              <w:marTop w:val="0"/>
              <w:marBottom w:val="0"/>
              <w:divBdr>
                <w:top w:val="none" w:sz="0" w:space="0" w:color="auto"/>
                <w:left w:val="none" w:sz="0" w:space="0" w:color="auto"/>
                <w:bottom w:val="none" w:sz="0" w:space="0" w:color="auto"/>
                <w:right w:val="none" w:sz="0" w:space="0" w:color="auto"/>
              </w:divBdr>
            </w:div>
          </w:divsChild>
        </w:div>
        <w:div w:id="1547260121">
          <w:marLeft w:val="0"/>
          <w:marRight w:val="0"/>
          <w:marTop w:val="0"/>
          <w:marBottom w:val="0"/>
          <w:divBdr>
            <w:top w:val="none" w:sz="0" w:space="0" w:color="auto"/>
            <w:left w:val="none" w:sz="0" w:space="0" w:color="auto"/>
            <w:bottom w:val="none" w:sz="0" w:space="0" w:color="auto"/>
            <w:right w:val="none" w:sz="0" w:space="0" w:color="auto"/>
          </w:divBdr>
          <w:divsChild>
            <w:div w:id="1260406885">
              <w:marLeft w:val="0"/>
              <w:marRight w:val="0"/>
              <w:marTop w:val="0"/>
              <w:marBottom w:val="0"/>
              <w:divBdr>
                <w:top w:val="none" w:sz="0" w:space="0" w:color="auto"/>
                <w:left w:val="none" w:sz="0" w:space="0" w:color="auto"/>
                <w:bottom w:val="none" w:sz="0" w:space="0" w:color="auto"/>
                <w:right w:val="none" w:sz="0" w:space="0" w:color="auto"/>
              </w:divBdr>
            </w:div>
          </w:divsChild>
        </w:div>
        <w:div w:id="1558661463">
          <w:marLeft w:val="0"/>
          <w:marRight w:val="0"/>
          <w:marTop w:val="0"/>
          <w:marBottom w:val="0"/>
          <w:divBdr>
            <w:top w:val="none" w:sz="0" w:space="0" w:color="auto"/>
            <w:left w:val="none" w:sz="0" w:space="0" w:color="auto"/>
            <w:bottom w:val="none" w:sz="0" w:space="0" w:color="auto"/>
            <w:right w:val="none" w:sz="0" w:space="0" w:color="auto"/>
          </w:divBdr>
          <w:divsChild>
            <w:div w:id="84542406">
              <w:marLeft w:val="0"/>
              <w:marRight w:val="0"/>
              <w:marTop w:val="0"/>
              <w:marBottom w:val="0"/>
              <w:divBdr>
                <w:top w:val="none" w:sz="0" w:space="0" w:color="auto"/>
                <w:left w:val="none" w:sz="0" w:space="0" w:color="auto"/>
                <w:bottom w:val="none" w:sz="0" w:space="0" w:color="auto"/>
                <w:right w:val="none" w:sz="0" w:space="0" w:color="auto"/>
              </w:divBdr>
            </w:div>
          </w:divsChild>
        </w:div>
        <w:div w:id="1560366182">
          <w:marLeft w:val="0"/>
          <w:marRight w:val="0"/>
          <w:marTop w:val="0"/>
          <w:marBottom w:val="0"/>
          <w:divBdr>
            <w:top w:val="none" w:sz="0" w:space="0" w:color="auto"/>
            <w:left w:val="none" w:sz="0" w:space="0" w:color="auto"/>
            <w:bottom w:val="none" w:sz="0" w:space="0" w:color="auto"/>
            <w:right w:val="none" w:sz="0" w:space="0" w:color="auto"/>
          </w:divBdr>
          <w:divsChild>
            <w:div w:id="845360364">
              <w:marLeft w:val="0"/>
              <w:marRight w:val="0"/>
              <w:marTop w:val="0"/>
              <w:marBottom w:val="0"/>
              <w:divBdr>
                <w:top w:val="none" w:sz="0" w:space="0" w:color="auto"/>
                <w:left w:val="none" w:sz="0" w:space="0" w:color="auto"/>
                <w:bottom w:val="none" w:sz="0" w:space="0" w:color="auto"/>
                <w:right w:val="none" w:sz="0" w:space="0" w:color="auto"/>
              </w:divBdr>
            </w:div>
          </w:divsChild>
        </w:div>
        <w:div w:id="1578860180">
          <w:marLeft w:val="0"/>
          <w:marRight w:val="0"/>
          <w:marTop w:val="0"/>
          <w:marBottom w:val="0"/>
          <w:divBdr>
            <w:top w:val="none" w:sz="0" w:space="0" w:color="auto"/>
            <w:left w:val="none" w:sz="0" w:space="0" w:color="auto"/>
            <w:bottom w:val="none" w:sz="0" w:space="0" w:color="auto"/>
            <w:right w:val="none" w:sz="0" w:space="0" w:color="auto"/>
          </w:divBdr>
          <w:divsChild>
            <w:div w:id="2027052384">
              <w:marLeft w:val="0"/>
              <w:marRight w:val="0"/>
              <w:marTop w:val="0"/>
              <w:marBottom w:val="0"/>
              <w:divBdr>
                <w:top w:val="none" w:sz="0" w:space="0" w:color="auto"/>
                <w:left w:val="none" w:sz="0" w:space="0" w:color="auto"/>
                <w:bottom w:val="none" w:sz="0" w:space="0" w:color="auto"/>
                <w:right w:val="none" w:sz="0" w:space="0" w:color="auto"/>
              </w:divBdr>
            </w:div>
          </w:divsChild>
        </w:div>
        <w:div w:id="1589843575">
          <w:marLeft w:val="0"/>
          <w:marRight w:val="0"/>
          <w:marTop w:val="0"/>
          <w:marBottom w:val="0"/>
          <w:divBdr>
            <w:top w:val="none" w:sz="0" w:space="0" w:color="auto"/>
            <w:left w:val="none" w:sz="0" w:space="0" w:color="auto"/>
            <w:bottom w:val="none" w:sz="0" w:space="0" w:color="auto"/>
            <w:right w:val="none" w:sz="0" w:space="0" w:color="auto"/>
          </w:divBdr>
          <w:divsChild>
            <w:div w:id="1708484054">
              <w:marLeft w:val="0"/>
              <w:marRight w:val="0"/>
              <w:marTop w:val="0"/>
              <w:marBottom w:val="0"/>
              <w:divBdr>
                <w:top w:val="none" w:sz="0" w:space="0" w:color="auto"/>
                <w:left w:val="none" w:sz="0" w:space="0" w:color="auto"/>
                <w:bottom w:val="none" w:sz="0" w:space="0" w:color="auto"/>
                <w:right w:val="none" w:sz="0" w:space="0" w:color="auto"/>
              </w:divBdr>
            </w:div>
          </w:divsChild>
        </w:div>
        <w:div w:id="1592855557">
          <w:marLeft w:val="0"/>
          <w:marRight w:val="0"/>
          <w:marTop w:val="0"/>
          <w:marBottom w:val="0"/>
          <w:divBdr>
            <w:top w:val="none" w:sz="0" w:space="0" w:color="auto"/>
            <w:left w:val="none" w:sz="0" w:space="0" w:color="auto"/>
            <w:bottom w:val="none" w:sz="0" w:space="0" w:color="auto"/>
            <w:right w:val="none" w:sz="0" w:space="0" w:color="auto"/>
          </w:divBdr>
          <w:divsChild>
            <w:div w:id="1789468880">
              <w:marLeft w:val="0"/>
              <w:marRight w:val="0"/>
              <w:marTop w:val="0"/>
              <w:marBottom w:val="0"/>
              <w:divBdr>
                <w:top w:val="none" w:sz="0" w:space="0" w:color="auto"/>
                <w:left w:val="none" w:sz="0" w:space="0" w:color="auto"/>
                <w:bottom w:val="none" w:sz="0" w:space="0" w:color="auto"/>
                <w:right w:val="none" w:sz="0" w:space="0" w:color="auto"/>
              </w:divBdr>
            </w:div>
          </w:divsChild>
        </w:div>
        <w:div w:id="1593585229">
          <w:marLeft w:val="0"/>
          <w:marRight w:val="0"/>
          <w:marTop w:val="0"/>
          <w:marBottom w:val="0"/>
          <w:divBdr>
            <w:top w:val="none" w:sz="0" w:space="0" w:color="auto"/>
            <w:left w:val="none" w:sz="0" w:space="0" w:color="auto"/>
            <w:bottom w:val="none" w:sz="0" w:space="0" w:color="auto"/>
            <w:right w:val="none" w:sz="0" w:space="0" w:color="auto"/>
          </w:divBdr>
          <w:divsChild>
            <w:div w:id="706103677">
              <w:marLeft w:val="0"/>
              <w:marRight w:val="0"/>
              <w:marTop w:val="0"/>
              <w:marBottom w:val="0"/>
              <w:divBdr>
                <w:top w:val="none" w:sz="0" w:space="0" w:color="auto"/>
                <w:left w:val="none" w:sz="0" w:space="0" w:color="auto"/>
                <w:bottom w:val="none" w:sz="0" w:space="0" w:color="auto"/>
                <w:right w:val="none" w:sz="0" w:space="0" w:color="auto"/>
              </w:divBdr>
            </w:div>
          </w:divsChild>
        </w:div>
        <w:div w:id="1595743171">
          <w:marLeft w:val="0"/>
          <w:marRight w:val="0"/>
          <w:marTop w:val="0"/>
          <w:marBottom w:val="0"/>
          <w:divBdr>
            <w:top w:val="none" w:sz="0" w:space="0" w:color="auto"/>
            <w:left w:val="none" w:sz="0" w:space="0" w:color="auto"/>
            <w:bottom w:val="none" w:sz="0" w:space="0" w:color="auto"/>
            <w:right w:val="none" w:sz="0" w:space="0" w:color="auto"/>
          </w:divBdr>
          <w:divsChild>
            <w:div w:id="1443766173">
              <w:marLeft w:val="0"/>
              <w:marRight w:val="0"/>
              <w:marTop w:val="0"/>
              <w:marBottom w:val="0"/>
              <w:divBdr>
                <w:top w:val="none" w:sz="0" w:space="0" w:color="auto"/>
                <w:left w:val="none" w:sz="0" w:space="0" w:color="auto"/>
                <w:bottom w:val="none" w:sz="0" w:space="0" w:color="auto"/>
                <w:right w:val="none" w:sz="0" w:space="0" w:color="auto"/>
              </w:divBdr>
            </w:div>
          </w:divsChild>
        </w:div>
        <w:div w:id="1597245385">
          <w:marLeft w:val="0"/>
          <w:marRight w:val="0"/>
          <w:marTop w:val="0"/>
          <w:marBottom w:val="0"/>
          <w:divBdr>
            <w:top w:val="none" w:sz="0" w:space="0" w:color="auto"/>
            <w:left w:val="none" w:sz="0" w:space="0" w:color="auto"/>
            <w:bottom w:val="none" w:sz="0" w:space="0" w:color="auto"/>
            <w:right w:val="none" w:sz="0" w:space="0" w:color="auto"/>
          </w:divBdr>
          <w:divsChild>
            <w:div w:id="630475964">
              <w:marLeft w:val="0"/>
              <w:marRight w:val="0"/>
              <w:marTop w:val="0"/>
              <w:marBottom w:val="0"/>
              <w:divBdr>
                <w:top w:val="none" w:sz="0" w:space="0" w:color="auto"/>
                <w:left w:val="none" w:sz="0" w:space="0" w:color="auto"/>
                <w:bottom w:val="none" w:sz="0" w:space="0" w:color="auto"/>
                <w:right w:val="none" w:sz="0" w:space="0" w:color="auto"/>
              </w:divBdr>
            </w:div>
          </w:divsChild>
        </w:div>
        <w:div w:id="1605114016">
          <w:marLeft w:val="0"/>
          <w:marRight w:val="0"/>
          <w:marTop w:val="0"/>
          <w:marBottom w:val="0"/>
          <w:divBdr>
            <w:top w:val="none" w:sz="0" w:space="0" w:color="auto"/>
            <w:left w:val="none" w:sz="0" w:space="0" w:color="auto"/>
            <w:bottom w:val="none" w:sz="0" w:space="0" w:color="auto"/>
            <w:right w:val="none" w:sz="0" w:space="0" w:color="auto"/>
          </w:divBdr>
          <w:divsChild>
            <w:div w:id="1023551673">
              <w:marLeft w:val="0"/>
              <w:marRight w:val="0"/>
              <w:marTop w:val="0"/>
              <w:marBottom w:val="0"/>
              <w:divBdr>
                <w:top w:val="none" w:sz="0" w:space="0" w:color="auto"/>
                <w:left w:val="none" w:sz="0" w:space="0" w:color="auto"/>
                <w:bottom w:val="none" w:sz="0" w:space="0" w:color="auto"/>
                <w:right w:val="none" w:sz="0" w:space="0" w:color="auto"/>
              </w:divBdr>
            </w:div>
          </w:divsChild>
        </w:div>
        <w:div w:id="1608151818">
          <w:marLeft w:val="0"/>
          <w:marRight w:val="0"/>
          <w:marTop w:val="0"/>
          <w:marBottom w:val="0"/>
          <w:divBdr>
            <w:top w:val="none" w:sz="0" w:space="0" w:color="auto"/>
            <w:left w:val="none" w:sz="0" w:space="0" w:color="auto"/>
            <w:bottom w:val="none" w:sz="0" w:space="0" w:color="auto"/>
            <w:right w:val="none" w:sz="0" w:space="0" w:color="auto"/>
          </w:divBdr>
          <w:divsChild>
            <w:div w:id="1739089299">
              <w:marLeft w:val="0"/>
              <w:marRight w:val="0"/>
              <w:marTop w:val="0"/>
              <w:marBottom w:val="0"/>
              <w:divBdr>
                <w:top w:val="none" w:sz="0" w:space="0" w:color="auto"/>
                <w:left w:val="none" w:sz="0" w:space="0" w:color="auto"/>
                <w:bottom w:val="none" w:sz="0" w:space="0" w:color="auto"/>
                <w:right w:val="none" w:sz="0" w:space="0" w:color="auto"/>
              </w:divBdr>
            </w:div>
          </w:divsChild>
        </w:div>
        <w:div w:id="1610428624">
          <w:marLeft w:val="0"/>
          <w:marRight w:val="0"/>
          <w:marTop w:val="0"/>
          <w:marBottom w:val="0"/>
          <w:divBdr>
            <w:top w:val="none" w:sz="0" w:space="0" w:color="auto"/>
            <w:left w:val="none" w:sz="0" w:space="0" w:color="auto"/>
            <w:bottom w:val="none" w:sz="0" w:space="0" w:color="auto"/>
            <w:right w:val="none" w:sz="0" w:space="0" w:color="auto"/>
          </w:divBdr>
          <w:divsChild>
            <w:div w:id="1420103994">
              <w:marLeft w:val="0"/>
              <w:marRight w:val="0"/>
              <w:marTop w:val="0"/>
              <w:marBottom w:val="0"/>
              <w:divBdr>
                <w:top w:val="none" w:sz="0" w:space="0" w:color="auto"/>
                <w:left w:val="none" w:sz="0" w:space="0" w:color="auto"/>
                <w:bottom w:val="none" w:sz="0" w:space="0" w:color="auto"/>
                <w:right w:val="none" w:sz="0" w:space="0" w:color="auto"/>
              </w:divBdr>
            </w:div>
          </w:divsChild>
        </w:div>
        <w:div w:id="1611158212">
          <w:marLeft w:val="0"/>
          <w:marRight w:val="0"/>
          <w:marTop w:val="0"/>
          <w:marBottom w:val="0"/>
          <w:divBdr>
            <w:top w:val="none" w:sz="0" w:space="0" w:color="auto"/>
            <w:left w:val="none" w:sz="0" w:space="0" w:color="auto"/>
            <w:bottom w:val="none" w:sz="0" w:space="0" w:color="auto"/>
            <w:right w:val="none" w:sz="0" w:space="0" w:color="auto"/>
          </w:divBdr>
          <w:divsChild>
            <w:div w:id="134877508">
              <w:marLeft w:val="0"/>
              <w:marRight w:val="0"/>
              <w:marTop w:val="0"/>
              <w:marBottom w:val="0"/>
              <w:divBdr>
                <w:top w:val="none" w:sz="0" w:space="0" w:color="auto"/>
                <w:left w:val="none" w:sz="0" w:space="0" w:color="auto"/>
                <w:bottom w:val="none" w:sz="0" w:space="0" w:color="auto"/>
                <w:right w:val="none" w:sz="0" w:space="0" w:color="auto"/>
              </w:divBdr>
            </w:div>
          </w:divsChild>
        </w:div>
        <w:div w:id="1659531204">
          <w:marLeft w:val="0"/>
          <w:marRight w:val="0"/>
          <w:marTop w:val="0"/>
          <w:marBottom w:val="0"/>
          <w:divBdr>
            <w:top w:val="none" w:sz="0" w:space="0" w:color="auto"/>
            <w:left w:val="none" w:sz="0" w:space="0" w:color="auto"/>
            <w:bottom w:val="none" w:sz="0" w:space="0" w:color="auto"/>
            <w:right w:val="none" w:sz="0" w:space="0" w:color="auto"/>
          </w:divBdr>
          <w:divsChild>
            <w:div w:id="474295412">
              <w:marLeft w:val="0"/>
              <w:marRight w:val="0"/>
              <w:marTop w:val="0"/>
              <w:marBottom w:val="0"/>
              <w:divBdr>
                <w:top w:val="none" w:sz="0" w:space="0" w:color="auto"/>
                <w:left w:val="none" w:sz="0" w:space="0" w:color="auto"/>
                <w:bottom w:val="none" w:sz="0" w:space="0" w:color="auto"/>
                <w:right w:val="none" w:sz="0" w:space="0" w:color="auto"/>
              </w:divBdr>
            </w:div>
          </w:divsChild>
        </w:div>
        <w:div w:id="1670667772">
          <w:marLeft w:val="0"/>
          <w:marRight w:val="0"/>
          <w:marTop w:val="0"/>
          <w:marBottom w:val="0"/>
          <w:divBdr>
            <w:top w:val="none" w:sz="0" w:space="0" w:color="auto"/>
            <w:left w:val="none" w:sz="0" w:space="0" w:color="auto"/>
            <w:bottom w:val="none" w:sz="0" w:space="0" w:color="auto"/>
            <w:right w:val="none" w:sz="0" w:space="0" w:color="auto"/>
          </w:divBdr>
          <w:divsChild>
            <w:div w:id="1056440463">
              <w:marLeft w:val="0"/>
              <w:marRight w:val="0"/>
              <w:marTop w:val="0"/>
              <w:marBottom w:val="0"/>
              <w:divBdr>
                <w:top w:val="none" w:sz="0" w:space="0" w:color="auto"/>
                <w:left w:val="none" w:sz="0" w:space="0" w:color="auto"/>
                <w:bottom w:val="none" w:sz="0" w:space="0" w:color="auto"/>
                <w:right w:val="none" w:sz="0" w:space="0" w:color="auto"/>
              </w:divBdr>
            </w:div>
          </w:divsChild>
        </w:div>
        <w:div w:id="1672028312">
          <w:marLeft w:val="0"/>
          <w:marRight w:val="0"/>
          <w:marTop w:val="0"/>
          <w:marBottom w:val="0"/>
          <w:divBdr>
            <w:top w:val="none" w:sz="0" w:space="0" w:color="auto"/>
            <w:left w:val="none" w:sz="0" w:space="0" w:color="auto"/>
            <w:bottom w:val="none" w:sz="0" w:space="0" w:color="auto"/>
            <w:right w:val="none" w:sz="0" w:space="0" w:color="auto"/>
          </w:divBdr>
          <w:divsChild>
            <w:div w:id="1431588835">
              <w:marLeft w:val="0"/>
              <w:marRight w:val="0"/>
              <w:marTop w:val="0"/>
              <w:marBottom w:val="0"/>
              <w:divBdr>
                <w:top w:val="none" w:sz="0" w:space="0" w:color="auto"/>
                <w:left w:val="none" w:sz="0" w:space="0" w:color="auto"/>
                <w:bottom w:val="none" w:sz="0" w:space="0" w:color="auto"/>
                <w:right w:val="none" w:sz="0" w:space="0" w:color="auto"/>
              </w:divBdr>
            </w:div>
          </w:divsChild>
        </w:div>
        <w:div w:id="1672561131">
          <w:marLeft w:val="0"/>
          <w:marRight w:val="0"/>
          <w:marTop w:val="0"/>
          <w:marBottom w:val="0"/>
          <w:divBdr>
            <w:top w:val="none" w:sz="0" w:space="0" w:color="auto"/>
            <w:left w:val="none" w:sz="0" w:space="0" w:color="auto"/>
            <w:bottom w:val="none" w:sz="0" w:space="0" w:color="auto"/>
            <w:right w:val="none" w:sz="0" w:space="0" w:color="auto"/>
          </w:divBdr>
          <w:divsChild>
            <w:div w:id="638192990">
              <w:marLeft w:val="0"/>
              <w:marRight w:val="0"/>
              <w:marTop w:val="0"/>
              <w:marBottom w:val="0"/>
              <w:divBdr>
                <w:top w:val="none" w:sz="0" w:space="0" w:color="auto"/>
                <w:left w:val="none" w:sz="0" w:space="0" w:color="auto"/>
                <w:bottom w:val="none" w:sz="0" w:space="0" w:color="auto"/>
                <w:right w:val="none" w:sz="0" w:space="0" w:color="auto"/>
              </w:divBdr>
            </w:div>
          </w:divsChild>
        </w:div>
        <w:div w:id="1673216186">
          <w:marLeft w:val="0"/>
          <w:marRight w:val="0"/>
          <w:marTop w:val="0"/>
          <w:marBottom w:val="0"/>
          <w:divBdr>
            <w:top w:val="none" w:sz="0" w:space="0" w:color="auto"/>
            <w:left w:val="none" w:sz="0" w:space="0" w:color="auto"/>
            <w:bottom w:val="none" w:sz="0" w:space="0" w:color="auto"/>
            <w:right w:val="none" w:sz="0" w:space="0" w:color="auto"/>
          </w:divBdr>
          <w:divsChild>
            <w:div w:id="165246113">
              <w:marLeft w:val="0"/>
              <w:marRight w:val="0"/>
              <w:marTop w:val="0"/>
              <w:marBottom w:val="0"/>
              <w:divBdr>
                <w:top w:val="none" w:sz="0" w:space="0" w:color="auto"/>
                <w:left w:val="none" w:sz="0" w:space="0" w:color="auto"/>
                <w:bottom w:val="none" w:sz="0" w:space="0" w:color="auto"/>
                <w:right w:val="none" w:sz="0" w:space="0" w:color="auto"/>
              </w:divBdr>
            </w:div>
          </w:divsChild>
        </w:div>
        <w:div w:id="1673802213">
          <w:marLeft w:val="0"/>
          <w:marRight w:val="0"/>
          <w:marTop w:val="0"/>
          <w:marBottom w:val="0"/>
          <w:divBdr>
            <w:top w:val="none" w:sz="0" w:space="0" w:color="auto"/>
            <w:left w:val="none" w:sz="0" w:space="0" w:color="auto"/>
            <w:bottom w:val="none" w:sz="0" w:space="0" w:color="auto"/>
            <w:right w:val="none" w:sz="0" w:space="0" w:color="auto"/>
          </w:divBdr>
          <w:divsChild>
            <w:div w:id="280457994">
              <w:marLeft w:val="0"/>
              <w:marRight w:val="0"/>
              <w:marTop w:val="0"/>
              <w:marBottom w:val="0"/>
              <w:divBdr>
                <w:top w:val="none" w:sz="0" w:space="0" w:color="auto"/>
                <w:left w:val="none" w:sz="0" w:space="0" w:color="auto"/>
                <w:bottom w:val="none" w:sz="0" w:space="0" w:color="auto"/>
                <w:right w:val="none" w:sz="0" w:space="0" w:color="auto"/>
              </w:divBdr>
            </w:div>
          </w:divsChild>
        </w:div>
        <w:div w:id="1675298619">
          <w:marLeft w:val="0"/>
          <w:marRight w:val="0"/>
          <w:marTop w:val="0"/>
          <w:marBottom w:val="0"/>
          <w:divBdr>
            <w:top w:val="none" w:sz="0" w:space="0" w:color="auto"/>
            <w:left w:val="none" w:sz="0" w:space="0" w:color="auto"/>
            <w:bottom w:val="none" w:sz="0" w:space="0" w:color="auto"/>
            <w:right w:val="none" w:sz="0" w:space="0" w:color="auto"/>
          </w:divBdr>
          <w:divsChild>
            <w:div w:id="2073380374">
              <w:marLeft w:val="0"/>
              <w:marRight w:val="0"/>
              <w:marTop w:val="0"/>
              <w:marBottom w:val="0"/>
              <w:divBdr>
                <w:top w:val="none" w:sz="0" w:space="0" w:color="auto"/>
                <w:left w:val="none" w:sz="0" w:space="0" w:color="auto"/>
                <w:bottom w:val="none" w:sz="0" w:space="0" w:color="auto"/>
                <w:right w:val="none" w:sz="0" w:space="0" w:color="auto"/>
              </w:divBdr>
            </w:div>
          </w:divsChild>
        </w:div>
        <w:div w:id="1678342935">
          <w:marLeft w:val="0"/>
          <w:marRight w:val="0"/>
          <w:marTop w:val="0"/>
          <w:marBottom w:val="0"/>
          <w:divBdr>
            <w:top w:val="none" w:sz="0" w:space="0" w:color="auto"/>
            <w:left w:val="none" w:sz="0" w:space="0" w:color="auto"/>
            <w:bottom w:val="none" w:sz="0" w:space="0" w:color="auto"/>
            <w:right w:val="none" w:sz="0" w:space="0" w:color="auto"/>
          </w:divBdr>
          <w:divsChild>
            <w:div w:id="1233809965">
              <w:marLeft w:val="0"/>
              <w:marRight w:val="0"/>
              <w:marTop w:val="0"/>
              <w:marBottom w:val="0"/>
              <w:divBdr>
                <w:top w:val="none" w:sz="0" w:space="0" w:color="auto"/>
                <w:left w:val="none" w:sz="0" w:space="0" w:color="auto"/>
                <w:bottom w:val="none" w:sz="0" w:space="0" w:color="auto"/>
                <w:right w:val="none" w:sz="0" w:space="0" w:color="auto"/>
              </w:divBdr>
            </w:div>
          </w:divsChild>
        </w:div>
        <w:div w:id="1679846638">
          <w:marLeft w:val="0"/>
          <w:marRight w:val="0"/>
          <w:marTop w:val="0"/>
          <w:marBottom w:val="0"/>
          <w:divBdr>
            <w:top w:val="none" w:sz="0" w:space="0" w:color="auto"/>
            <w:left w:val="none" w:sz="0" w:space="0" w:color="auto"/>
            <w:bottom w:val="none" w:sz="0" w:space="0" w:color="auto"/>
            <w:right w:val="none" w:sz="0" w:space="0" w:color="auto"/>
          </w:divBdr>
          <w:divsChild>
            <w:div w:id="1201362455">
              <w:marLeft w:val="0"/>
              <w:marRight w:val="0"/>
              <w:marTop w:val="0"/>
              <w:marBottom w:val="0"/>
              <w:divBdr>
                <w:top w:val="none" w:sz="0" w:space="0" w:color="auto"/>
                <w:left w:val="none" w:sz="0" w:space="0" w:color="auto"/>
                <w:bottom w:val="none" w:sz="0" w:space="0" w:color="auto"/>
                <w:right w:val="none" w:sz="0" w:space="0" w:color="auto"/>
              </w:divBdr>
            </w:div>
          </w:divsChild>
        </w:div>
        <w:div w:id="1691760633">
          <w:marLeft w:val="0"/>
          <w:marRight w:val="0"/>
          <w:marTop w:val="0"/>
          <w:marBottom w:val="0"/>
          <w:divBdr>
            <w:top w:val="none" w:sz="0" w:space="0" w:color="auto"/>
            <w:left w:val="none" w:sz="0" w:space="0" w:color="auto"/>
            <w:bottom w:val="none" w:sz="0" w:space="0" w:color="auto"/>
            <w:right w:val="none" w:sz="0" w:space="0" w:color="auto"/>
          </w:divBdr>
          <w:divsChild>
            <w:div w:id="1766806833">
              <w:marLeft w:val="0"/>
              <w:marRight w:val="0"/>
              <w:marTop w:val="0"/>
              <w:marBottom w:val="0"/>
              <w:divBdr>
                <w:top w:val="none" w:sz="0" w:space="0" w:color="auto"/>
                <w:left w:val="none" w:sz="0" w:space="0" w:color="auto"/>
                <w:bottom w:val="none" w:sz="0" w:space="0" w:color="auto"/>
                <w:right w:val="none" w:sz="0" w:space="0" w:color="auto"/>
              </w:divBdr>
            </w:div>
          </w:divsChild>
        </w:div>
        <w:div w:id="1710639162">
          <w:marLeft w:val="0"/>
          <w:marRight w:val="0"/>
          <w:marTop w:val="0"/>
          <w:marBottom w:val="0"/>
          <w:divBdr>
            <w:top w:val="none" w:sz="0" w:space="0" w:color="auto"/>
            <w:left w:val="none" w:sz="0" w:space="0" w:color="auto"/>
            <w:bottom w:val="none" w:sz="0" w:space="0" w:color="auto"/>
            <w:right w:val="none" w:sz="0" w:space="0" w:color="auto"/>
          </w:divBdr>
          <w:divsChild>
            <w:div w:id="1056926753">
              <w:marLeft w:val="0"/>
              <w:marRight w:val="0"/>
              <w:marTop w:val="0"/>
              <w:marBottom w:val="0"/>
              <w:divBdr>
                <w:top w:val="none" w:sz="0" w:space="0" w:color="auto"/>
                <w:left w:val="none" w:sz="0" w:space="0" w:color="auto"/>
                <w:bottom w:val="none" w:sz="0" w:space="0" w:color="auto"/>
                <w:right w:val="none" w:sz="0" w:space="0" w:color="auto"/>
              </w:divBdr>
            </w:div>
          </w:divsChild>
        </w:div>
        <w:div w:id="1715545549">
          <w:marLeft w:val="0"/>
          <w:marRight w:val="0"/>
          <w:marTop w:val="0"/>
          <w:marBottom w:val="0"/>
          <w:divBdr>
            <w:top w:val="none" w:sz="0" w:space="0" w:color="auto"/>
            <w:left w:val="none" w:sz="0" w:space="0" w:color="auto"/>
            <w:bottom w:val="none" w:sz="0" w:space="0" w:color="auto"/>
            <w:right w:val="none" w:sz="0" w:space="0" w:color="auto"/>
          </w:divBdr>
          <w:divsChild>
            <w:div w:id="519970424">
              <w:marLeft w:val="0"/>
              <w:marRight w:val="0"/>
              <w:marTop w:val="0"/>
              <w:marBottom w:val="0"/>
              <w:divBdr>
                <w:top w:val="none" w:sz="0" w:space="0" w:color="auto"/>
                <w:left w:val="none" w:sz="0" w:space="0" w:color="auto"/>
                <w:bottom w:val="none" w:sz="0" w:space="0" w:color="auto"/>
                <w:right w:val="none" w:sz="0" w:space="0" w:color="auto"/>
              </w:divBdr>
            </w:div>
          </w:divsChild>
        </w:div>
        <w:div w:id="1723552715">
          <w:marLeft w:val="0"/>
          <w:marRight w:val="0"/>
          <w:marTop w:val="0"/>
          <w:marBottom w:val="0"/>
          <w:divBdr>
            <w:top w:val="none" w:sz="0" w:space="0" w:color="auto"/>
            <w:left w:val="none" w:sz="0" w:space="0" w:color="auto"/>
            <w:bottom w:val="none" w:sz="0" w:space="0" w:color="auto"/>
            <w:right w:val="none" w:sz="0" w:space="0" w:color="auto"/>
          </w:divBdr>
          <w:divsChild>
            <w:div w:id="1678188228">
              <w:marLeft w:val="0"/>
              <w:marRight w:val="0"/>
              <w:marTop w:val="0"/>
              <w:marBottom w:val="0"/>
              <w:divBdr>
                <w:top w:val="none" w:sz="0" w:space="0" w:color="auto"/>
                <w:left w:val="none" w:sz="0" w:space="0" w:color="auto"/>
                <w:bottom w:val="none" w:sz="0" w:space="0" w:color="auto"/>
                <w:right w:val="none" w:sz="0" w:space="0" w:color="auto"/>
              </w:divBdr>
            </w:div>
          </w:divsChild>
        </w:div>
        <w:div w:id="1723871568">
          <w:marLeft w:val="0"/>
          <w:marRight w:val="0"/>
          <w:marTop w:val="0"/>
          <w:marBottom w:val="0"/>
          <w:divBdr>
            <w:top w:val="none" w:sz="0" w:space="0" w:color="auto"/>
            <w:left w:val="none" w:sz="0" w:space="0" w:color="auto"/>
            <w:bottom w:val="none" w:sz="0" w:space="0" w:color="auto"/>
            <w:right w:val="none" w:sz="0" w:space="0" w:color="auto"/>
          </w:divBdr>
          <w:divsChild>
            <w:div w:id="1894845730">
              <w:marLeft w:val="0"/>
              <w:marRight w:val="0"/>
              <w:marTop w:val="0"/>
              <w:marBottom w:val="0"/>
              <w:divBdr>
                <w:top w:val="none" w:sz="0" w:space="0" w:color="auto"/>
                <w:left w:val="none" w:sz="0" w:space="0" w:color="auto"/>
                <w:bottom w:val="none" w:sz="0" w:space="0" w:color="auto"/>
                <w:right w:val="none" w:sz="0" w:space="0" w:color="auto"/>
              </w:divBdr>
            </w:div>
          </w:divsChild>
        </w:div>
        <w:div w:id="1724252787">
          <w:marLeft w:val="0"/>
          <w:marRight w:val="0"/>
          <w:marTop w:val="0"/>
          <w:marBottom w:val="0"/>
          <w:divBdr>
            <w:top w:val="none" w:sz="0" w:space="0" w:color="auto"/>
            <w:left w:val="none" w:sz="0" w:space="0" w:color="auto"/>
            <w:bottom w:val="none" w:sz="0" w:space="0" w:color="auto"/>
            <w:right w:val="none" w:sz="0" w:space="0" w:color="auto"/>
          </w:divBdr>
          <w:divsChild>
            <w:div w:id="1607498450">
              <w:marLeft w:val="0"/>
              <w:marRight w:val="0"/>
              <w:marTop w:val="0"/>
              <w:marBottom w:val="0"/>
              <w:divBdr>
                <w:top w:val="none" w:sz="0" w:space="0" w:color="auto"/>
                <w:left w:val="none" w:sz="0" w:space="0" w:color="auto"/>
                <w:bottom w:val="none" w:sz="0" w:space="0" w:color="auto"/>
                <w:right w:val="none" w:sz="0" w:space="0" w:color="auto"/>
              </w:divBdr>
            </w:div>
          </w:divsChild>
        </w:div>
        <w:div w:id="1749182764">
          <w:marLeft w:val="0"/>
          <w:marRight w:val="0"/>
          <w:marTop w:val="0"/>
          <w:marBottom w:val="0"/>
          <w:divBdr>
            <w:top w:val="none" w:sz="0" w:space="0" w:color="auto"/>
            <w:left w:val="none" w:sz="0" w:space="0" w:color="auto"/>
            <w:bottom w:val="none" w:sz="0" w:space="0" w:color="auto"/>
            <w:right w:val="none" w:sz="0" w:space="0" w:color="auto"/>
          </w:divBdr>
          <w:divsChild>
            <w:div w:id="868185215">
              <w:marLeft w:val="0"/>
              <w:marRight w:val="0"/>
              <w:marTop w:val="0"/>
              <w:marBottom w:val="0"/>
              <w:divBdr>
                <w:top w:val="none" w:sz="0" w:space="0" w:color="auto"/>
                <w:left w:val="none" w:sz="0" w:space="0" w:color="auto"/>
                <w:bottom w:val="none" w:sz="0" w:space="0" w:color="auto"/>
                <w:right w:val="none" w:sz="0" w:space="0" w:color="auto"/>
              </w:divBdr>
            </w:div>
          </w:divsChild>
        </w:div>
        <w:div w:id="1763257253">
          <w:marLeft w:val="0"/>
          <w:marRight w:val="0"/>
          <w:marTop w:val="0"/>
          <w:marBottom w:val="0"/>
          <w:divBdr>
            <w:top w:val="none" w:sz="0" w:space="0" w:color="auto"/>
            <w:left w:val="none" w:sz="0" w:space="0" w:color="auto"/>
            <w:bottom w:val="none" w:sz="0" w:space="0" w:color="auto"/>
            <w:right w:val="none" w:sz="0" w:space="0" w:color="auto"/>
          </w:divBdr>
          <w:divsChild>
            <w:div w:id="1104038239">
              <w:marLeft w:val="0"/>
              <w:marRight w:val="0"/>
              <w:marTop w:val="0"/>
              <w:marBottom w:val="0"/>
              <w:divBdr>
                <w:top w:val="none" w:sz="0" w:space="0" w:color="auto"/>
                <w:left w:val="none" w:sz="0" w:space="0" w:color="auto"/>
                <w:bottom w:val="none" w:sz="0" w:space="0" w:color="auto"/>
                <w:right w:val="none" w:sz="0" w:space="0" w:color="auto"/>
              </w:divBdr>
            </w:div>
          </w:divsChild>
        </w:div>
        <w:div w:id="1769039105">
          <w:marLeft w:val="0"/>
          <w:marRight w:val="0"/>
          <w:marTop w:val="0"/>
          <w:marBottom w:val="0"/>
          <w:divBdr>
            <w:top w:val="none" w:sz="0" w:space="0" w:color="auto"/>
            <w:left w:val="none" w:sz="0" w:space="0" w:color="auto"/>
            <w:bottom w:val="none" w:sz="0" w:space="0" w:color="auto"/>
            <w:right w:val="none" w:sz="0" w:space="0" w:color="auto"/>
          </w:divBdr>
          <w:divsChild>
            <w:div w:id="1002392751">
              <w:marLeft w:val="0"/>
              <w:marRight w:val="0"/>
              <w:marTop w:val="0"/>
              <w:marBottom w:val="0"/>
              <w:divBdr>
                <w:top w:val="none" w:sz="0" w:space="0" w:color="auto"/>
                <w:left w:val="none" w:sz="0" w:space="0" w:color="auto"/>
                <w:bottom w:val="none" w:sz="0" w:space="0" w:color="auto"/>
                <w:right w:val="none" w:sz="0" w:space="0" w:color="auto"/>
              </w:divBdr>
            </w:div>
          </w:divsChild>
        </w:div>
        <w:div w:id="1774589629">
          <w:marLeft w:val="0"/>
          <w:marRight w:val="0"/>
          <w:marTop w:val="0"/>
          <w:marBottom w:val="0"/>
          <w:divBdr>
            <w:top w:val="none" w:sz="0" w:space="0" w:color="auto"/>
            <w:left w:val="none" w:sz="0" w:space="0" w:color="auto"/>
            <w:bottom w:val="none" w:sz="0" w:space="0" w:color="auto"/>
            <w:right w:val="none" w:sz="0" w:space="0" w:color="auto"/>
          </w:divBdr>
          <w:divsChild>
            <w:div w:id="576135567">
              <w:marLeft w:val="0"/>
              <w:marRight w:val="0"/>
              <w:marTop w:val="0"/>
              <w:marBottom w:val="0"/>
              <w:divBdr>
                <w:top w:val="none" w:sz="0" w:space="0" w:color="auto"/>
                <w:left w:val="none" w:sz="0" w:space="0" w:color="auto"/>
                <w:bottom w:val="none" w:sz="0" w:space="0" w:color="auto"/>
                <w:right w:val="none" w:sz="0" w:space="0" w:color="auto"/>
              </w:divBdr>
            </w:div>
          </w:divsChild>
        </w:div>
        <w:div w:id="1784959642">
          <w:marLeft w:val="0"/>
          <w:marRight w:val="0"/>
          <w:marTop w:val="0"/>
          <w:marBottom w:val="0"/>
          <w:divBdr>
            <w:top w:val="none" w:sz="0" w:space="0" w:color="auto"/>
            <w:left w:val="none" w:sz="0" w:space="0" w:color="auto"/>
            <w:bottom w:val="none" w:sz="0" w:space="0" w:color="auto"/>
            <w:right w:val="none" w:sz="0" w:space="0" w:color="auto"/>
          </w:divBdr>
          <w:divsChild>
            <w:div w:id="1239514440">
              <w:marLeft w:val="0"/>
              <w:marRight w:val="0"/>
              <w:marTop w:val="0"/>
              <w:marBottom w:val="0"/>
              <w:divBdr>
                <w:top w:val="none" w:sz="0" w:space="0" w:color="auto"/>
                <w:left w:val="none" w:sz="0" w:space="0" w:color="auto"/>
                <w:bottom w:val="none" w:sz="0" w:space="0" w:color="auto"/>
                <w:right w:val="none" w:sz="0" w:space="0" w:color="auto"/>
              </w:divBdr>
            </w:div>
          </w:divsChild>
        </w:div>
        <w:div w:id="1787657899">
          <w:marLeft w:val="0"/>
          <w:marRight w:val="0"/>
          <w:marTop w:val="0"/>
          <w:marBottom w:val="0"/>
          <w:divBdr>
            <w:top w:val="none" w:sz="0" w:space="0" w:color="auto"/>
            <w:left w:val="none" w:sz="0" w:space="0" w:color="auto"/>
            <w:bottom w:val="none" w:sz="0" w:space="0" w:color="auto"/>
            <w:right w:val="none" w:sz="0" w:space="0" w:color="auto"/>
          </w:divBdr>
          <w:divsChild>
            <w:div w:id="1264069254">
              <w:marLeft w:val="0"/>
              <w:marRight w:val="0"/>
              <w:marTop w:val="0"/>
              <w:marBottom w:val="0"/>
              <w:divBdr>
                <w:top w:val="none" w:sz="0" w:space="0" w:color="auto"/>
                <w:left w:val="none" w:sz="0" w:space="0" w:color="auto"/>
                <w:bottom w:val="none" w:sz="0" w:space="0" w:color="auto"/>
                <w:right w:val="none" w:sz="0" w:space="0" w:color="auto"/>
              </w:divBdr>
            </w:div>
          </w:divsChild>
        </w:div>
        <w:div w:id="1801725455">
          <w:marLeft w:val="0"/>
          <w:marRight w:val="0"/>
          <w:marTop w:val="0"/>
          <w:marBottom w:val="0"/>
          <w:divBdr>
            <w:top w:val="none" w:sz="0" w:space="0" w:color="auto"/>
            <w:left w:val="none" w:sz="0" w:space="0" w:color="auto"/>
            <w:bottom w:val="none" w:sz="0" w:space="0" w:color="auto"/>
            <w:right w:val="none" w:sz="0" w:space="0" w:color="auto"/>
          </w:divBdr>
          <w:divsChild>
            <w:div w:id="1096832065">
              <w:marLeft w:val="0"/>
              <w:marRight w:val="0"/>
              <w:marTop w:val="0"/>
              <w:marBottom w:val="0"/>
              <w:divBdr>
                <w:top w:val="none" w:sz="0" w:space="0" w:color="auto"/>
                <w:left w:val="none" w:sz="0" w:space="0" w:color="auto"/>
                <w:bottom w:val="none" w:sz="0" w:space="0" w:color="auto"/>
                <w:right w:val="none" w:sz="0" w:space="0" w:color="auto"/>
              </w:divBdr>
            </w:div>
          </w:divsChild>
        </w:div>
        <w:div w:id="1823157210">
          <w:marLeft w:val="0"/>
          <w:marRight w:val="0"/>
          <w:marTop w:val="0"/>
          <w:marBottom w:val="0"/>
          <w:divBdr>
            <w:top w:val="none" w:sz="0" w:space="0" w:color="auto"/>
            <w:left w:val="none" w:sz="0" w:space="0" w:color="auto"/>
            <w:bottom w:val="none" w:sz="0" w:space="0" w:color="auto"/>
            <w:right w:val="none" w:sz="0" w:space="0" w:color="auto"/>
          </w:divBdr>
          <w:divsChild>
            <w:div w:id="790172379">
              <w:marLeft w:val="0"/>
              <w:marRight w:val="0"/>
              <w:marTop w:val="0"/>
              <w:marBottom w:val="0"/>
              <w:divBdr>
                <w:top w:val="none" w:sz="0" w:space="0" w:color="auto"/>
                <w:left w:val="none" w:sz="0" w:space="0" w:color="auto"/>
                <w:bottom w:val="none" w:sz="0" w:space="0" w:color="auto"/>
                <w:right w:val="none" w:sz="0" w:space="0" w:color="auto"/>
              </w:divBdr>
            </w:div>
          </w:divsChild>
        </w:div>
        <w:div w:id="1824157417">
          <w:marLeft w:val="0"/>
          <w:marRight w:val="0"/>
          <w:marTop w:val="0"/>
          <w:marBottom w:val="0"/>
          <w:divBdr>
            <w:top w:val="none" w:sz="0" w:space="0" w:color="auto"/>
            <w:left w:val="none" w:sz="0" w:space="0" w:color="auto"/>
            <w:bottom w:val="none" w:sz="0" w:space="0" w:color="auto"/>
            <w:right w:val="none" w:sz="0" w:space="0" w:color="auto"/>
          </w:divBdr>
          <w:divsChild>
            <w:div w:id="1875968393">
              <w:marLeft w:val="0"/>
              <w:marRight w:val="0"/>
              <w:marTop w:val="0"/>
              <w:marBottom w:val="0"/>
              <w:divBdr>
                <w:top w:val="none" w:sz="0" w:space="0" w:color="auto"/>
                <w:left w:val="none" w:sz="0" w:space="0" w:color="auto"/>
                <w:bottom w:val="none" w:sz="0" w:space="0" w:color="auto"/>
                <w:right w:val="none" w:sz="0" w:space="0" w:color="auto"/>
              </w:divBdr>
            </w:div>
          </w:divsChild>
        </w:div>
        <w:div w:id="1827478776">
          <w:marLeft w:val="0"/>
          <w:marRight w:val="0"/>
          <w:marTop w:val="0"/>
          <w:marBottom w:val="0"/>
          <w:divBdr>
            <w:top w:val="none" w:sz="0" w:space="0" w:color="auto"/>
            <w:left w:val="none" w:sz="0" w:space="0" w:color="auto"/>
            <w:bottom w:val="none" w:sz="0" w:space="0" w:color="auto"/>
            <w:right w:val="none" w:sz="0" w:space="0" w:color="auto"/>
          </w:divBdr>
          <w:divsChild>
            <w:div w:id="1092703754">
              <w:marLeft w:val="0"/>
              <w:marRight w:val="0"/>
              <w:marTop w:val="0"/>
              <w:marBottom w:val="0"/>
              <w:divBdr>
                <w:top w:val="none" w:sz="0" w:space="0" w:color="auto"/>
                <w:left w:val="none" w:sz="0" w:space="0" w:color="auto"/>
                <w:bottom w:val="none" w:sz="0" w:space="0" w:color="auto"/>
                <w:right w:val="none" w:sz="0" w:space="0" w:color="auto"/>
              </w:divBdr>
            </w:div>
          </w:divsChild>
        </w:div>
        <w:div w:id="1828548126">
          <w:marLeft w:val="0"/>
          <w:marRight w:val="0"/>
          <w:marTop w:val="0"/>
          <w:marBottom w:val="0"/>
          <w:divBdr>
            <w:top w:val="none" w:sz="0" w:space="0" w:color="auto"/>
            <w:left w:val="none" w:sz="0" w:space="0" w:color="auto"/>
            <w:bottom w:val="none" w:sz="0" w:space="0" w:color="auto"/>
            <w:right w:val="none" w:sz="0" w:space="0" w:color="auto"/>
          </w:divBdr>
          <w:divsChild>
            <w:div w:id="1830634400">
              <w:marLeft w:val="0"/>
              <w:marRight w:val="0"/>
              <w:marTop w:val="0"/>
              <w:marBottom w:val="0"/>
              <w:divBdr>
                <w:top w:val="none" w:sz="0" w:space="0" w:color="auto"/>
                <w:left w:val="none" w:sz="0" w:space="0" w:color="auto"/>
                <w:bottom w:val="none" w:sz="0" w:space="0" w:color="auto"/>
                <w:right w:val="none" w:sz="0" w:space="0" w:color="auto"/>
              </w:divBdr>
            </w:div>
          </w:divsChild>
        </w:div>
        <w:div w:id="1841652406">
          <w:marLeft w:val="0"/>
          <w:marRight w:val="0"/>
          <w:marTop w:val="0"/>
          <w:marBottom w:val="0"/>
          <w:divBdr>
            <w:top w:val="none" w:sz="0" w:space="0" w:color="auto"/>
            <w:left w:val="none" w:sz="0" w:space="0" w:color="auto"/>
            <w:bottom w:val="none" w:sz="0" w:space="0" w:color="auto"/>
            <w:right w:val="none" w:sz="0" w:space="0" w:color="auto"/>
          </w:divBdr>
          <w:divsChild>
            <w:div w:id="84620464">
              <w:marLeft w:val="0"/>
              <w:marRight w:val="0"/>
              <w:marTop w:val="0"/>
              <w:marBottom w:val="0"/>
              <w:divBdr>
                <w:top w:val="none" w:sz="0" w:space="0" w:color="auto"/>
                <w:left w:val="none" w:sz="0" w:space="0" w:color="auto"/>
                <w:bottom w:val="none" w:sz="0" w:space="0" w:color="auto"/>
                <w:right w:val="none" w:sz="0" w:space="0" w:color="auto"/>
              </w:divBdr>
            </w:div>
          </w:divsChild>
        </w:div>
        <w:div w:id="1842768899">
          <w:marLeft w:val="0"/>
          <w:marRight w:val="0"/>
          <w:marTop w:val="0"/>
          <w:marBottom w:val="0"/>
          <w:divBdr>
            <w:top w:val="none" w:sz="0" w:space="0" w:color="auto"/>
            <w:left w:val="none" w:sz="0" w:space="0" w:color="auto"/>
            <w:bottom w:val="none" w:sz="0" w:space="0" w:color="auto"/>
            <w:right w:val="none" w:sz="0" w:space="0" w:color="auto"/>
          </w:divBdr>
          <w:divsChild>
            <w:div w:id="659701987">
              <w:marLeft w:val="0"/>
              <w:marRight w:val="0"/>
              <w:marTop w:val="0"/>
              <w:marBottom w:val="0"/>
              <w:divBdr>
                <w:top w:val="none" w:sz="0" w:space="0" w:color="auto"/>
                <w:left w:val="none" w:sz="0" w:space="0" w:color="auto"/>
                <w:bottom w:val="none" w:sz="0" w:space="0" w:color="auto"/>
                <w:right w:val="none" w:sz="0" w:space="0" w:color="auto"/>
              </w:divBdr>
            </w:div>
          </w:divsChild>
        </w:div>
        <w:div w:id="1847287444">
          <w:marLeft w:val="0"/>
          <w:marRight w:val="0"/>
          <w:marTop w:val="0"/>
          <w:marBottom w:val="0"/>
          <w:divBdr>
            <w:top w:val="none" w:sz="0" w:space="0" w:color="auto"/>
            <w:left w:val="none" w:sz="0" w:space="0" w:color="auto"/>
            <w:bottom w:val="none" w:sz="0" w:space="0" w:color="auto"/>
            <w:right w:val="none" w:sz="0" w:space="0" w:color="auto"/>
          </w:divBdr>
          <w:divsChild>
            <w:div w:id="1115909174">
              <w:marLeft w:val="0"/>
              <w:marRight w:val="0"/>
              <w:marTop w:val="0"/>
              <w:marBottom w:val="0"/>
              <w:divBdr>
                <w:top w:val="none" w:sz="0" w:space="0" w:color="auto"/>
                <w:left w:val="none" w:sz="0" w:space="0" w:color="auto"/>
                <w:bottom w:val="none" w:sz="0" w:space="0" w:color="auto"/>
                <w:right w:val="none" w:sz="0" w:space="0" w:color="auto"/>
              </w:divBdr>
            </w:div>
          </w:divsChild>
        </w:div>
        <w:div w:id="1850678979">
          <w:marLeft w:val="0"/>
          <w:marRight w:val="0"/>
          <w:marTop w:val="0"/>
          <w:marBottom w:val="0"/>
          <w:divBdr>
            <w:top w:val="none" w:sz="0" w:space="0" w:color="auto"/>
            <w:left w:val="none" w:sz="0" w:space="0" w:color="auto"/>
            <w:bottom w:val="none" w:sz="0" w:space="0" w:color="auto"/>
            <w:right w:val="none" w:sz="0" w:space="0" w:color="auto"/>
          </w:divBdr>
          <w:divsChild>
            <w:div w:id="84038668">
              <w:marLeft w:val="0"/>
              <w:marRight w:val="0"/>
              <w:marTop w:val="0"/>
              <w:marBottom w:val="0"/>
              <w:divBdr>
                <w:top w:val="none" w:sz="0" w:space="0" w:color="auto"/>
                <w:left w:val="none" w:sz="0" w:space="0" w:color="auto"/>
                <w:bottom w:val="none" w:sz="0" w:space="0" w:color="auto"/>
                <w:right w:val="none" w:sz="0" w:space="0" w:color="auto"/>
              </w:divBdr>
            </w:div>
          </w:divsChild>
        </w:div>
        <w:div w:id="1856259767">
          <w:marLeft w:val="0"/>
          <w:marRight w:val="0"/>
          <w:marTop w:val="0"/>
          <w:marBottom w:val="0"/>
          <w:divBdr>
            <w:top w:val="none" w:sz="0" w:space="0" w:color="auto"/>
            <w:left w:val="none" w:sz="0" w:space="0" w:color="auto"/>
            <w:bottom w:val="none" w:sz="0" w:space="0" w:color="auto"/>
            <w:right w:val="none" w:sz="0" w:space="0" w:color="auto"/>
          </w:divBdr>
          <w:divsChild>
            <w:div w:id="776099282">
              <w:marLeft w:val="0"/>
              <w:marRight w:val="0"/>
              <w:marTop w:val="0"/>
              <w:marBottom w:val="0"/>
              <w:divBdr>
                <w:top w:val="none" w:sz="0" w:space="0" w:color="auto"/>
                <w:left w:val="none" w:sz="0" w:space="0" w:color="auto"/>
                <w:bottom w:val="none" w:sz="0" w:space="0" w:color="auto"/>
                <w:right w:val="none" w:sz="0" w:space="0" w:color="auto"/>
              </w:divBdr>
            </w:div>
          </w:divsChild>
        </w:div>
        <w:div w:id="1873035694">
          <w:marLeft w:val="0"/>
          <w:marRight w:val="0"/>
          <w:marTop w:val="0"/>
          <w:marBottom w:val="0"/>
          <w:divBdr>
            <w:top w:val="none" w:sz="0" w:space="0" w:color="auto"/>
            <w:left w:val="none" w:sz="0" w:space="0" w:color="auto"/>
            <w:bottom w:val="none" w:sz="0" w:space="0" w:color="auto"/>
            <w:right w:val="none" w:sz="0" w:space="0" w:color="auto"/>
          </w:divBdr>
          <w:divsChild>
            <w:div w:id="1554346001">
              <w:marLeft w:val="0"/>
              <w:marRight w:val="0"/>
              <w:marTop w:val="0"/>
              <w:marBottom w:val="0"/>
              <w:divBdr>
                <w:top w:val="none" w:sz="0" w:space="0" w:color="auto"/>
                <w:left w:val="none" w:sz="0" w:space="0" w:color="auto"/>
                <w:bottom w:val="none" w:sz="0" w:space="0" w:color="auto"/>
                <w:right w:val="none" w:sz="0" w:space="0" w:color="auto"/>
              </w:divBdr>
            </w:div>
          </w:divsChild>
        </w:div>
        <w:div w:id="1909145994">
          <w:marLeft w:val="0"/>
          <w:marRight w:val="0"/>
          <w:marTop w:val="0"/>
          <w:marBottom w:val="0"/>
          <w:divBdr>
            <w:top w:val="none" w:sz="0" w:space="0" w:color="auto"/>
            <w:left w:val="none" w:sz="0" w:space="0" w:color="auto"/>
            <w:bottom w:val="none" w:sz="0" w:space="0" w:color="auto"/>
            <w:right w:val="none" w:sz="0" w:space="0" w:color="auto"/>
          </w:divBdr>
          <w:divsChild>
            <w:div w:id="2132359585">
              <w:marLeft w:val="0"/>
              <w:marRight w:val="0"/>
              <w:marTop w:val="0"/>
              <w:marBottom w:val="0"/>
              <w:divBdr>
                <w:top w:val="none" w:sz="0" w:space="0" w:color="auto"/>
                <w:left w:val="none" w:sz="0" w:space="0" w:color="auto"/>
                <w:bottom w:val="none" w:sz="0" w:space="0" w:color="auto"/>
                <w:right w:val="none" w:sz="0" w:space="0" w:color="auto"/>
              </w:divBdr>
            </w:div>
          </w:divsChild>
        </w:div>
        <w:div w:id="1909416660">
          <w:marLeft w:val="0"/>
          <w:marRight w:val="0"/>
          <w:marTop w:val="0"/>
          <w:marBottom w:val="0"/>
          <w:divBdr>
            <w:top w:val="none" w:sz="0" w:space="0" w:color="auto"/>
            <w:left w:val="none" w:sz="0" w:space="0" w:color="auto"/>
            <w:bottom w:val="none" w:sz="0" w:space="0" w:color="auto"/>
            <w:right w:val="none" w:sz="0" w:space="0" w:color="auto"/>
          </w:divBdr>
          <w:divsChild>
            <w:div w:id="304237533">
              <w:marLeft w:val="0"/>
              <w:marRight w:val="0"/>
              <w:marTop w:val="0"/>
              <w:marBottom w:val="0"/>
              <w:divBdr>
                <w:top w:val="none" w:sz="0" w:space="0" w:color="auto"/>
                <w:left w:val="none" w:sz="0" w:space="0" w:color="auto"/>
                <w:bottom w:val="none" w:sz="0" w:space="0" w:color="auto"/>
                <w:right w:val="none" w:sz="0" w:space="0" w:color="auto"/>
              </w:divBdr>
            </w:div>
          </w:divsChild>
        </w:div>
        <w:div w:id="1913269545">
          <w:marLeft w:val="0"/>
          <w:marRight w:val="0"/>
          <w:marTop w:val="0"/>
          <w:marBottom w:val="0"/>
          <w:divBdr>
            <w:top w:val="none" w:sz="0" w:space="0" w:color="auto"/>
            <w:left w:val="none" w:sz="0" w:space="0" w:color="auto"/>
            <w:bottom w:val="none" w:sz="0" w:space="0" w:color="auto"/>
            <w:right w:val="none" w:sz="0" w:space="0" w:color="auto"/>
          </w:divBdr>
          <w:divsChild>
            <w:div w:id="1204949149">
              <w:marLeft w:val="0"/>
              <w:marRight w:val="0"/>
              <w:marTop w:val="0"/>
              <w:marBottom w:val="0"/>
              <w:divBdr>
                <w:top w:val="none" w:sz="0" w:space="0" w:color="auto"/>
                <w:left w:val="none" w:sz="0" w:space="0" w:color="auto"/>
                <w:bottom w:val="none" w:sz="0" w:space="0" w:color="auto"/>
                <w:right w:val="none" w:sz="0" w:space="0" w:color="auto"/>
              </w:divBdr>
            </w:div>
          </w:divsChild>
        </w:div>
        <w:div w:id="1920678318">
          <w:marLeft w:val="0"/>
          <w:marRight w:val="0"/>
          <w:marTop w:val="0"/>
          <w:marBottom w:val="0"/>
          <w:divBdr>
            <w:top w:val="none" w:sz="0" w:space="0" w:color="auto"/>
            <w:left w:val="none" w:sz="0" w:space="0" w:color="auto"/>
            <w:bottom w:val="none" w:sz="0" w:space="0" w:color="auto"/>
            <w:right w:val="none" w:sz="0" w:space="0" w:color="auto"/>
          </w:divBdr>
          <w:divsChild>
            <w:div w:id="1016730982">
              <w:marLeft w:val="0"/>
              <w:marRight w:val="0"/>
              <w:marTop w:val="0"/>
              <w:marBottom w:val="0"/>
              <w:divBdr>
                <w:top w:val="none" w:sz="0" w:space="0" w:color="auto"/>
                <w:left w:val="none" w:sz="0" w:space="0" w:color="auto"/>
                <w:bottom w:val="none" w:sz="0" w:space="0" w:color="auto"/>
                <w:right w:val="none" w:sz="0" w:space="0" w:color="auto"/>
              </w:divBdr>
            </w:div>
          </w:divsChild>
        </w:div>
        <w:div w:id="1945533407">
          <w:marLeft w:val="0"/>
          <w:marRight w:val="0"/>
          <w:marTop w:val="0"/>
          <w:marBottom w:val="0"/>
          <w:divBdr>
            <w:top w:val="none" w:sz="0" w:space="0" w:color="auto"/>
            <w:left w:val="none" w:sz="0" w:space="0" w:color="auto"/>
            <w:bottom w:val="none" w:sz="0" w:space="0" w:color="auto"/>
            <w:right w:val="none" w:sz="0" w:space="0" w:color="auto"/>
          </w:divBdr>
          <w:divsChild>
            <w:div w:id="1087843057">
              <w:marLeft w:val="0"/>
              <w:marRight w:val="0"/>
              <w:marTop w:val="0"/>
              <w:marBottom w:val="0"/>
              <w:divBdr>
                <w:top w:val="none" w:sz="0" w:space="0" w:color="auto"/>
                <w:left w:val="none" w:sz="0" w:space="0" w:color="auto"/>
                <w:bottom w:val="none" w:sz="0" w:space="0" w:color="auto"/>
                <w:right w:val="none" w:sz="0" w:space="0" w:color="auto"/>
              </w:divBdr>
            </w:div>
          </w:divsChild>
        </w:div>
        <w:div w:id="1950500398">
          <w:marLeft w:val="0"/>
          <w:marRight w:val="0"/>
          <w:marTop w:val="0"/>
          <w:marBottom w:val="0"/>
          <w:divBdr>
            <w:top w:val="none" w:sz="0" w:space="0" w:color="auto"/>
            <w:left w:val="none" w:sz="0" w:space="0" w:color="auto"/>
            <w:bottom w:val="none" w:sz="0" w:space="0" w:color="auto"/>
            <w:right w:val="none" w:sz="0" w:space="0" w:color="auto"/>
          </w:divBdr>
          <w:divsChild>
            <w:div w:id="1665546530">
              <w:marLeft w:val="0"/>
              <w:marRight w:val="0"/>
              <w:marTop w:val="0"/>
              <w:marBottom w:val="0"/>
              <w:divBdr>
                <w:top w:val="none" w:sz="0" w:space="0" w:color="auto"/>
                <w:left w:val="none" w:sz="0" w:space="0" w:color="auto"/>
                <w:bottom w:val="none" w:sz="0" w:space="0" w:color="auto"/>
                <w:right w:val="none" w:sz="0" w:space="0" w:color="auto"/>
              </w:divBdr>
            </w:div>
          </w:divsChild>
        </w:div>
        <w:div w:id="1955403525">
          <w:marLeft w:val="0"/>
          <w:marRight w:val="0"/>
          <w:marTop w:val="0"/>
          <w:marBottom w:val="0"/>
          <w:divBdr>
            <w:top w:val="none" w:sz="0" w:space="0" w:color="auto"/>
            <w:left w:val="none" w:sz="0" w:space="0" w:color="auto"/>
            <w:bottom w:val="none" w:sz="0" w:space="0" w:color="auto"/>
            <w:right w:val="none" w:sz="0" w:space="0" w:color="auto"/>
          </w:divBdr>
          <w:divsChild>
            <w:div w:id="777720669">
              <w:marLeft w:val="0"/>
              <w:marRight w:val="0"/>
              <w:marTop w:val="0"/>
              <w:marBottom w:val="0"/>
              <w:divBdr>
                <w:top w:val="none" w:sz="0" w:space="0" w:color="auto"/>
                <w:left w:val="none" w:sz="0" w:space="0" w:color="auto"/>
                <w:bottom w:val="none" w:sz="0" w:space="0" w:color="auto"/>
                <w:right w:val="none" w:sz="0" w:space="0" w:color="auto"/>
              </w:divBdr>
            </w:div>
          </w:divsChild>
        </w:div>
        <w:div w:id="1961297190">
          <w:marLeft w:val="0"/>
          <w:marRight w:val="0"/>
          <w:marTop w:val="0"/>
          <w:marBottom w:val="0"/>
          <w:divBdr>
            <w:top w:val="none" w:sz="0" w:space="0" w:color="auto"/>
            <w:left w:val="none" w:sz="0" w:space="0" w:color="auto"/>
            <w:bottom w:val="none" w:sz="0" w:space="0" w:color="auto"/>
            <w:right w:val="none" w:sz="0" w:space="0" w:color="auto"/>
          </w:divBdr>
          <w:divsChild>
            <w:div w:id="1415277672">
              <w:marLeft w:val="0"/>
              <w:marRight w:val="0"/>
              <w:marTop w:val="0"/>
              <w:marBottom w:val="0"/>
              <w:divBdr>
                <w:top w:val="none" w:sz="0" w:space="0" w:color="auto"/>
                <w:left w:val="none" w:sz="0" w:space="0" w:color="auto"/>
                <w:bottom w:val="none" w:sz="0" w:space="0" w:color="auto"/>
                <w:right w:val="none" w:sz="0" w:space="0" w:color="auto"/>
              </w:divBdr>
            </w:div>
          </w:divsChild>
        </w:div>
        <w:div w:id="1982077141">
          <w:marLeft w:val="0"/>
          <w:marRight w:val="0"/>
          <w:marTop w:val="0"/>
          <w:marBottom w:val="0"/>
          <w:divBdr>
            <w:top w:val="none" w:sz="0" w:space="0" w:color="auto"/>
            <w:left w:val="none" w:sz="0" w:space="0" w:color="auto"/>
            <w:bottom w:val="none" w:sz="0" w:space="0" w:color="auto"/>
            <w:right w:val="none" w:sz="0" w:space="0" w:color="auto"/>
          </w:divBdr>
          <w:divsChild>
            <w:div w:id="1645740615">
              <w:marLeft w:val="0"/>
              <w:marRight w:val="0"/>
              <w:marTop w:val="0"/>
              <w:marBottom w:val="0"/>
              <w:divBdr>
                <w:top w:val="none" w:sz="0" w:space="0" w:color="auto"/>
                <w:left w:val="none" w:sz="0" w:space="0" w:color="auto"/>
                <w:bottom w:val="none" w:sz="0" w:space="0" w:color="auto"/>
                <w:right w:val="none" w:sz="0" w:space="0" w:color="auto"/>
              </w:divBdr>
            </w:div>
          </w:divsChild>
        </w:div>
        <w:div w:id="1991984599">
          <w:marLeft w:val="0"/>
          <w:marRight w:val="0"/>
          <w:marTop w:val="0"/>
          <w:marBottom w:val="0"/>
          <w:divBdr>
            <w:top w:val="none" w:sz="0" w:space="0" w:color="auto"/>
            <w:left w:val="none" w:sz="0" w:space="0" w:color="auto"/>
            <w:bottom w:val="none" w:sz="0" w:space="0" w:color="auto"/>
            <w:right w:val="none" w:sz="0" w:space="0" w:color="auto"/>
          </w:divBdr>
          <w:divsChild>
            <w:div w:id="322197313">
              <w:marLeft w:val="0"/>
              <w:marRight w:val="0"/>
              <w:marTop w:val="0"/>
              <w:marBottom w:val="0"/>
              <w:divBdr>
                <w:top w:val="none" w:sz="0" w:space="0" w:color="auto"/>
                <w:left w:val="none" w:sz="0" w:space="0" w:color="auto"/>
                <w:bottom w:val="none" w:sz="0" w:space="0" w:color="auto"/>
                <w:right w:val="none" w:sz="0" w:space="0" w:color="auto"/>
              </w:divBdr>
            </w:div>
          </w:divsChild>
        </w:div>
        <w:div w:id="1992253434">
          <w:marLeft w:val="0"/>
          <w:marRight w:val="0"/>
          <w:marTop w:val="0"/>
          <w:marBottom w:val="0"/>
          <w:divBdr>
            <w:top w:val="none" w:sz="0" w:space="0" w:color="auto"/>
            <w:left w:val="none" w:sz="0" w:space="0" w:color="auto"/>
            <w:bottom w:val="none" w:sz="0" w:space="0" w:color="auto"/>
            <w:right w:val="none" w:sz="0" w:space="0" w:color="auto"/>
          </w:divBdr>
          <w:divsChild>
            <w:div w:id="1911690791">
              <w:marLeft w:val="0"/>
              <w:marRight w:val="0"/>
              <w:marTop w:val="0"/>
              <w:marBottom w:val="0"/>
              <w:divBdr>
                <w:top w:val="none" w:sz="0" w:space="0" w:color="auto"/>
                <w:left w:val="none" w:sz="0" w:space="0" w:color="auto"/>
                <w:bottom w:val="none" w:sz="0" w:space="0" w:color="auto"/>
                <w:right w:val="none" w:sz="0" w:space="0" w:color="auto"/>
              </w:divBdr>
            </w:div>
          </w:divsChild>
        </w:div>
        <w:div w:id="1998150544">
          <w:marLeft w:val="0"/>
          <w:marRight w:val="0"/>
          <w:marTop w:val="0"/>
          <w:marBottom w:val="0"/>
          <w:divBdr>
            <w:top w:val="none" w:sz="0" w:space="0" w:color="auto"/>
            <w:left w:val="none" w:sz="0" w:space="0" w:color="auto"/>
            <w:bottom w:val="none" w:sz="0" w:space="0" w:color="auto"/>
            <w:right w:val="none" w:sz="0" w:space="0" w:color="auto"/>
          </w:divBdr>
          <w:divsChild>
            <w:div w:id="907032790">
              <w:marLeft w:val="0"/>
              <w:marRight w:val="0"/>
              <w:marTop w:val="0"/>
              <w:marBottom w:val="0"/>
              <w:divBdr>
                <w:top w:val="none" w:sz="0" w:space="0" w:color="auto"/>
                <w:left w:val="none" w:sz="0" w:space="0" w:color="auto"/>
                <w:bottom w:val="none" w:sz="0" w:space="0" w:color="auto"/>
                <w:right w:val="none" w:sz="0" w:space="0" w:color="auto"/>
              </w:divBdr>
            </w:div>
          </w:divsChild>
        </w:div>
        <w:div w:id="2006277667">
          <w:marLeft w:val="0"/>
          <w:marRight w:val="0"/>
          <w:marTop w:val="0"/>
          <w:marBottom w:val="0"/>
          <w:divBdr>
            <w:top w:val="none" w:sz="0" w:space="0" w:color="auto"/>
            <w:left w:val="none" w:sz="0" w:space="0" w:color="auto"/>
            <w:bottom w:val="none" w:sz="0" w:space="0" w:color="auto"/>
            <w:right w:val="none" w:sz="0" w:space="0" w:color="auto"/>
          </w:divBdr>
          <w:divsChild>
            <w:div w:id="1381661781">
              <w:marLeft w:val="0"/>
              <w:marRight w:val="0"/>
              <w:marTop w:val="0"/>
              <w:marBottom w:val="0"/>
              <w:divBdr>
                <w:top w:val="none" w:sz="0" w:space="0" w:color="auto"/>
                <w:left w:val="none" w:sz="0" w:space="0" w:color="auto"/>
                <w:bottom w:val="none" w:sz="0" w:space="0" w:color="auto"/>
                <w:right w:val="none" w:sz="0" w:space="0" w:color="auto"/>
              </w:divBdr>
            </w:div>
          </w:divsChild>
        </w:div>
        <w:div w:id="2006400444">
          <w:marLeft w:val="0"/>
          <w:marRight w:val="0"/>
          <w:marTop w:val="0"/>
          <w:marBottom w:val="0"/>
          <w:divBdr>
            <w:top w:val="none" w:sz="0" w:space="0" w:color="auto"/>
            <w:left w:val="none" w:sz="0" w:space="0" w:color="auto"/>
            <w:bottom w:val="none" w:sz="0" w:space="0" w:color="auto"/>
            <w:right w:val="none" w:sz="0" w:space="0" w:color="auto"/>
          </w:divBdr>
          <w:divsChild>
            <w:div w:id="1054281579">
              <w:marLeft w:val="0"/>
              <w:marRight w:val="0"/>
              <w:marTop w:val="0"/>
              <w:marBottom w:val="0"/>
              <w:divBdr>
                <w:top w:val="none" w:sz="0" w:space="0" w:color="auto"/>
                <w:left w:val="none" w:sz="0" w:space="0" w:color="auto"/>
                <w:bottom w:val="none" w:sz="0" w:space="0" w:color="auto"/>
                <w:right w:val="none" w:sz="0" w:space="0" w:color="auto"/>
              </w:divBdr>
            </w:div>
          </w:divsChild>
        </w:div>
        <w:div w:id="2010018804">
          <w:marLeft w:val="0"/>
          <w:marRight w:val="0"/>
          <w:marTop w:val="0"/>
          <w:marBottom w:val="0"/>
          <w:divBdr>
            <w:top w:val="none" w:sz="0" w:space="0" w:color="auto"/>
            <w:left w:val="none" w:sz="0" w:space="0" w:color="auto"/>
            <w:bottom w:val="none" w:sz="0" w:space="0" w:color="auto"/>
            <w:right w:val="none" w:sz="0" w:space="0" w:color="auto"/>
          </w:divBdr>
          <w:divsChild>
            <w:div w:id="2140757939">
              <w:marLeft w:val="0"/>
              <w:marRight w:val="0"/>
              <w:marTop w:val="0"/>
              <w:marBottom w:val="0"/>
              <w:divBdr>
                <w:top w:val="none" w:sz="0" w:space="0" w:color="auto"/>
                <w:left w:val="none" w:sz="0" w:space="0" w:color="auto"/>
                <w:bottom w:val="none" w:sz="0" w:space="0" w:color="auto"/>
                <w:right w:val="none" w:sz="0" w:space="0" w:color="auto"/>
              </w:divBdr>
            </w:div>
          </w:divsChild>
        </w:div>
        <w:div w:id="2019379687">
          <w:marLeft w:val="0"/>
          <w:marRight w:val="0"/>
          <w:marTop w:val="0"/>
          <w:marBottom w:val="0"/>
          <w:divBdr>
            <w:top w:val="none" w:sz="0" w:space="0" w:color="auto"/>
            <w:left w:val="none" w:sz="0" w:space="0" w:color="auto"/>
            <w:bottom w:val="none" w:sz="0" w:space="0" w:color="auto"/>
            <w:right w:val="none" w:sz="0" w:space="0" w:color="auto"/>
          </w:divBdr>
          <w:divsChild>
            <w:div w:id="1752963721">
              <w:marLeft w:val="0"/>
              <w:marRight w:val="0"/>
              <w:marTop w:val="0"/>
              <w:marBottom w:val="0"/>
              <w:divBdr>
                <w:top w:val="none" w:sz="0" w:space="0" w:color="auto"/>
                <w:left w:val="none" w:sz="0" w:space="0" w:color="auto"/>
                <w:bottom w:val="none" w:sz="0" w:space="0" w:color="auto"/>
                <w:right w:val="none" w:sz="0" w:space="0" w:color="auto"/>
              </w:divBdr>
            </w:div>
          </w:divsChild>
        </w:div>
        <w:div w:id="2023162744">
          <w:marLeft w:val="0"/>
          <w:marRight w:val="0"/>
          <w:marTop w:val="0"/>
          <w:marBottom w:val="0"/>
          <w:divBdr>
            <w:top w:val="none" w:sz="0" w:space="0" w:color="auto"/>
            <w:left w:val="none" w:sz="0" w:space="0" w:color="auto"/>
            <w:bottom w:val="none" w:sz="0" w:space="0" w:color="auto"/>
            <w:right w:val="none" w:sz="0" w:space="0" w:color="auto"/>
          </w:divBdr>
          <w:divsChild>
            <w:div w:id="1429425394">
              <w:marLeft w:val="0"/>
              <w:marRight w:val="0"/>
              <w:marTop w:val="0"/>
              <w:marBottom w:val="0"/>
              <w:divBdr>
                <w:top w:val="none" w:sz="0" w:space="0" w:color="auto"/>
                <w:left w:val="none" w:sz="0" w:space="0" w:color="auto"/>
                <w:bottom w:val="none" w:sz="0" w:space="0" w:color="auto"/>
                <w:right w:val="none" w:sz="0" w:space="0" w:color="auto"/>
              </w:divBdr>
            </w:div>
          </w:divsChild>
        </w:div>
        <w:div w:id="2050639360">
          <w:marLeft w:val="0"/>
          <w:marRight w:val="0"/>
          <w:marTop w:val="0"/>
          <w:marBottom w:val="0"/>
          <w:divBdr>
            <w:top w:val="none" w:sz="0" w:space="0" w:color="auto"/>
            <w:left w:val="none" w:sz="0" w:space="0" w:color="auto"/>
            <w:bottom w:val="none" w:sz="0" w:space="0" w:color="auto"/>
            <w:right w:val="none" w:sz="0" w:space="0" w:color="auto"/>
          </w:divBdr>
          <w:divsChild>
            <w:div w:id="1381712583">
              <w:marLeft w:val="0"/>
              <w:marRight w:val="0"/>
              <w:marTop w:val="0"/>
              <w:marBottom w:val="0"/>
              <w:divBdr>
                <w:top w:val="none" w:sz="0" w:space="0" w:color="auto"/>
                <w:left w:val="none" w:sz="0" w:space="0" w:color="auto"/>
                <w:bottom w:val="none" w:sz="0" w:space="0" w:color="auto"/>
                <w:right w:val="none" w:sz="0" w:space="0" w:color="auto"/>
              </w:divBdr>
            </w:div>
          </w:divsChild>
        </w:div>
        <w:div w:id="2053726065">
          <w:marLeft w:val="0"/>
          <w:marRight w:val="0"/>
          <w:marTop w:val="0"/>
          <w:marBottom w:val="0"/>
          <w:divBdr>
            <w:top w:val="none" w:sz="0" w:space="0" w:color="auto"/>
            <w:left w:val="none" w:sz="0" w:space="0" w:color="auto"/>
            <w:bottom w:val="none" w:sz="0" w:space="0" w:color="auto"/>
            <w:right w:val="none" w:sz="0" w:space="0" w:color="auto"/>
          </w:divBdr>
          <w:divsChild>
            <w:div w:id="1480879408">
              <w:marLeft w:val="0"/>
              <w:marRight w:val="0"/>
              <w:marTop w:val="0"/>
              <w:marBottom w:val="0"/>
              <w:divBdr>
                <w:top w:val="none" w:sz="0" w:space="0" w:color="auto"/>
                <w:left w:val="none" w:sz="0" w:space="0" w:color="auto"/>
                <w:bottom w:val="none" w:sz="0" w:space="0" w:color="auto"/>
                <w:right w:val="none" w:sz="0" w:space="0" w:color="auto"/>
              </w:divBdr>
            </w:div>
          </w:divsChild>
        </w:div>
        <w:div w:id="2060013555">
          <w:marLeft w:val="0"/>
          <w:marRight w:val="0"/>
          <w:marTop w:val="0"/>
          <w:marBottom w:val="0"/>
          <w:divBdr>
            <w:top w:val="none" w:sz="0" w:space="0" w:color="auto"/>
            <w:left w:val="none" w:sz="0" w:space="0" w:color="auto"/>
            <w:bottom w:val="none" w:sz="0" w:space="0" w:color="auto"/>
            <w:right w:val="none" w:sz="0" w:space="0" w:color="auto"/>
          </w:divBdr>
          <w:divsChild>
            <w:div w:id="1760059048">
              <w:marLeft w:val="0"/>
              <w:marRight w:val="0"/>
              <w:marTop w:val="0"/>
              <w:marBottom w:val="0"/>
              <w:divBdr>
                <w:top w:val="none" w:sz="0" w:space="0" w:color="auto"/>
                <w:left w:val="none" w:sz="0" w:space="0" w:color="auto"/>
                <w:bottom w:val="none" w:sz="0" w:space="0" w:color="auto"/>
                <w:right w:val="none" w:sz="0" w:space="0" w:color="auto"/>
              </w:divBdr>
            </w:div>
          </w:divsChild>
        </w:div>
        <w:div w:id="2075882859">
          <w:marLeft w:val="0"/>
          <w:marRight w:val="0"/>
          <w:marTop w:val="0"/>
          <w:marBottom w:val="0"/>
          <w:divBdr>
            <w:top w:val="none" w:sz="0" w:space="0" w:color="auto"/>
            <w:left w:val="none" w:sz="0" w:space="0" w:color="auto"/>
            <w:bottom w:val="none" w:sz="0" w:space="0" w:color="auto"/>
            <w:right w:val="none" w:sz="0" w:space="0" w:color="auto"/>
          </w:divBdr>
          <w:divsChild>
            <w:div w:id="1384793733">
              <w:marLeft w:val="0"/>
              <w:marRight w:val="0"/>
              <w:marTop w:val="0"/>
              <w:marBottom w:val="0"/>
              <w:divBdr>
                <w:top w:val="none" w:sz="0" w:space="0" w:color="auto"/>
                <w:left w:val="none" w:sz="0" w:space="0" w:color="auto"/>
                <w:bottom w:val="none" w:sz="0" w:space="0" w:color="auto"/>
                <w:right w:val="none" w:sz="0" w:space="0" w:color="auto"/>
              </w:divBdr>
            </w:div>
          </w:divsChild>
        </w:div>
        <w:div w:id="2078896804">
          <w:marLeft w:val="0"/>
          <w:marRight w:val="0"/>
          <w:marTop w:val="0"/>
          <w:marBottom w:val="0"/>
          <w:divBdr>
            <w:top w:val="none" w:sz="0" w:space="0" w:color="auto"/>
            <w:left w:val="none" w:sz="0" w:space="0" w:color="auto"/>
            <w:bottom w:val="none" w:sz="0" w:space="0" w:color="auto"/>
            <w:right w:val="none" w:sz="0" w:space="0" w:color="auto"/>
          </w:divBdr>
          <w:divsChild>
            <w:div w:id="1365639621">
              <w:marLeft w:val="0"/>
              <w:marRight w:val="0"/>
              <w:marTop w:val="0"/>
              <w:marBottom w:val="0"/>
              <w:divBdr>
                <w:top w:val="none" w:sz="0" w:space="0" w:color="auto"/>
                <w:left w:val="none" w:sz="0" w:space="0" w:color="auto"/>
                <w:bottom w:val="none" w:sz="0" w:space="0" w:color="auto"/>
                <w:right w:val="none" w:sz="0" w:space="0" w:color="auto"/>
              </w:divBdr>
            </w:div>
          </w:divsChild>
        </w:div>
        <w:div w:id="2095469035">
          <w:marLeft w:val="0"/>
          <w:marRight w:val="0"/>
          <w:marTop w:val="0"/>
          <w:marBottom w:val="0"/>
          <w:divBdr>
            <w:top w:val="none" w:sz="0" w:space="0" w:color="auto"/>
            <w:left w:val="none" w:sz="0" w:space="0" w:color="auto"/>
            <w:bottom w:val="none" w:sz="0" w:space="0" w:color="auto"/>
            <w:right w:val="none" w:sz="0" w:space="0" w:color="auto"/>
          </w:divBdr>
          <w:divsChild>
            <w:div w:id="1057900525">
              <w:marLeft w:val="0"/>
              <w:marRight w:val="0"/>
              <w:marTop w:val="0"/>
              <w:marBottom w:val="0"/>
              <w:divBdr>
                <w:top w:val="none" w:sz="0" w:space="0" w:color="auto"/>
                <w:left w:val="none" w:sz="0" w:space="0" w:color="auto"/>
                <w:bottom w:val="none" w:sz="0" w:space="0" w:color="auto"/>
                <w:right w:val="none" w:sz="0" w:space="0" w:color="auto"/>
              </w:divBdr>
            </w:div>
          </w:divsChild>
        </w:div>
        <w:div w:id="2097824257">
          <w:marLeft w:val="0"/>
          <w:marRight w:val="0"/>
          <w:marTop w:val="0"/>
          <w:marBottom w:val="0"/>
          <w:divBdr>
            <w:top w:val="none" w:sz="0" w:space="0" w:color="auto"/>
            <w:left w:val="none" w:sz="0" w:space="0" w:color="auto"/>
            <w:bottom w:val="none" w:sz="0" w:space="0" w:color="auto"/>
            <w:right w:val="none" w:sz="0" w:space="0" w:color="auto"/>
          </w:divBdr>
          <w:divsChild>
            <w:div w:id="1007368663">
              <w:marLeft w:val="0"/>
              <w:marRight w:val="0"/>
              <w:marTop w:val="0"/>
              <w:marBottom w:val="0"/>
              <w:divBdr>
                <w:top w:val="none" w:sz="0" w:space="0" w:color="auto"/>
                <w:left w:val="none" w:sz="0" w:space="0" w:color="auto"/>
                <w:bottom w:val="none" w:sz="0" w:space="0" w:color="auto"/>
                <w:right w:val="none" w:sz="0" w:space="0" w:color="auto"/>
              </w:divBdr>
            </w:div>
          </w:divsChild>
        </w:div>
        <w:div w:id="2098204828">
          <w:marLeft w:val="0"/>
          <w:marRight w:val="0"/>
          <w:marTop w:val="0"/>
          <w:marBottom w:val="0"/>
          <w:divBdr>
            <w:top w:val="none" w:sz="0" w:space="0" w:color="auto"/>
            <w:left w:val="none" w:sz="0" w:space="0" w:color="auto"/>
            <w:bottom w:val="none" w:sz="0" w:space="0" w:color="auto"/>
            <w:right w:val="none" w:sz="0" w:space="0" w:color="auto"/>
          </w:divBdr>
          <w:divsChild>
            <w:div w:id="1634942416">
              <w:marLeft w:val="0"/>
              <w:marRight w:val="0"/>
              <w:marTop w:val="0"/>
              <w:marBottom w:val="0"/>
              <w:divBdr>
                <w:top w:val="none" w:sz="0" w:space="0" w:color="auto"/>
                <w:left w:val="none" w:sz="0" w:space="0" w:color="auto"/>
                <w:bottom w:val="none" w:sz="0" w:space="0" w:color="auto"/>
                <w:right w:val="none" w:sz="0" w:space="0" w:color="auto"/>
              </w:divBdr>
            </w:div>
          </w:divsChild>
        </w:div>
        <w:div w:id="2110271182">
          <w:marLeft w:val="0"/>
          <w:marRight w:val="0"/>
          <w:marTop w:val="0"/>
          <w:marBottom w:val="0"/>
          <w:divBdr>
            <w:top w:val="none" w:sz="0" w:space="0" w:color="auto"/>
            <w:left w:val="none" w:sz="0" w:space="0" w:color="auto"/>
            <w:bottom w:val="none" w:sz="0" w:space="0" w:color="auto"/>
            <w:right w:val="none" w:sz="0" w:space="0" w:color="auto"/>
          </w:divBdr>
          <w:divsChild>
            <w:div w:id="1804544576">
              <w:marLeft w:val="0"/>
              <w:marRight w:val="0"/>
              <w:marTop w:val="0"/>
              <w:marBottom w:val="0"/>
              <w:divBdr>
                <w:top w:val="none" w:sz="0" w:space="0" w:color="auto"/>
                <w:left w:val="none" w:sz="0" w:space="0" w:color="auto"/>
                <w:bottom w:val="none" w:sz="0" w:space="0" w:color="auto"/>
                <w:right w:val="none" w:sz="0" w:space="0" w:color="auto"/>
              </w:divBdr>
            </w:div>
          </w:divsChild>
        </w:div>
        <w:div w:id="2128036549">
          <w:marLeft w:val="0"/>
          <w:marRight w:val="0"/>
          <w:marTop w:val="0"/>
          <w:marBottom w:val="0"/>
          <w:divBdr>
            <w:top w:val="none" w:sz="0" w:space="0" w:color="auto"/>
            <w:left w:val="none" w:sz="0" w:space="0" w:color="auto"/>
            <w:bottom w:val="none" w:sz="0" w:space="0" w:color="auto"/>
            <w:right w:val="none" w:sz="0" w:space="0" w:color="auto"/>
          </w:divBdr>
          <w:divsChild>
            <w:div w:id="1495953502">
              <w:marLeft w:val="0"/>
              <w:marRight w:val="0"/>
              <w:marTop w:val="0"/>
              <w:marBottom w:val="0"/>
              <w:divBdr>
                <w:top w:val="none" w:sz="0" w:space="0" w:color="auto"/>
                <w:left w:val="none" w:sz="0" w:space="0" w:color="auto"/>
                <w:bottom w:val="none" w:sz="0" w:space="0" w:color="auto"/>
                <w:right w:val="none" w:sz="0" w:space="0" w:color="auto"/>
              </w:divBdr>
            </w:div>
          </w:divsChild>
        </w:div>
        <w:div w:id="2128158246">
          <w:marLeft w:val="0"/>
          <w:marRight w:val="0"/>
          <w:marTop w:val="0"/>
          <w:marBottom w:val="0"/>
          <w:divBdr>
            <w:top w:val="none" w:sz="0" w:space="0" w:color="auto"/>
            <w:left w:val="none" w:sz="0" w:space="0" w:color="auto"/>
            <w:bottom w:val="none" w:sz="0" w:space="0" w:color="auto"/>
            <w:right w:val="none" w:sz="0" w:space="0" w:color="auto"/>
          </w:divBdr>
          <w:divsChild>
            <w:div w:id="1507984868">
              <w:marLeft w:val="0"/>
              <w:marRight w:val="0"/>
              <w:marTop w:val="0"/>
              <w:marBottom w:val="0"/>
              <w:divBdr>
                <w:top w:val="none" w:sz="0" w:space="0" w:color="auto"/>
                <w:left w:val="none" w:sz="0" w:space="0" w:color="auto"/>
                <w:bottom w:val="none" w:sz="0" w:space="0" w:color="auto"/>
                <w:right w:val="none" w:sz="0" w:space="0" w:color="auto"/>
              </w:divBdr>
            </w:div>
          </w:divsChild>
        </w:div>
        <w:div w:id="2130856507">
          <w:marLeft w:val="0"/>
          <w:marRight w:val="0"/>
          <w:marTop w:val="0"/>
          <w:marBottom w:val="0"/>
          <w:divBdr>
            <w:top w:val="none" w:sz="0" w:space="0" w:color="auto"/>
            <w:left w:val="none" w:sz="0" w:space="0" w:color="auto"/>
            <w:bottom w:val="none" w:sz="0" w:space="0" w:color="auto"/>
            <w:right w:val="none" w:sz="0" w:space="0" w:color="auto"/>
          </w:divBdr>
          <w:divsChild>
            <w:div w:id="229191990">
              <w:marLeft w:val="0"/>
              <w:marRight w:val="0"/>
              <w:marTop w:val="0"/>
              <w:marBottom w:val="0"/>
              <w:divBdr>
                <w:top w:val="none" w:sz="0" w:space="0" w:color="auto"/>
                <w:left w:val="none" w:sz="0" w:space="0" w:color="auto"/>
                <w:bottom w:val="none" w:sz="0" w:space="0" w:color="auto"/>
                <w:right w:val="none" w:sz="0" w:space="0" w:color="auto"/>
              </w:divBdr>
            </w:div>
          </w:divsChild>
        </w:div>
        <w:div w:id="2133211502">
          <w:marLeft w:val="0"/>
          <w:marRight w:val="0"/>
          <w:marTop w:val="0"/>
          <w:marBottom w:val="0"/>
          <w:divBdr>
            <w:top w:val="none" w:sz="0" w:space="0" w:color="auto"/>
            <w:left w:val="none" w:sz="0" w:space="0" w:color="auto"/>
            <w:bottom w:val="none" w:sz="0" w:space="0" w:color="auto"/>
            <w:right w:val="none" w:sz="0" w:space="0" w:color="auto"/>
          </w:divBdr>
          <w:divsChild>
            <w:div w:id="1279333544">
              <w:marLeft w:val="0"/>
              <w:marRight w:val="0"/>
              <w:marTop w:val="0"/>
              <w:marBottom w:val="0"/>
              <w:divBdr>
                <w:top w:val="none" w:sz="0" w:space="0" w:color="auto"/>
                <w:left w:val="none" w:sz="0" w:space="0" w:color="auto"/>
                <w:bottom w:val="none" w:sz="0" w:space="0" w:color="auto"/>
                <w:right w:val="none" w:sz="0" w:space="0" w:color="auto"/>
              </w:divBdr>
            </w:div>
          </w:divsChild>
        </w:div>
        <w:div w:id="2138595964">
          <w:marLeft w:val="0"/>
          <w:marRight w:val="0"/>
          <w:marTop w:val="0"/>
          <w:marBottom w:val="0"/>
          <w:divBdr>
            <w:top w:val="none" w:sz="0" w:space="0" w:color="auto"/>
            <w:left w:val="none" w:sz="0" w:space="0" w:color="auto"/>
            <w:bottom w:val="none" w:sz="0" w:space="0" w:color="auto"/>
            <w:right w:val="none" w:sz="0" w:space="0" w:color="auto"/>
          </w:divBdr>
          <w:divsChild>
            <w:div w:id="1664046386">
              <w:marLeft w:val="0"/>
              <w:marRight w:val="0"/>
              <w:marTop w:val="0"/>
              <w:marBottom w:val="0"/>
              <w:divBdr>
                <w:top w:val="none" w:sz="0" w:space="0" w:color="auto"/>
                <w:left w:val="none" w:sz="0" w:space="0" w:color="auto"/>
                <w:bottom w:val="none" w:sz="0" w:space="0" w:color="auto"/>
                <w:right w:val="none" w:sz="0" w:space="0" w:color="auto"/>
              </w:divBdr>
            </w:div>
          </w:divsChild>
        </w:div>
        <w:div w:id="2140802671">
          <w:marLeft w:val="0"/>
          <w:marRight w:val="0"/>
          <w:marTop w:val="0"/>
          <w:marBottom w:val="0"/>
          <w:divBdr>
            <w:top w:val="none" w:sz="0" w:space="0" w:color="auto"/>
            <w:left w:val="none" w:sz="0" w:space="0" w:color="auto"/>
            <w:bottom w:val="none" w:sz="0" w:space="0" w:color="auto"/>
            <w:right w:val="none" w:sz="0" w:space="0" w:color="auto"/>
          </w:divBdr>
          <w:divsChild>
            <w:div w:id="75594637">
              <w:marLeft w:val="0"/>
              <w:marRight w:val="0"/>
              <w:marTop w:val="0"/>
              <w:marBottom w:val="0"/>
              <w:divBdr>
                <w:top w:val="none" w:sz="0" w:space="0" w:color="auto"/>
                <w:left w:val="none" w:sz="0" w:space="0" w:color="auto"/>
                <w:bottom w:val="none" w:sz="0" w:space="0" w:color="auto"/>
                <w:right w:val="none" w:sz="0" w:space="0" w:color="auto"/>
              </w:divBdr>
            </w:div>
          </w:divsChild>
        </w:div>
        <w:div w:id="2144157216">
          <w:marLeft w:val="0"/>
          <w:marRight w:val="0"/>
          <w:marTop w:val="0"/>
          <w:marBottom w:val="0"/>
          <w:divBdr>
            <w:top w:val="none" w:sz="0" w:space="0" w:color="auto"/>
            <w:left w:val="none" w:sz="0" w:space="0" w:color="auto"/>
            <w:bottom w:val="none" w:sz="0" w:space="0" w:color="auto"/>
            <w:right w:val="none" w:sz="0" w:space="0" w:color="auto"/>
          </w:divBdr>
          <w:divsChild>
            <w:div w:id="7292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90622">
      <w:bodyDiv w:val="1"/>
      <w:marLeft w:val="0"/>
      <w:marRight w:val="0"/>
      <w:marTop w:val="0"/>
      <w:marBottom w:val="0"/>
      <w:divBdr>
        <w:top w:val="none" w:sz="0" w:space="0" w:color="auto"/>
        <w:left w:val="none" w:sz="0" w:space="0" w:color="auto"/>
        <w:bottom w:val="none" w:sz="0" w:space="0" w:color="auto"/>
        <w:right w:val="none" w:sz="0" w:space="0" w:color="auto"/>
      </w:divBdr>
      <w:divsChild>
        <w:div w:id="986591248">
          <w:marLeft w:val="0"/>
          <w:marRight w:val="0"/>
          <w:marTop w:val="0"/>
          <w:marBottom w:val="0"/>
          <w:divBdr>
            <w:top w:val="none" w:sz="0" w:space="0" w:color="auto"/>
            <w:left w:val="none" w:sz="0" w:space="0" w:color="auto"/>
            <w:bottom w:val="none" w:sz="0" w:space="0" w:color="auto"/>
            <w:right w:val="none" w:sz="0" w:space="0" w:color="auto"/>
          </w:divBdr>
          <w:divsChild>
            <w:div w:id="1172724320">
              <w:marLeft w:val="0"/>
              <w:marRight w:val="0"/>
              <w:marTop w:val="0"/>
              <w:marBottom w:val="0"/>
              <w:divBdr>
                <w:top w:val="single" w:sz="6" w:space="0" w:color="666666"/>
                <w:left w:val="single" w:sz="6" w:space="0" w:color="666666"/>
                <w:bottom w:val="single" w:sz="48" w:space="0" w:color="000000"/>
                <w:right w:val="single" w:sz="6" w:space="0" w:color="666666"/>
              </w:divBdr>
              <w:divsChild>
                <w:div w:id="1874033384">
                  <w:marLeft w:val="0"/>
                  <w:marRight w:val="0"/>
                  <w:marTop w:val="0"/>
                  <w:marBottom w:val="0"/>
                  <w:divBdr>
                    <w:top w:val="none" w:sz="0" w:space="0" w:color="auto"/>
                    <w:left w:val="none" w:sz="0" w:space="0" w:color="auto"/>
                    <w:bottom w:val="none" w:sz="0" w:space="0" w:color="auto"/>
                    <w:right w:val="none" w:sz="0" w:space="0" w:color="auto"/>
                  </w:divBdr>
                  <w:divsChild>
                    <w:div w:id="290744654">
                      <w:marLeft w:val="150"/>
                      <w:marRight w:val="0"/>
                      <w:marTop w:val="150"/>
                      <w:marBottom w:val="0"/>
                      <w:divBdr>
                        <w:top w:val="none" w:sz="0" w:space="0" w:color="auto"/>
                        <w:left w:val="none" w:sz="0" w:space="0" w:color="auto"/>
                        <w:bottom w:val="none" w:sz="0" w:space="0" w:color="auto"/>
                        <w:right w:val="none" w:sz="0" w:space="0" w:color="auto"/>
                      </w:divBdr>
                      <w:divsChild>
                        <w:div w:id="1945720995">
                          <w:marLeft w:val="0"/>
                          <w:marRight w:val="0"/>
                          <w:marTop w:val="0"/>
                          <w:marBottom w:val="0"/>
                          <w:divBdr>
                            <w:top w:val="none" w:sz="0" w:space="0" w:color="auto"/>
                            <w:left w:val="none" w:sz="0" w:space="0" w:color="auto"/>
                            <w:bottom w:val="none" w:sz="0" w:space="0" w:color="auto"/>
                            <w:right w:val="none" w:sz="0" w:space="0" w:color="auto"/>
                          </w:divBdr>
                          <w:divsChild>
                            <w:div w:id="572086575">
                              <w:marLeft w:val="0"/>
                              <w:marRight w:val="0"/>
                              <w:marTop w:val="0"/>
                              <w:marBottom w:val="0"/>
                              <w:divBdr>
                                <w:top w:val="none" w:sz="0" w:space="0" w:color="auto"/>
                                <w:left w:val="none" w:sz="0" w:space="0" w:color="auto"/>
                                <w:bottom w:val="none" w:sz="0" w:space="0" w:color="auto"/>
                                <w:right w:val="none" w:sz="0" w:space="0" w:color="auto"/>
                              </w:divBdr>
                              <w:divsChild>
                                <w:div w:id="143010660">
                                  <w:marLeft w:val="0"/>
                                  <w:marRight w:val="0"/>
                                  <w:marTop w:val="0"/>
                                  <w:marBottom w:val="0"/>
                                  <w:divBdr>
                                    <w:top w:val="none" w:sz="0" w:space="0" w:color="auto"/>
                                    <w:left w:val="none" w:sz="0" w:space="0" w:color="auto"/>
                                    <w:bottom w:val="none" w:sz="0" w:space="0" w:color="auto"/>
                                    <w:right w:val="none" w:sz="0" w:space="0" w:color="auto"/>
                                  </w:divBdr>
                                  <w:divsChild>
                                    <w:div w:id="499203016">
                                      <w:marLeft w:val="0"/>
                                      <w:marRight w:val="0"/>
                                      <w:marTop w:val="0"/>
                                      <w:marBottom w:val="0"/>
                                      <w:divBdr>
                                        <w:top w:val="none" w:sz="0" w:space="0" w:color="auto"/>
                                        <w:left w:val="none" w:sz="0" w:space="0" w:color="auto"/>
                                        <w:bottom w:val="none" w:sz="0" w:space="0" w:color="auto"/>
                                        <w:right w:val="none" w:sz="0" w:space="0" w:color="auto"/>
                                      </w:divBdr>
                                      <w:divsChild>
                                        <w:div w:id="485636354">
                                          <w:marLeft w:val="0"/>
                                          <w:marRight w:val="0"/>
                                          <w:marTop w:val="0"/>
                                          <w:marBottom w:val="0"/>
                                          <w:divBdr>
                                            <w:top w:val="none" w:sz="0" w:space="0" w:color="auto"/>
                                            <w:left w:val="none" w:sz="0" w:space="0" w:color="auto"/>
                                            <w:bottom w:val="none" w:sz="0" w:space="0" w:color="auto"/>
                                            <w:right w:val="none" w:sz="0" w:space="0" w:color="auto"/>
                                          </w:divBdr>
                                          <w:divsChild>
                                            <w:div w:id="200362086">
                                              <w:marLeft w:val="0"/>
                                              <w:marRight w:val="0"/>
                                              <w:marTop w:val="0"/>
                                              <w:marBottom w:val="0"/>
                                              <w:divBdr>
                                                <w:top w:val="none" w:sz="0" w:space="0" w:color="auto"/>
                                                <w:left w:val="none" w:sz="0" w:space="0" w:color="auto"/>
                                                <w:bottom w:val="none" w:sz="0" w:space="0" w:color="auto"/>
                                                <w:right w:val="none" w:sz="0" w:space="0" w:color="auto"/>
                                              </w:divBdr>
                                              <w:divsChild>
                                                <w:div w:id="213976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0226238">
      <w:bodyDiv w:val="1"/>
      <w:marLeft w:val="0"/>
      <w:marRight w:val="0"/>
      <w:marTop w:val="0"/>
      <w:marBottom w:val="0"/>
      <w:divBdr>
        <w:top w:val="none" w:sz="0" w:space="0" w:color="auto"/>
        <w:left w:val="none" w:sz="0" w:space="0" w:color="auto"/>
        <w:bottom w:val="none" w:sz="0" w:space="0" w:color="auto"/>
        <w:right w:val="none" w:sz="0" w:space="0" w:color="auto"/>
      </w:divBdr>
    </w:div>
    <w:div w:id="1785880536">
      <w:bodyDiv w:val="1"/>
      <w:marLeft w:val="0"/>
      <w:marRight w:val="0"/>
      <w:marTop w:val="0"/>
      <w:marBottom w:val="0"/>
      <w:divBdr>
        <w:top w:val="none" w:sz="0" w:space="0" w:color="auto"/>
        <w:left w:val="none" w:sz="0" w:space="0" w:color="auto"/>
        <w:bottom w:val="none" w:sz="0" w:space="0" w:color="auto"/>
        <w:right w:val="none" w:sz="0" w:space="0" w:color="auto"/>
      </w:divBdr>
    </w:div>
    <w:div w:id="1950701827">
      <w:bodyDiv w:val="1"/>
      <w:marLeft w:val="0"/>
      <w:marRight w:val="0"/>
      <w:marTop w:val="0"/>
      <w:marBottom w:val="0"/>
      <w:divBdr>
        <w:top w:val="none" w:sz="0" w:space="0" w:color="auto"/>
        <w:left w:val="none" w:sz="0" w:space="0" w:color="auto"/>
        <w:bottom w:val="none" w:sz="0" w:space="0" w:color="auto"/>
        <w:right w:val="none" w:sz="0" w:space="0" w:color="auto"/>
      </w:divBdr>
    </w:div>
    <w:div w:id="1955138140">
      <w:bodyDiv w:val="1"/>
      <w:marLeft w:val="0"/>
      <w:marRight w:val="0"/>
      <w:marTop w:val="0"/>
      <w:marBottom w:val="0"/>
      <w:divBdr>
        <w:top w:val="none" w:sz="0" w:space="0" w:color="auto"/>
        <w:left w:val="none" w:sz="0" w:space="0" w:color="auto"/>
        <w:bottom w:val="none" w:sz="0" w:space="0" w:color="auto"/>
        <w:right w:val="none" w:sz="0" w:space="0" w:color="auto"/>
      </w:divBdr>
      <w:divsChild>
        <w:div w:id="7950385">
          <w:marLeft w:val="0"/>
          <w:marRight w:val="0"/>
          <w:marTop w:val="0"/>
          <w:marBottom w:val="0"/>
          <w:divBdr>
            <w:top w:val="none" w:sz="0" w:space="0" w:color="auto"/>
            <w:left w:val="none" w:sz="0" w:space="0" w:color="auto"/>
            <w:bottom w:val="none" w:sz="0" w:space="0" w:color="auto"/>
            <w:right w:val="none" w:sz="0" w:space="0" w:color="auto"/>
          </w:divBdr>
          <w:divsChild>
            <w:div w:id="519970931">
              <w:marLeft w:val="0"/>
              <w:marRight w:val="0"/>
              <w:marTop w:val="0"/>
              <w:marBottom w:val="0"/>
              <w:divBdr>
                <w:top w:val="none" w:sz="0" w:space="0" w:color="auto"/>
                <w:left w:val="none" w:sz="0" w:space="0" w:color="auto"/>
                <w:bottom w:val="none" w:sz="0" w:space="0" w:color="auto"/>
                <w:right w:val="none" w:sz="0" w:space="0" w:color="auto"/>
              </w:divBdr>
            </w:div>
          </w:divsChild>
        </w:div>
        <w:div w:id="12535140">
          <w:marLeft w:val="0"/>
          <w:marRight w:val="0"/>
          <w:marTop w:val="0"/>
          <w:marBottom w:val="0"/>
          <w:divBdr>
            <w:top w:val="none" w:sz="0" w:space="0" w:color="auto"/>
            <w:left w:val="none" w:sz="0" w:space="0" w:color="auto"/>
            <w:bottom w:val="none" w:sz="0" w:space="0" w:color="auto"/>
            <w:right w:val="none" w:sz="0" w:space="0" w:color="auto"/>
          </w:divBdr>
          <w:divsChild>
            <w:div w:id="1354841669">
              <w:marLeft w:val="0"/>
              <w:marRight w:val="0"/>
              <w:marTop w:val="0"/>
              <w:marBottom w:val="0"/>
              <w:divBdr>
                <w:top w:val="none" w:sz="0" w:space="0" w:color="auto"/>
                <w:left w:val="none" w:sz="0" w:space="0" w:color="auto"/>
                <w:bottom w:val="none" w:sz="0" w:space="0" w:color="auto"/>
                <w:right w:val="none" w:sz="0" w:space="0" w:color="auto"/>
              </w:divBdr>
            </w:div>
          </w:divsChild>
        </w:div>
        <w:div w:id="13387146">
          <w:marLeft w:val="0"/>
          <w:marRight w:val="0"/>
          <w:marTop w:val="0"/>
          <w:marBottom w:val="0"/>
          <w:divBdr>
            <w:top w:val="none" w:sz="0" w:space="0" w:color="auto"/>
            <w:left w:val="none" w:sz="0" w:space="0" w:color="auto"/>
            <w:bottom w:val="none" w:sz="0" w:space="0" w:color="auto"/>
            <w:right w:val="none" w:sz="0" w:space="0" w:color="auto"/>
          </w:divBdr>
          <w:divsChild>
            <w:div w:id="1692295151">
              <w:marLeft w:val="0"/>
              <w:marRight w:val="0"/>
              <w:marTop w:val="0"/>
              <w:marBottom w:val="0"/>
              <w:divBdr>
                <w:top w:val="none" w:sz="0" w:space="0" w:color="auto"/>
                <w:left w:val="none" w:sz="0" w:space="0" w:color="auto"/>
                <w:bottom w:val="none" w:sz="0" w:space="0" w:color="auto"/>
                <w:right w:val="none" w:sz="0" w:space="0" w:color="auto"/>
              </w:divBdr>
            </w:div>
          </w:divsChild>
        </w:div>
        <w:div w:id="34896527">
          <w:marLeft w:val="0"/>
          <w:marRight w:val="0"/>
          <w:marTop w:val="0"/>
          <w:marBottom w:val="0"/>
          <w:divBdr>
            <w:top w:val="none" w:sz="0" w:space="0" w:color="auto"/>
            <w:left w:val="none" w:sz="0" w:space="0" w:color="auto"/>
            <w:bottom w:val="none" w:sz="0" w:space="0" w:color="auto"/>
            <w:right w:val="none" w:sz="0" w:space="0" w:color="auto"/>
          </w:divBdr>
          <w:divsChild>
            <w:div w:id="1761178122">
              <w:marLeft w:val="0"/>
              <w:marRight w:val="0"/>
              <w:marTop w:val="0"/>
              <w:marBottom w:val="0"/>
              <w:divBdr>
                <w:top w:val="none" w:sz="0" w:space="0" w:color="auto"/>
                <w:left w:val="none" w:sz="0" w:space="0" w:color="auto"/>
                <w:bottom w:val="none" w:sz="0" w:space="0" w:color="auto"/>
                <w:right w:val="none" w:sz="0" w:space="0" w:color="auto"/>
              </w:divBdr>
            </w:div>
          </w:divsChild>
        </w:div>
        <w:div w:id="39136273">
          <w:marLeft w:val="0"/>
          <w:marRight w:val="0"/>
          <w:marTop w:val="0"/>
          <w:marBottom w:val="0"/>
          <w:divBdr>
            <w:top w:val="none" w:sz="0" w:space="0" w:color="auto"/>
            <w:left w:val="none" w:sz="0" w:space="0" w:color="auto"/>
            <w:bottom w:val="none" w:sz="0" w:space="0" w:color="auto"/>
            <w:right w:val="none" w:sz="0" w:space="0" w:color="auto"/>
          </w:divBdr>
          <w:divsChild>
            <w:div w:id="1570652294">
              <w:marLeft w:val="0"/>
              <w:marRight w:val="0"/>
              <w:marTop w:val="0"/>
              <w:marBottom w:val="0"/>
              <w:divBdr>
                <w:top w:val="none" w:sz="0" w:space="0" w:color="auto"/>
                <w:left w:val="none" w:sz="0" w:space="0" w:color="auto"/>
                <w:bottom w:val="none" w:sz="0" w:space="0" w:color="auto"/>
                <w:right w:val="none" w:sz="0" w:space="0" w:color="auto"/>
              </w:divBdr>
            </w:div>
          </w:divsChild>
        </w:div>
        <w:div w:id="52972757">
          <w:marLeft w:val="0"/>
          <w:marRight w:val="0"/>
          <w:marTop w:val="0"/>
          <w:marBottom w:val="0"/>
          <w:divBdr>
            <w:top w:val="none" w:sz="0" w:space="0" w:color="auto"/>
            <w:left w:val="none" w:sz="0" w:space="0" w:color="auto"/>
            <w:bottom w:val="none" w:sz="0" w:space="0" w:color="auto"/>
            <w:right w:val="none" w:sz="0" w:space="0" w:color="auto"/>
          </w:divBdr>
          <w:divsChild>
            <w:div w:id="917638892">
              <w:marLeft w:val="0"/>
              <w:marRight w:val="0"/>
              <w:marTop w:val="0"/>
              <w:marBottom w:val="0"/>
              <w:divBdr>
                <w:top w:val="none" w:sz="0" w:space="0" w:color="auto"/>
                <w:left w:val="none" w:sz="0" w:space="0" w:color="auto"/>
                <w:bottom w:val="none" w:sz="0" w:space="0" w:color="auto"/>
                <w:right w:val="none" w:sz="0" w:space="0" w:color="auto"/>
              </w:divBdr>
            </w:div>
          </w:divsChild>
        </w:div>
        <w:div w:id="60325723">
          <w:marLeft w:val="0"/>
          <w:marRight w:val="0"/>
          <w:marTop w:val="0"/>
          <w:marBottom w:val="0"/>
          <w:divBdr>
            <w:top w:val="none" w:sz="0" w:space="0" w:color="auto"/>
            <w:left w:val="none" w:sz="0" w:space="0" w:color="auto"/>
            <w:bottom w:val="none" w:sz="0" w:space="0" w:color="auto"/>
            <w:right w:val="none" w:sz="0" w:space="0" w:color="auto"/>
          </w:divBdr>
          <w:divsChild>
            <w:div w:id="1907259991">
              <w:marLeft w:val="0"/>
              <w:marRight w:val="0"/>
              <w:marTop w:val="0"/>
              <w:marBottom w:val="0"/>
              <w:divBdr>
                <w:top w:val="none" w:sz="0" w:space="0" w:color="auto"/>
                <w:left w:val="none" w:sz="0" w:space="0" w:color="auto"/>
                <w:bottom w:val="none" w:sz="0" w:space="0" w:color="auto"/>
                <w:right w:val="none" w:sz="0" w:space="0" w:color="auto"/>
              </w:divBdr>
            </w:div>
          </w:divsChild>
        </w:div>
        <w:div w:id="70005331">
          <w:marLeft w:val="0"/>
          <w:marRight w:val="0"/>
          <w:marTop w:val="0"/>
          <w:marBottom w:val="0"/>
          <w:divBdr>
            <w:top w:val="none" w:sz="0" w:space="0" w:color="auto"/>
            <w:left w:val="none" w:sz="0" w:space="0" w:color="auto"/>
            <w:bottom w:val="none" w:sz="0" w:space="0" w:color="auto"/>
            <w:right w:val="none" w:sz="0" w:space="0" w:color="auto"/>
          </w:divBdr>
          <w:divsChild>
            <w:div w:id="1153377052">
              <w:marLeft w:val="0"/>
              <w:marRight w:val="0"/>
              <w:marTop w:val="0"/>
              <w:marBottom w:val="0"/>
              <w:divBdr>
                <w:top w:val="none" w:sz="0" w:space="0" w:color="auto"/>
                <w:left w:val="none" w:sz="0" w:space="0" w:color="auto"/>
                <w:bottom w:val="none" w:sz="0" w:space="0" w:color="auto"/>
                <w:right w:val="none" w:sz="0" w:space="0" w:color="auto"/>
              </w:divBdr>
            </w:div>
          </w:divsChild>
        </w:div>
        <w:div w:id="70734327">
          <w:marLeft w:val="0"/>
          <w:marRight w:val="0"/>
          <w:marTop w:val="0"/>
          <w:marBottom w:val="0"/>
          <w:divBdr>
            <w:top w:val="none" w:sz="0" w:space="0" w:color="auto"/>
            <w:left w:val="none" w:sz="0" w:space="0" w:color="auto"/>
            <w:bottom w:val="none" w:sz="0" w:space="0" w:color="auto"/>
            <w:right w:val="none" w:sz="0" w:space="0" w:color="auto"/>
          </w:divBdr>
          <w:divsChild>
            <w:div w:id="392505630">
              <w:marLeft w:val="0"/>
              <w:marRight w:val="0"/>
              <w:marTop w:val="0"/>
              <w:marBottom w:val="0"/>
              <w:divBdr>
                <w:top w:val="none" w:sz="0" w:space="0" w:color="auto"/>
                <w:left w:val="none" w:sz="0" w:space="0" w:color="auto"/>
                <w:bottom w:val="none" w:sz="0" w:space="0" w:color="auto"/>
                <w:right w:val="none" w:sz="0" w:space="0" w:color="auto"/>
              </w:divBdr>
            </w:div>
          </w:divsChild>
        </w:div>
        <w:div w:id="84114205">
          <w:marLeft w:val="0"/>
          <w:marRight w:val="0"/>
          <w:marTop w:val="0"/>
          <w:marBottom w:val="0"/>
          <w:divBdr>
            <w:top w:val="none" w:sz="0" w:space="0" w:color="auto"/>
            <w:left w:val="none" w:sz="0" w:space="0" w:color="auto"/>
            <w:bottom w:val="none" w:sz="0" w:space="0" w:color="auto"/>
            <w:right w:val="none" w:sz="0" w:space="0" w:color="auto"/>
          </w:divBdr>
          <w:divsChild>
            <w:div w:id="851577984">
              <w:marLeft w:val="0"/>
              <w:marRight w:val="0"/>
              <w:marTop w:val="0"/>
              <w:marBottom w:val="0"/>
              <w:divBdr>
                <w:top w:val="none" w:sz="0" w:space="0" w:color="auto"/>
                <w:left w:val="none" w:sz="0" w:space="0" w:color="auto"/>
                <w:bottom w:val="none" w:sz="0" w:space="0" w:color="auto"/>
                <w:right w:val="none" w:sz="0" w:space="0" w:color="auto"/>
              </w:divBdr>
            </w:div>
          </w:divsChild>
        </w:div>
        <w:div w:id="85613114">
          <w:marLeft w:val="0"/>
          <w:marRight w:val="0"/>
          <w:marTop w:val="0"/>
          <w:marBottom w:val="0"/>
          <w:divBdr>
            <w:top w:val="none" w:sz="0" w:space="0" w:color="auto"/>
            <w:left w:val="none" w:sz="0" w:space="0" w:color="auto"/>
            <w:bottom w:val="none" w:sz="0" w:space="0" w:color="auto"/>
            <w:right w:val="none" w:sz="0" w:space="0" w:color="auto"/>
          </w:divBdr>
          <w:divsChild>
            <w:div w:id="567611520">
              <w:marLeft w:val="0"/>
              <w:marRight w:val="0"/>
              <w:marTop w:val="0"/>
              <w:marBottom w:val="0"/>
              <w:divBdr>
                <w:top w:val="none" w:sz="0" w:space="0" w:color="auto"/>
                <w:left w:val="none" w:sz="0" w:space="0" w:color="auto"/>
                <w:bottom w:val="none" w:sz="0" w:space="0" w:color="auto"/>
                <w:right w:val="none" w:sz="0" w:space="0" w:color="auto"/>
              </w:divBdr>
            </w:div>
          </w:divsChild>
        </w:div>
        <w:div w:id="94907044">
          <w:marLeft w:val="0"/>
          <w:marRight w:val="0"/>
          <w:marTop w:val="0"/>
          <w:marBottom w:val="0"/>
          <w:divBdr>
            <w:top w:val="none" w:sz="0" w:space="0" w:color="auto"/>
            <w:left w:val="none" w:sz="0" w:space="0" w:color="auto"/>
            <w:bottom w:val="none" w:sz="0" w:space="0" w:color="auto"/>
            <w:right w:val="none" w:sz="0" w:space="0" w:color="auto"/>
          </w:divBdr>
          <w:divsChild>
            <w:div w:id="1569345331">
              <w:marLeft w:val="0"/>
              <w:marRight w:val="0"/>
              <w:marTop w:val="0"/>
              <w:marBottom w:val="0"/>
              <w:divBdr>
                <w:top w:val="none" w:sz="0" w:space="0" w:color="auto"/>
                <w:left w:val="none" w:sz="0" w:space="0" w:color="auto"/>
                <w:bottom w:val="none" w:sz="0" w:space="0" w:color="auto"/>
                <w:right w:val="none" w:sz="0" w:space="0" w:color="auto"/>
              </w:divBdr>
            </w:div>
          </w:divsChild>
        </w:div>
        <w:div w:id="96756244">
          <w:marLeft w:val="0"/>
          <w:marRight w:val="0"/>
          <w:marTop w:val="0"/>
          <w:marBottom w:val="0"/>
          <w:divBdr>
            <w:top w:val="none" w:sz="0" w:space="0" w:color="auto"/>
            <w:left w:val="none" w:sz="0" w:space="0" w:color="auto"/>
            <w:bottom w:val="none" w:sz="0" w:space="0" w:color="auto"/>
            <w:right w:val="none" w:sz="0" w:space="0" w:color="auto"/>
          </w:divBdr>
          <w:divsChild>
            <w:div w:id="675961259">
              <w:marLeft w:val="0"/>
              <w:marRight w:val="0"/>
              <w:marTop w:val="0"/>
              <w:marBottom w:val="0"/>
              <w:divBdr>
                <w:top w:val="none" w:sz="0" w:space="0" w:color="auto"/>
                <w:left w:val="none" w:sz="0" w:space="0" w:color="auto"/>
                <w:bottom w:val="none" w:sz="0" w:space="0" w:color="auto"/>
                <w:right w:val="none" w:sz="0" w:space="0" w:color="auto"/>
              </w:divBdr>
            </w:div>
          </w:divsChild>
        </w:div>
        <w:div w:id="101152943">
          <w:marLeft w:val="0"/>
          <w:marRight w:val="0"/>
          <w:marTop w:val="0"/>
          <w:marBottom w:val="0"/>
          <w:divBdr>
            <w:top w:val="none" w:sz="0" w:space="0" w:color="auto"/>
            <w:left w:val="none" w:sz="0" w:space="0" w:color="auto"/>
            <w:bottom w:val="none" w:sz="0" w:space="0" w:color="auto"/>
            <w:right w:val="none" w:sz="0" w:space="0" w:color="auto"/>
          </w:divBdr>
          <w:divsChild>
            <w:div w:id="2135562635">
              <w:marLeft w:val="0"/>
              <w:marRight w:val="0"/>
              <w:marTop w:val="0"/>
              <w:marBottom w:val="0"/>
              <w:divBdr>
                <w:top w:val="none" w:sz="0" w:space="0" w:color="auto"/>
                <w:left w:val="none" w:sz="0" w:space="0" w:color="auto"/>
                <w:bottom w:val="none" w:sz="0" w:space="0" w:color="auto"/>
                <w:right w:val="none" w:sz="0" w:space="0" w:color="auto"/>
              </w:divBdr>
            </w:div>
          </w:divsChild>
        </w:div>
        <w:div w:id="101995318">
          <w:marLeft w:val="0"/>
          <w:marRight w:val="0"/>
          <w:marTop w:val="0"/>
          <w:marBottom w:val="0"/>
          <w:divBdr>
            <w:top w:val="none" w:sz="0" w:space="0" w:color="auto"/>
            <w:left w:val="none" w:sz="0" w:space="0" w:color="auto"/>
            <w:bottom w:val="none" w:sz="0" w:space="0" w:color="auto"/>
            <w:right w:val="none" w:sz="0" w:space="0" w:color="auto"/>
          </w:divBdr>
          <w:divsChild>
            <w:div w:id="2085714619">
              <w:marLeft w:val="0"/>
              <w:marRight w:val="0"/>
              <w:marTop w:val="0"/>
              <w:marBottom w:val="0"/>
              <w:divBdr>
                <w:top w:val="none" w:sz="0" w:space="0" w:color="auto"/>
                <w:left w:val="none" w:sz="0" w:space="0" w:color="auto"/>
                <w:bottom w:val="none" w:sz="0" w:space="0" w:color="auto"/>
                <w:right w:val="none" w:sz="0" w:space="0" w:color="auto"/>
              </w:divBdr>
            </w:div>
          </w:divsChild>
        </w:div>
        <w:div w:id="104734999">
          <w:marLeft w:val="0"/>
          <w:marRight w:val="0"/>
          <w:marTop w:val="0"/>
          <w:marBottom w:val="0"/>
          <w:divBdr>
            <w:top w:val="none" w:sz="0" w:space="0" w:color="auto"/>
            <w:left w:val="none" w:sz="0" w:space="0" w:color="auto"/>
            <w:bottom w:val="none" w:sz="0" w:space="0" w:color="auto"/>
            <w:right w:val="none" w:sz="0" w:space="0" w:color="auto"/>
          </w:divBdr>
          <w:divsChild>
            <w:div w:id="850415041">
              <w:marLeft w:val="0"/>
              <w:marRight w:val="0"/>
              <w:marTop w:val="0"/>
              <w:marBottom w:val="0"/>
              <w:divBdr>
                <w:top w:val="none" w:sz="0" w:space="0" w:color="auto"/>
                <w:left w:val="none" w:sz="0" w:space="0" w:color="auto"/>
                <w:bottom w:val="none" w:sz="0" w:space="0" w:color="auto"/>
                <w:right w:val="none" w:sz="0" w:space="0" w:color="auto"/>
              </w:divBdr>
            </w:div>
          </w:divsChild>
        </w:div>
        <w:div w:id="111439886">
          <w:marLeft w:val="0"/>
          <w:marRight w:val="0"/>
          <w:marTop w:val="0"/>
          <w:marBottom w:val="0"/>
          <w:divBdr>
            <w:top w:val="none" w:sz="0" w:space="0" w:color="auto"/>
            <w:left w:val="none" w:sz="0" w:space="0" w:color="auto"/>
            <w:bottom w:val="none" w:sz="0" w:space="0" w:color="auto"/>
            <w:right w:val="none" w:sz="0" w:space="0" w:color="auto"/>
          </w:divBdr>
          <w:divsChild>
            <w:div w:id="1372151214">
              <w:marLeft w:val="0"/>
              <w:marRight w:val="0"/>
              <w:marTop w:val="0"/>
              <w:marBottom w:val="0"/>
              <w:divBdr>
                <w:top w:val="none" w:sz="0" w:space="0" w:color="auto"/>
                <w:left w:val="none" w:sz="0" w:space="0" w:color="auto"/>
                <w:bottom w:val="none" w:sz="0" w:space="0" w:color="auto"/>
                <w:right w:val="none" w:sz="0" w:space="0" w:color="auto"/>
              </w:divBdr>
            </w:div>
          </w:divsChild>
        </w:div>
        <w:div w:id="121309821">
          <w:marLeft w:val="0"/>
          <w:marRight w:val="0"/>
          <w:marTop w:val="0"/>
          <w:marBottom w:val="0"/>
          <w:divBdr>
            <w:top w:val="none" w:sz="0" w:space="0" w:color="auto"/>
            <w:left w:val="none" w:sz="0" w:space="0" w:color="auto"/>
            <w:bottom w:val="none" w:sz="0" w:space="0" w:color="auto"/>
            <w:right w:val="none" w:sz="0" w:space="0" w:color="auto"/>
          </w:divBdr>
          <w:divsChild>
            <w:div w:id="562445893">
              <w:marLeft w:val="0"/>
              <w:marRight w:val="0"/>
              <w:marTop w:val="0"/>
              <w:marBottom w:val="0"/>
              <w:divBdr>
                <w:top w:val="none" w:sz="0" w:space="0" w:color="auto"/>
                <w:left w:val="none" w:sz="0" w:space="0" w:color="auto"/>
                <w:bottom w:val="none" w:sz="0" w:space="0" w:color="auto"/>
                <w:right w:val="none" w:sz="0" w:space="0" w:color="auto"/>
              </w:divBdr>
            </w:div>
          </w:divsChild>
        </w:div>
        <w:div w:id="131336380">
          <w:marLeft w:val="0"/>
          <w:marRight w:val="0"/>
          <w:marTop w:val="0"/>
          <w:marBottom w:val="0"/>
          <w:divBdr>
            <w:top w:val="none" w:sz="0" w:space="0" w:color="auto"/>
            <w:left w:val="none" w:sz="0" w:space="0" w:color="auto"/>
            <w:bottom w:val="none" w:sz="0" w:space="0" w:color="auto"/>
            <w:right w:val="none" w:sz="0" w:space="0" w:color="auto"/>
          </w:divBdr>
          <w:divsChild>
            <w:div w:id="1368338869">
              <w:marLeft w:val="0"/>
              <w:marRight w:val="0"/>
              <w:marTop w:val="0"/>
              <w:marBottom w:val="0"/>
              <w:divBdr>
                <w:top w:val="none" w:sz="0" w:space="0" w:color="auto"/>
                <w:left w:val="none" w:sz="0" w:space="0" w:color="auto"/>
                <w:bottom w:val="none" w:sz="0" w:space="0" w:color="auto"/>
                <w:right w:val="none" w:sz="0" w:space="0" w:color="auto"/>
              </w:divBdr>
            </w:div>
          </w:divsChild>
        </w:div>
        <w:div w:id="131412543">
          <w:marLeft w:val="0"/>
          <w:marRight w:val="0"/>
          <w:marTop w:val="0"/>
          <w:marBottom w:val="0"/>
          <w:divBdr>
            <w:top w:val="none" w:sz="0" w:space="0" w:color="auto"/>
            <w:left w:val="none" w:sz="0" w:space="0" w:color="auto"/>
            <w:bottom w:val="none" w:sz="0" w:space="0" w:color="auto"/>
            <w:right w:val="none" w:sz="0" w:space="0" w:color="auto"/>
          </w:divBdr>
          <w:divsChild>
            <w:div w:id="1051920325">
              <w:marLeft w:val="0"/>
              <w:marRight w:val="0"/>
              <w:marTop w:val="0"/>
              <w:marBottom w:val="0"/>
              <w:divBdr>
                <w:top w:val="none" w:sz="0" w:space="0" w:color="auto"/>
                <w:left w:val="none" w:sz="0" w:space="0" w:color="auto"/>
                <w:bottom w:val="none" w:sz="0" w:space="0" w:color="auto"/>
                <w:right w:val="none" w:sz="0" w:space="0" w:color="auto"/>
              </w:divBdr>
            </w:div>
          </w:divsChild>
        </w:div>
        <w:div w:id="135152698">
          <w:marLeft w:val="0"/>
          <w:marRight w:val="0"/>
          <w:marTop w:val="0"/>
          <w:marBottom w:val="0"/>
          <w:divBdr>
            <w:top w:val="none" w:sz="0" w:space="0" w:color="auto"/>
            <w:left w:val="none" w:sz="0" w:space="0" w:color="auto"/>
            <w:bottom w:val="none" w:sz="0" w:space="0" w:color="auto"/>
            <w:right w:val="none" w:sz="0" w:space="0" w:color="auto"/>
          </w:divBdr>
          <w:divsChild>
            <w:div w:id="866255836">
              <w:marLeft w:val="0"/>
              <w:marRight w:val="0"/>
              <w:marTop w:val="0"/>
              <w:marBottom w:val="0"/>
              <w:divBdr>
                <w:top w:val="none" w:sz="0" w:space="0" w:color="auto"/>
                <w:left w:val="none" w:sz="0" w:space="0" w:color="auto"/>
                <w:bottom w:val="none" w:sz="0" w:space="0" w:color="auto"/>
                <w:right w:val="none" w:sz="0" w:space="0" w:color="auto"/>
              </w:divBdr>
            </w:div>
          </w:divsChild>
        </w:div>
        <w:div w:id="140998590">
          <w:marLeft w:val="0"/>
          <w:marRight w:val="0"/>
          <w:marTop w:val="0"/>
          <w:marBottom w:val="0"/>
          <w:divBdr>
            <w:top w:val="none" w:sz="0" w:space="0" w:color="auto"/>
            <w:left w:val="none" w:sz="0" w:space="0" w:color="auto"/>
            <w:bottom w:val="none" w:sz="0" w:space="0" w:color="auto"/>
            <w:right w:val="none" w:sz="0" w:space="0" w:color="auto"/>
          </w:divBdr>
          <w:divsChild>
            <w:div w:id="891772945">
              <w:marLeft w:val="0"/>
              <w:marRight w:val="0"/>
              <w:marTop w:val="0"/>
              <w:marBottom w:val="0"/>
              <w:divBdr>
                <w:top w:val="none" w:sz="0" w:space="0" w:color="auto"/>
                <w:left w:val="none" w:sz="0" w:space="0" w:color="auto"/>
                <w:bottom w:val="none" w:sz="0" w:space="0" w:color="auto"/>
                <w:right w:val="none" w:sz="0" w:space="0" w:color="auto"/>
              </w:divBdr>
            </w:div>
          </w:divsChild>
        </w:div>
        <w:div w:id="155458445">
          <w:marLeft w:val="0"/>
          <w:marRight w:val="0"/>
          <w:marTop w:val="0"/>
          <w:marBottom w:val="0"/>
          <w:divBdr>
            <w:top w:val="none" w:sz="0" w:space="0" w:color="auto"/>
            <w:left w:val="none" w:sz="0" w:space="0" w:color="auto"/>
            <w:bottom w:val="none" w:sz="0" w:space="0" w:color="auto"/>
            <w:right w:val="none" w:sz="0" w:space="0" w:color="auto"/>
          </w:divBdr>
          <w:divsChild>
            <w:div w:id="154692025">
              <w:marLeft w:val="0"/>
              <w:marRight w:val="0"/>
              <w:marTop w:val="0"/>
              <w:marBottom w:val="0"/>
              <w:divBdr>
                <w:top w:val="none" w:sz="0" w:space="0" w:color="auto"/>
                <w:left w:val="none" w:sz="0" w:space="0" w:color="auto"/>
                <w:bottom w:val="none" w:sz="0" w:space="0" w:color="auto"/>
                <w:right w:val="none" w:sz="0" w:space="0" w:color="auto"/>
              </w:divBdr>
            </w:div>
          </w:divsChild>
        </w:div>
        <w:div w:id="155653766">
          <w:marLeft w:val="0"/>
          <w:marRight w:val="0"/>
          <w:marTop w:val="0"/>
          <w:marBottom w:val="0"/>
          <w:divBdr>
            <w:top w:val="none" w:sz="0" w:space="0" w:color="auto"/>
            <w:left w:val="none" w:sz="0" w:space="0" w:color="auto"/>
            <w:bottom w:val="none" w:sz="0" w:space="0" w:color="auto"/>
            <w:right w:val="none" w:sz="0" w:space="0" w:color="auto"/>
          </w:divBdr>
          <w:divsChild>
            <w:div w:id="959919952">
              <w:marLeft w:val="0"/>
              <w:marRight w:val="0"/>
              <w:marTop w:val="0"/>
              <w:marBottom w:val="0"/>
              <w:divBdr>
                <w:top w:val="none" w:sz="0" w:space="0" w:color="auto"/>
                <w:left w:val="none" w:sz="0" w:space="0" w:color="auto"/>
                <w:bottom w:val="none" w:sz="0" w:space="0" w:color="auto"/>
                <w:right w:val="none" w:sz="0" w:space="0" w:color="auto"/>
              </w:divBdr>
            </w:div>
          </w:divsChild>
        </w:div>
        <w:div w:id="164906119">
          <w:marLeft w:val="0"/>
          <w:marRight w:val="0"/>
          <w:marTop w:val="0"/>
          <w:marBottom w:val="0"/>
          <w:divBdr>
            <w:top w:val="none" w:sz="0" w:space="0" w:color="auto"/>
            <w:left w:val="none" w:sz="0" w:space="0" w:color="auto"/>
            <w:bottom w:val="none" w:sz="0" w:space="0" w:color="auto"/>
            <w:right w:val="none" w:sz="0" w:space="0" w:color="auto"/>
          </w:divBdr>
          <w:divsChild>
            <w:div w:id="1300381687">
              <w:marLeft w:val="0"/>
              <w:marRight w:val="0"/>
              <w:marTop w:val="0"/>
              <w:marBottom w:val="0"/>
              <w:divBdr>
                <w:top w:val="none" w:sz="0" w:space="0" w:color="auto"/>
                <w:left w:val="none" w:sz="0" w:space="0" w:color="auto"/>
                <w:bottom w:val="none" w:sz="0" w:space="0" w:color="auto"/>
                <w:right w:val="none" w:sz="0" w:space="0" w:color="auto"/>
              </w:divBdr>
            </w:div>
          </w:divsChild>
        </w:div>
        <w:div w:id="173157234">
          <w:marLeft w:val="0"/>
          <w:marRight w:val="0"/>
          <w:marTop w:val="0"/>
          <w:marBottom w:val="0"/>
          <w:divBdr>
            <w:top w:val="none" w:sz="0" w:space="0" w:color="auto"/>
            <w:left w:val="none" w:sz="0" w:space="0" w:color="auto"/>
            <w:bottom w:val="none" w:sz="0" w:space="0" w:color="auto"/>
            <w:right w:val="none" w:sz="0" w:space="0" w:color="auto"/>
          </w:divBdr>
          <w:divsChild>
            <w:div w:id="1356081906">
              <w:marLeft w:val="0"/>
              <w:marRight w:val="0"/>
              <w:marTop w:val="0"/>
              <w:marBottom w:val="0"/>
              <w:divBdr>
                <w:top w:val="none" w:sz="0" w:space="0" w:color="auto"/>
                <w:left w:val="none" w:sz="0" w:space="0" w:color="auto"/>
                <w:bottom w:val="none" w:sz="0" w:space="0" w:color="auto"/>
                <w:right w:val="none" w:sz="0" w:space="0" w:color="auto"/>
              </w:divBdr>
            </w:div>
          </w:divsChild>
        </w:div>
        <w:div w:id="182977950">
          <w:marLeft w:val="0"/>
          <w:marRight w:val="0"/>
          <w:marTop w:val="0"/>
          <w:marBottom w:val="0"/>
          <w:divBdr>
            <w:top w:val="none" w:sz="0" w:space="0" w:color="auto"/>
            <w:left w:val="none" w:sz="0" w:space="0" w:color="auto"/>
            <w:bottom w:val="none" w:sz="0" w:space="0" w:color="auto"/>
            <w:right w:val="none" w:sz="0" w:space="0" w:color="auto"/>
          </w:divBdr>
          <w:divsChild>
            <w:div w:id="2013678487">
              <w:marLeft w:val="0"/>
              <w:marRight w:val="0"/>
              <w:marTop w:val="0"/>
              <w:marBottom w:val="0"/>
              <w:divBdr>
                <w:top w:val="none" w:sz="0" w:space="0" w:color="auto"/>
                <w:left w:val="none" w:sz="0" w:space="0" w:color="auto"/>
                <w:bottom w:val="none" w:sz="0" w:space="0" w:color="auto"/>
                <w:right w:val="none" w:sz="0" w:space="0" w:color="auto"/>
              </w:divBdr>
            </w:div>
          </w:divsChild>
        </w:div>
        <w:div w:id="189420838">
          <w:marLeft w:val="0"/>
          <w:marRight w:val="0"/>
          <w:marTop w:val="0"/>
          <w:marBottom w:val="0"/>
          <w:divBdr>
            <w:top w:val="none" w:sz="0" w:space="0" w:color="auto"/>
            <w:left w:val="none" w:sz="0" w:space="0" w:color="auto"/>
            <w:bottom w:val="none" w:sz="0" w:space="0" w:color="auto"/>
            <w:right w:val="none" w:sz="0" w:space="0" w:color="auto"/>
          </w:divBdr>
          <w:divsChild>
            <w:div w:id="1757365950">
              <w:marLeft w:val="0"/>
              <w:marRight w:val="0"/>
              <w:marTop w:val="0"/>
              <w:marBottom w:val="0"/>
              <w:divBdr>
                <w:top w:val="none" w:sz="0" w:space="0" w:color="auto"/>
                <w:left w:val="none" w:sz="0" w:space="0" w:color="auto"/>
                <w:bottom w:val="none" w:sz="0" w:space="0" w:color="auto"/>
                <w:right w:val="none" w:sz="0" w:space="0" w:color="auto"/>
              </w:divBdr>
            </w:div>
          </w:divsChild>
        </w:div>
        <w:div w:id="191111366">
          <w:marLeft w:val="0"/>
          <w:marRight w:val="0"/>
          <w:marTop w:val="0"/>
          <w:marBottom w:val="0"/>
          <w:divBdr>
            <w:top w:val="none" w:sz="0" w:space="0" w:color="auto"/>
            <w:left w:val="none" w:sz="0" w:space="0" w:color="auto"/>
            <w:bottom w:val="none" w:sz="0" w:space="0" w:color="auto"/>
            <w:right w:val="none" w:sz="0" w:space="0" w:color="auto"/>
          </w:divBdr>
          <w:divsChild>
            <w:div w:id="1017150530">
              <w:marLeft w:val="0"/>
              <w:marRight w:val="0"/>
              <w:marTop w:val="0"/>
              <w:marBottom w:val="0"/>
              <w:divBdr>
                <w:top w:val="none" w:sz="0" w:space="0" w:color="auto"/>
                <w:left w:val="none" w:sz="0" w:space="0" w:color="auto"/>
                <w:bottom w:val="none" w:sz="0" w:space="0" w:color="auto"/>
                <w:right w:val="none" w:sz="0" w:space="0" w:color="auto"/>
              </w:divBdr>
            </w:div>
          </w:divsChild>
        </w:div>
        <w:div w:id="199241702">
          <w:marLeft w:val="0"/>
          <w:marRight w:val="0"/>
          <w:marTop w:val="0"/>
          <w:marBottom w:val="0"/>
          <w:divBdr>
            <w:top w:val="none" w:sz="0" w:space="0" w:color="auto"/>
            <w:left w:val="none" w:sz="0" w:space="0" w:color="auto"/>
            <w:bottom w:val="none" w:sz="0" w:space="0" w:color="auto"/>
            <w:right w:val="none" w:sz="0" w:space="0" w:color="auto"/>
          </w:divBdr>
          <w:divsChild>
            <w:div w:id="490566991">
              <w:marLeft w:val="0"/>
              <w:marRight w:val="0"/>
              <w:marTop w:val="0"/>
              <w:marBottom w:val="0"/>
              <w:divBdr>
                <w:top w:val="none" w:sz="0" w:space="0" w:color="auto"/>
                <w:left w:val="none" w:sz="0" w:space="0" w:color="auto"/>
                <w:bottom w:val="none" w:sz="0" w:space="0" w:color="auto"/>
                <w:right w:val="none" w:sz="0" w:space="0" w:color="auto"/>
              </w:divBdr>
            </w:div>
          </w:divsChild>
        </w:div>
        <w:div w:id="220219345">
          <w:marLeft w:val="0"/>
          <w:marRight w:val="0"/>
          <w:marTop w:val="0"/>
          <w:marBottom w:val="0"/>
          <w:divBdr>
            <w:top w:val="none" w:sz="0" w:space="0" w:color="auto"/>
            <w:left w:val="none" w:sz="0" w:space="0" w:color="auto"/>
            <w:bottom w:val="none" w:sz="0" w:space="0" w:color="auto"/>
            <w:right w:val="none" w:sz="0" w:space="0" w:color="auto"/>
          </w:divBdr>
          <w:divsChild>
            <w:div w:id="504906957">
              <w:marLeft w:val="0"/>
              <w:marRight w:val="0"/>
              <w:marTop w:val="0"/>
              <w:marBottom w:val="0"/>
              <w:divBdr>
                <w:top w:val="none" w:sz="0" w:space="0" w:color="auto"/>
                <w:left w:val="none" w:sz="0" w:space="0" w:color="auto"/>
                <w:bottom w:val="none" w:sz="0" w:space="0" w:color="auto"/>
                <w:right w:val="none" w:sz="0" w:space="0" w:color="auto"/>
              </w:divBdr>
            </w:div>
          </w:divsChild>
        </w:div>
        <w:div w:id="223030892">
          <w:marLeft w:val="0"/>
          <w:marRight w:val="0"/>
          <w:marTop w:val="0"/>
          <w:marBottom w:val="0"/>
          <w:divBdr>
            <w:top w:val="none" w:sz="0" w:space="0" w:color="auto"/>
            <w:left w:val="none" w:sz="0" w:space="0" w:color="auto"/>
            <w:bottom w:val="none" w:sz="0" w:space="0" w:color="auto"/>
            <w:right w:val="none" w:sz="0" w:space="0" w:color="auto"/>
          </w:divBdr>
          <w:divsChild>
            <w:div w:id="426124748">
              <w:marLeft w:val="0"/>
              <w:marRight w:val="0"/>
              <w:marTop w:val="0"/>
              <w:marBottom w:val="0"/>
              <w:divBdr>
                <w:top w:val="none" w:sz="0" w:space="0" w:color="auto"/>
                <w:left w:val="none" w:sz="0" w:space="0" w:color="auto"/>
                <w:bottom w:val="none" w:sz="0" w:space="0" w:color="auto"/>
                <w:right w:val="none" w:sz="0" w:space="0" w:color="auto"/>
              </w:divBdr>
            </w:div>
          </w:divsChild>
        </w:div>
        <w:div w:id="223565261">
          <w:marLeft w:val="0"/>
          <w:marRight w:val="0"/>
          <w:marTop w:val="0"/>
          <w:marBottom w:val="0"/>
          <w:divBdr>
            <w:top w:val="none" w:sz="0" w:space="0" w:color="auto"/>
            <w:left w:val="none" w:sz="0" w:space="0" w:color="auto"/>
            <w:bottom w:val="none" w:sz="0" w:space="0" w:color="auto"/>
            <w:right w:val="none" w:sz="0" w:space="0" w:color="auto"/>
          </w:divBdr>
          <w:divsChild>
            <w:div w:id="181938583">
              <w:marLeft w:val="0"/>
              <w:marRight w:val="0"/>
              <w:marTop w:val="0"/>
              <w:marBottom w:val="0"/>
              <w:divBdr>
                <w:top w:val="none" w:sz="0" w:space="0" w:color="auto"/>
                <w:left w:val="none" w:sz="0" w:space="0" w:color="auto"/>
                <w:bottom w:val="none" w:sz="0" w:space="0" w:color="auto"/>
                <w:right w:val="none" w:sz="0" w:space="0" w:color="auto"/>
              </w:divBdr>
            </w:div>
          </w:divsChild>
        </w:div>
        <w:div w:id="226839940">
          <w:marLeft w:val="0"/>
          <w:marRight w:val="0"/>
          <w:marTop w:val="0"/>
          <w:marBottom w:val="0"/>
          <w:divBdr>
            <w:top w:val="none" w:sz="0" w:space="0" w:color="auto"/>
            <w:left w:val="none" w:sz="0" w:space="0" w:color="auto"/>
            <w:bottom w:val="none" w:sz="0" w:space="0" w:color="auto"/>
            <w:right w:val="none" w:sz="0" w:space="0" w:color="auto"/>
          </w:divBdr>
          <w:divsChild>
            <w:div w:id="2050639147">
              <w:marLeft w:val="0"/>
              <w:marRight w:val="0"/>
              <w:marTop w:val="0"/>
              <w:marBottom w:val="0"/>
              <w:divBdr>
                <w:top w:val="none" w:sz="0" w:space="0" w:color="auto"/>
                <w:left w:val="none" w:sz="0" w:space="0" w:color="auto"/>
                <w:bottom w:val="none" w:sz="0" w:space="0" w:color="auto"/>
                <w:right w:val="none" w:sz="0" w:space="0" w:color="auto"/>
              </w:divBdr>
            </w:div>
          </w:divsChild>
        </w:div>
        <w:div w:id="231164963">
          <w:marLeft w:val="0"/>
          <w:marRight w:val="0"/>
          <w:marTop w:val="0"/>
          <w:marBottom w:val="0"/>
          <w:divBdr>
            <w:top w:val="none" w:sz="0" w:space="0" w:color="auto"/>
            <w:left w:val="none" w:sz="0" w:space="0" w:color="auto"/>
            <w:bottom w:val="none" w:sz="0" w:space="0" w:color="auto"/>
            <w:right w:val="none" w:sz="0" w:space="0" w:color="auto"/>
          </w:divBdr>
          <w:divsChild>
            <w:div w:id="412047390">
              <w:marLeft w:val="0"/>
              <w:marRight w:val="0"/>
              <w:marTop w:val="0"/>
              <w:marBottom w:val="0"/>
              <w:divBdr>
                <w:top w:val="none" w:sz="0" w:space="0" w:color="auto"/>
                <w:left w:val="none" w:sz="0" w:space="0" w:color="auto"/>
                <w:bottom w:val="none" w:sz="0" w:space="0" w:color="auto"/>
                <w:right w:val="none" w:sz="0" w:space="0" w:color="auto"/>
              </w:divBdr>
            </w:div>
          </w:divsChild>
        </w:div>
        <w:div w:id="233518203">
          <w:marLeft w:val="0"/>
          <w:marRight w:val="0"/>
          <w:marTop w:val="0"/>
          <w:marBottom w:val="0"/>
          <w:divBdr>
            <w:top w:val="none" w:sz="0" w:space="0" w:color="auto"/>
            <w:left w:val="none" w:sz="0" w:space="0" w:color="auto"/>
            <w:bottom w:val="none" w:sz="0" w:space="0" w:color="auto"/>
            <w:right w:val="none" w:sz="0" w:space="0" w:color="auto"/>
          </w:divBdr>
          <w:divsChild>
            <w:div w:id="970095004">
              <w:marLeft w:val="0"/>
              <w:marRight w:val="0"/>
              <w:marTop w:val="0"/>
              <w:marBottom w:val="0"/>
              <w:divBdr>
                <w:top w:val="none" w:sz="0" w:space="0" w:color="auto"/>
                <w:left w:val="none" w:sz="0" w:space="0" w:color="auto"/>
                <w:bottom w:val="none" w:sz="0" w:space="0" w:color="auto"/>
                <w:right w:val="none" w:sz="0" w:space="0" w:color="auto"/>
              </w:divBdr>
            </w:div>
          </w:divsChild>
        </w:div>
        <w:div w:id="250547258">
          <w:marLeft w:val="0"/>
          <w:marRight w:val="0"/>
          <w:marTop w:val="0"/>
          <w:marBottom w:val="0"/>
          <w:divBdr>
            <w:top w:val="none" w:sz="0" w:space="0" w:color="auto"/>
            <w:left w:val="none" w:sz="0" w:space="0" w:color="auto"/>
            <w:bottom w:val="none" w:sz="0" w:space="0" w:color="auto"/>
            <w:right w:val="none" w:sz="0" w:space="0" w:color="auto"/>
          </w:divBdr>
          <w:divsChild>
            <w:div w:id="329337404">
              <w:marLeft w:val="0"/>
              <w:marRight w:val="0"/>
              <w:marTop w:val="0"/>
              <w:marBottom w:val="0"/>
              <w:divBdr>
                <w:top w:val="none" w:sz="0" w:space="0" w:color="auto"/>
                <w:left w:val="none" w:sz="0" w:space="0" w:color="auto"/>
                <w:bottom w:val="none" w:sz="0" w:space="0" w:color="auto"/>
                <w:right w:val="none" w:sz="0" w:space="0" w:color="auto"/>
              </w:divBdr>
            </w:div>
          </w:divsChild>
        </w:div>
        <w:div w:id="251355174">
          <w:marLeft w:val="0"/>
          <w:marRight w:val="0"/>
          <w:marTop w:val="0"/>
          <w:marBottom w:val="0"/>
          <w:divBdr>
            <w:top w:val="none" w:sz="0" w:space="0" w:color="auto"/>
            <w:left w:val="none" w:sz="0" w:space="0" w:color="auto"/>
            <w:bottom w:val="none" w:sz="0" w:space="0" w:color="auto"/>
            <w:right w:val="none" w:sz="0" w:space="0" w:color="auto"/>
          </w:divBdr>
          <w:divsChild>
            <w:div w:id="60908218">
              <w:marLeft w:val="0"/>
              <w:marRight w:val="0"/>
              <w:marTop w:val="0"/>
              <w:marBottom w:val="0"/>
              <w:divBdr>
                <w:top w:val="none" w:sz="0" w:space="0" w:color="auto"/>
                <w:left w:val="none" w:sz="0" w:space="0" w:color="auto"/>
                <w:bottom w:val="none" w:sz="0" w:space="0" w:color="auto"/>
                <w:right w:val="none" w:sz="0" w:space="0" w:color="auto"/>
              </w:divBdr>
            </w:div>
          </w:divsChild>
        </w:div>
        <w:div w:id="253171772">
          <w:marLeft w:val="0"/>
          <w:marRight w:val="0"/>
          <w:marTop w:val="0"/>
          <w:marBottom w:val="0"/>
          <w:divBdr>
            <w:top w:val="none" w:sz="0" w:space="0" w:color="auto"/>
            <w:left w:val="none" w:sz="0" w:space="0" w:color="auto"/>
            <w:bottom w:val="none" w:sz="0" w:space="0" w:color="auto"/>
            <w:right w:val="none" w:sz="0" w:space="0" w:color="auto"/>
          </w:divBdr>
          <w:divsChild>
            <w:div w:id="500387352">
              <w:marLeft w:val="0"/>
              <w:marRight w:val="0"/>
              <w:marTop w:val="0"/>
              <w:marBottom w:val="0"/>
              <w:divBdr>
                <w:top w:val="none" w:sz="0" w:space="0" w:color="auto"/>
                <w:left w:val="none" w:sz="0" w:space="0" w:color="auto"/>
                <w:bottom w:val="none" w:sz="0" w:space="0" w:color="auto"/>
                <w:right w:val="none" w:sz="0" w:space="0" w:color="auto"/>
              </w:divBdr>
            </w:div>
          </w:divsChild>
        </w:div>
        <w:div w:id="258878368">
          <w:marLeft w:val="0"/>
          <w:marRight w:val="0"/>
          <w:marTop w:val="0"/>
          <w:marBottom w:val="0"/>
          <w:divBdr>
            <w:top w:val="none" w:sz="0" w:space="0" w:color="auto"/>
            <w:left w:val="none" w:sz="0" w:space="0" w:color="auto"/>
            <w:bottom w:val="none" w:sz="0" w:space="0" w:color="auto"/>
            <w:right w:val="none" w:sz="0" w:space="0" w:color="auto"/>
          </w:divBdr>
          <w:divsChild>
            <w:div w:id="508715709">
              <w:marLeft w:val="0"/>
              <w:marRight w:val="0"/>
              <w:marTop w:val="0"/>
              <w:marBottom w:val="0"/>
              <w:divBdr>
                <w:top w:val="none" w:sz="0" w:space="0" w:color="auto"/>
                <w:left w:val="none" w:sz="0" w:space="0" w:color="auto"/>
                <w:bottom w:val="none" w:sz="0" w:space="0" w:color="auto"/>
                <w:right w:val="none" w:sz="0" w:space="0" w:color="auto"/>
              </w:divBdr>
            </w:div>
          </w:divsChild>
        </w:div>
        <w:div w:id="281814688">
          <w:marLeft w:val="0"/>
          <w:marRight w:val="0"/>
          <w:marTop w:val="0"/>
          <w:marBottom w:val="0"/>
          <w:divBdr>
            <w:top w:val="none" w:sz="0" w:space="0" w:color="auto"/>
            <w:left w:val="none" w:sz="0" w:space="0" w:color="auto"/>
            <w:bottom w:val="none" w:sz="0" w:space="0" w:color="auto"/>
            <w:right w:val="none" w:sz="0" w:space="0" w:color="auto"/>
          </w:divBdr>
          <w:divsChild>
            <w:div w:id="311254293">
              <w:marLeft w:val="0"/>
              <w:marRight w:val="0"/>
              <w:marTop w:val="0"/>
              <w:marBottom w:val="0"/>
              <w:divBdr>
                <w:top w:val="none" w:sz="0" w:space="0" w:color="auto"/>
                <w:left w:val="none" w:sz="0" w:space="0" w:color="auto"/>
                <w:bottom w:val="none" w:sz="0" w:space="0" w:color="auto"/>
                <w:right w:val="none" w:sz="0" w:space="0" w:color="auto"/>
              </w:divBdr>
            </w:div>
          </w:divsChild>
        </w:div>
        <w:div w:id="293679675">
          <w:marLeft w:val="0"/>
          <w:marRight w:val="0"/>
          <w:marTop w:val="0"/>
          <w:marBottom w:val="0"/>
          <w:divBdr>
            <w:top w:val="none" w:sz="0" w:space="0" w:color="auto"/>
            <w:left w:val="none" w:sz="0" w:space="0" w:color="auto"/>
            <w:bottom w:val="none" w:sz="0" w:space="0" w:color="auto"/>
            <w:right w:val="none" w:sz="0" w:space="0" w:color="auto"/>
          </w:divBdr>
          <w:divsChild>
            <w:div w:id="835612640">
              <w:marLeft w:val="0"/>
              <w:marRight w:val="0"/>
              <w:marTop w:val="0"/>
              <w:marBottom w:val="0"/>
              <w:divBdr>
                <w:top w:val="none" w:sz="0" w:space="0" w:color="auto"/>
                <w:left w:val="none" w:sz="0" w:space="0" w:color="auto"/>
                <w:bottom w:val="none" w:sz="0" w:space="0" w:color="auto"/>
                <w:right w:val="none" w:sz="0" w:space="0" w:color="auto"/>
              </w:divBdr>
            </w:div>
          </w:divsChild>
        </w:div>
        <w:div w:id="301740083">
          <w:marLeft w:val="0"/>
          <w:marRight w:val="0"/>
          <w:marTop w:val="0"/>
          <w:marBottom w:val="0"/>
          <w:divBdr>
            <w:top w:val="none" w:sz="0" w:space="0" w:color="auto"/>
            <w:left w:val="none" w:sz="0" w:space="0" w:color="auto"/>
            <w:bottom w:val="none" w:sz="0" w:space="0" w:color="auto"/>
            <w:right w:val="none" w:sz="0" w:space="0" w:color="auto"/>
          </w:divBdr>
          <w:divsChild>
            <w:div w:id="946934976">
              <w:marLeft w:val="0"/>
              <w:marRight w:val="0"/>
              <w:marTop w:val="0"/>
              <w:marBottom w:val="0"/>
              <w:divBdr>
                <w:top w:val="none" w:sz="0" w:space="0" w:color="auto"/>
                <w:left w:val="none" w:sz="0" w:space="0" w:color="auto"/>
                <w:bottom w:val="none" w:sz="0" w:space="0" w:color="auto"/>
                <w:right w:val="none" w:sz="0" w:space="0" w:color="auto"/>
              </w:divBdr>
            </w:div>
          </w:divsChild>
        </w:div>
        <w:div w:id="304238511">
          <w:marLeft w:val="0"/>
          <w:marRight w:val="0"/>
          <w:marTop w:val="0"/>
          <w:marBottom w:val="0"/>
          <w:divBdr>
            <w:top w:val="none" w:sz="0" w:space="0" w:color="auto"/>
            <w:left w:val="none" w:sz="0" w:space="0" w:color="auto"/>
            <w:bottom w:val="none" w:sz="0" w:space="0" w:color="auto"/>
            <w:right w:val="none" w:sz="0" w:space="0" w:color="auto"/>
          </w:divBdr>
          <w:divsChild>
            <w:div w:id="1397049793">
              <w:marLeft w:val="0"/>
              <w:marRight w:val="0"/>
              <w:marTop w:val="0"/>
              <w:marBottom w:val="0"/>
              <w:divBdr>
                <w:top w:val="none" w:sz="0" w:space="0" w:color="auto"/>
                <w:left w:val="none" w:sz="0" w:space="0" w:color="auto"/>
                <w:bottom w:val="none" w:sz="0" w:space="0" w:color="auto"/>
                <w:right w:val="none" w:sz="0" w:space="0" w:color="auto"/>
              </w:divBdr>
            </w:div>
          </w:divsChild>
        </w:div>
        <w:div w:id="309941132">
          <w:marLeft w:val="0"/>
          <w:marRight w:val="0"/>
          <w:marTop w:val="0"/>
          <w:marBottom w:val="0"/>
          <w:divBdr>
            <w:top w:val="none" w:sz="0" w:space="0" w:color="auto"/>
            <w:left w:val="none" w:sz="0" w:space="0" w:color="auto"/>
            <w:bottom w:val="none" w:sz="0" w:space="0" w:color="auto"/>
            <w:right w:val="none" w:sz="0" w:space="0" w:color="auto"/>
          </w:divBdr>
          <w:divsChild>
            <w:div w:id="68043911">
              <w:marLeft w:val="0"/>
              <w:marRight w:val="0"/>
              <w:marTop w:val="0"/>
              <w:marBottom w:val="0"/>
              <w:divBdr>
                <w:top w:val="none" w:sz="0" w:space="0" w:color="auto"/>
                <w:left w:val="none" w:sz="0" w:space="0" w:color="auto"/>
                <w:bottom w:val="none" w:sz="0" w:space="0" w:color="auto"/>
                <w:right w:val="none" w:sz="0" w:space="0" w:color="auto"/>
              </w:divBdr>
            </w:div>
          </w:divsChild>
        </w:div>
        <w:div w:id="311296063">
          <w:marLeft w:val="0"/>
          <w:marRight w:val="0"/>
          <w:marTop w:val="0"/>
          <w:marBottom w:val="0"/>
          <w:divBdr>
            <w:top w:val="none" w:sz="0" w:space="0" w:color="auto"/>
            <w:left w:val="none" w:sz="0" w:space="0" w:color="auto"/>
            <w:bottom w:val="none" w:sz="0" w:space="0" w:color="auto"/>
            <w:right w:val="none" w:sz="0" w:space="0" w:color="auto"/>
          </w:divBdr>
          <w:divsChild>
            <w:div w:id="108740146">
              <w:marLeft w:val="0"/>
              <w:marRight w:val="0"/>
              <w:marTop w:val="0"/>
              <w:marBottom w:val="0"/>
              <w:divBdr>
                <w:top w:val="none" w:sz="0" w:space="0" w:color="auto"/>
                <w:left w:val="none" w:sz="0" w:space="0" w:color="auto"/>
                <w:bottom w:val="none" w:sz="0" w:space="0" w:color="auto"/>
                <w:right w:val="none" w:sz="0" w:space="0" w:color="auto"/>
              </w:divBdr>
            </w:div>
          </w:divsChild>
        </w:div>
        <w:div w:id="320085414">
          <w:marLeft w:val="0"/>
          <w:marRight w:val="0"/>
          <w:marTop w:val="0"/>
          <w:marBottom w:val="0"/>
          <w:divBdr>
            <w:top w:val="none" w:sz="0" w:space="0" w:color="auto"/>
            <w:left w:val="none" w:sz="0" w:space="0" w:color="auto"/>
            <w:bottom w:val="none" w:sz="0" w:space="0" w:color="auto"/>
            <w:right w:val="none" w:sz="0" w:space="0" w:color="auto"/>
          </w:divBdr>
          <w:divsChild>
            <w:div w:id="814839997">
              <w:marLeft w:val="0"/>
              <w:marRight w:val="0"/>
              <w:marTop w:val="0"/>
              <w:marBottom w:val="0"/>
              <w:divBdr>
                <w:top w:val="none" w:sz="0" w:space="0" w:color="auto"/>
                <w:left w:val="none" w:sz="0" w:space="0" w:color="auto"/>
                <w:bottom w:val="none" w:sz="0" w:space="0" w:color="auto"/>
                <w:right w:val="none" w:sz="0" w:space="0" w:color="auto"/>
              </w:divBdr>
            </w:div>
          </w:divsChild>
        </w:div>
        <w:div w:id="329874322">
          <w:marLeft w:val="0"/>
          <w:marRight w:val="0"/>
          <w:marTop w:val="0"/>
          <w:marBottom w:val="0"/>
          <w:divBdr>
            <w:top w:val="none" w:sz="0" w:space="0" w:color="auto"/>
            <w:left w:val="none" w:sz="0" w:space="0" w:color="auto"/>
            <w:bottom w:val="none" w:sz="0" w:space="0" w:color="auto"/>
            <w:right w:val="none" w:sz="0" w:space="0" w:color="auto"/>
          </w:divBdr>
          <w:divsChild>
            <w:div w:id="1990816206">
              <w:marLeft w:val="0"/>
              <w:marRight w:val="0"/>
              <w:marTop w:val="0"/>
              <w:marBottom w:val="0"/>
              <w:divBdr>
                <w:top w:val="none" w:sz="0" w:space="0" w:color="auto"/>
                <w:left w:val="none" w:sz="0" w:space="0" w:color="auto"/>
                <w:bottom w:val="none" w:sz="0" w:space="0" w:color="auto"/>
                <w:right w:val="none" w:sz="0" w:space="0" w:color="auto"/>
              </w:divBdr>
            </w:div>
          </w:divsChild>
        </w:div>
        <w:div w:id="332219104">
          <w:marLeft w:val="0"/>
          <w:marRight w:val="0"/>
          <w:marTop w:val="0"/>
          <w:marBottom w:val="0"/>
          <w:divBdr>
            <w:top w:val="none" w:sz="0" w:space="0" w:color="auto"/>
            <w:left w:val="none" w:sz="0" w:space="0" w:color="auto"/>
            <w:bottom w:val="none" w:sz="0" w:space="0" w:color="auto"/>
            <w:right w:val="none" w:sz="0" w:space="0" w:color="auto"/>
          </w:divBdr>
          <w:divsChild>
            <w:div w:id="727998815">
              <w:marLeft w:val="0"/>
              <w:marRight w:val="0"/>
              <w:marTop w:val="0"/>
              <w:marBottom w:val="0"/>
              <w:divBdr>
                <w:top w:val="none" w:sz="0" w:space="0" w:color="auto"/>
                <w:left w:val="none" w:sz="0" w:space="0" w:color="auto"/>
                <w:bottom w:val="none" w:sz="0" w:space="0" w:color="auto"/>
                <w:right w:val="none" w:sz="0" w:space="0" w:color="auto"/>
              </w:divBdr>
            </w:div>
          </w:divsChild>
        </w:div>
        <w:div w:id="333724916">
          <w:marLeft w:val="0"/>
          <w:marRight w:val="0"/>
          <w:marTop w:val="0"/>
          <w:marBottom w:val="0"/>
          <w:divBdr>
            <w:top w:val="none" w:sz="0" w:space="0" w:color="auto"/>
            <w:left w:val="none" w:sz="0" w:space="0" w:color="auto"/>
            <w:bottom w:val="none" w:sz="0" w:space="0" w:color="auto"/>
            <w:right w:val="none" w:sz="0" w:space="0" w:color="auto"/>
          </w:divBdr>
          <w:divsChild>
            <w:div w:id="1890339812">
              <w:marLeft w:val="0"/>
              <w:marRight w:val="0"/>
              <w:marTop w:val="0"/>
              <w:marBottom w:val="0"/>
              <w:divBdr>
                <w:top w:val="none" w:sz="0" w:space="0" w:color="auto"/>
                <w:left w:val="none" w:sz="0" w:space="0" w:color="auto"/>
                <w:bottom w:val="none" w:sz="0" w:space="0" w:color="auto"/>
                <w:right w:val="none" w:sz="0" w:space="0" w:color="auto"/>
              </w:divBdr>
            </w:div>
          </w:divsChild>
        </w:div>
        <w:div w:id="339703887">
          <w:marLeft w:val="0"/>
          <w:marRight w:val="0"/>
          <w:marTop w:val="0"/>
          <w:marBottom w:val="0"/>
          <w:divBdr>
            <w:top w:val="none" w:sz="0" w:space="0" w:color="auto"/>
            <w:left w:val="none" w:sz="0" w:space="0" w:color="auto"/>
            <w:bottom w:val="none" w:sz="0" w:space="0" w:color="auto"/>
            <w:right w:val="none" w:sz="0" w:space="0" w:color="auto"/>
          </w:divBdr>
          <w:divsChild>
            <w:div w:id="610085541">
              <w:marLeft w:val="0"/>
              <w:marRight w:val="0"/>
              <w:marTop w:val="0"/>
              <w:marBottom w:val="0"/>
              <w:divBdr>
                <w:top w:val="none" w:sz="0" w:space="0" w:color="auto"/>
                <w:left w:val="none" w:sz="0" w:space="0" w:color="auto"/>
                <w:bottom w:val="none" w:sz="0" w:space="0" w:color="auto"/>
                <w:right w:val="none" w:sz="0" w:space="0" w:color="auto"/>
              </w:divBdr>
            </w:div>
          </w:divsChild>
        </w:div>
        <w:div w:id="353262961">
          <w:marLeft w:val="0"/>
          <w:marRight w:val="0"/>
          <w:marTop w:val="0"/>
          <w:marBottom w:val="0"/>
          <w:divBdr>
            <w:top w:val="none" w:sz="0" w:space="0" w:color="auto"/>
            <w:left w:val="none" w:sz="0" w:space="0" w:color="auto"/>
            <w:bottom w:val="none" w:sz="0" w:space="0" w:color="auto"/>
            <w:right w:val="none" w:sz="0" w:space="0" w:color="auto"/>
          </w:divBdr>
          <w:divsChild>
            <w:div w:id="963922149">
              <w:marLeft w:val="0"/>
              <w:marRight w:val="0"/>
              <w:marTop w:val="0"/>
              <w:marBottom w:val="0"/>
              <w:divBdr>
                <w:top w:val="none" w:sz="0" w:space="0" w:color="auto"/>
                <w:left w:val="none" w:sz="0" w:space="0" w:color="auto"/>
                <w:bottom w:val="none" w:sz="0" w:space="0" w:color="auto"/>
                <w:right w:val="none" w:sz="0" w:space="0" w:color="auto"/>
              </w:divBdr>
            </w:div>
          </w:divsChild>
        </w:div>
        <w:div w:id="354425558">
          <w:marLeft w:val="0"/>
          <w:marRight w:val="0"/>
          <w:marTop w:val="0"/>
          <w:marBottom w:val="0"/>
          <w:divBdr>
            <w:top w:val="none" w:sz="0" w:space="0" w:color="auto"/>
            <w:left w:val="none" w:sz="0" w:space="0" w:color="auto"/>
            <w:bottom w:val="none" w:sz="0" w:space="0" w:color="auto"/>
            <w:right w:val="none" w:sz="0" w:space="0" w:color="auto"/>
          </w:divBdr>
          <w:divsChild>
            <w:div w:id="1768846168">
              <w:marLeft w:val="0"/>
              <w:marRight w:val="0"/>
              <w:marTop w:val="0"/>
              <w:marBottom w:val="0"/>
              <w:divBdr>
                <w:top w:val="none" w:sz="0" w:space="0" w:color="auto"/>
                <w:left w:val="none" w:sz="0" w:space="0" w:color="auto"/>
                <w:bottom w:val="none" w:sz="0" w:space="0" w:color="auto"/>
                <w:right w:val="none" w:sz="0" w:space="0" w:color="auto"/>
              </w:divBdr>
            </w:div>
          </w:divsChild>
        </w:div>
        <w:div w:id="360907573">
          <w:marLeft w:val="0"/>
          <w:marRight w:val="0"/>
          <w:marTop w:val="0"/>
          <w:marBottom w:val="0"/>
          <w:divBdr>
            <w:top w:val="none" w:sz="0" w:space="0" w:color="auto"/>
            <w:left w:val="none" w:sz="0" w:space="0" w:color="auto"/>
            <w:bottom w:val="none" w:sz="0" w:space="0" w:color="auto"/>
            <w:right w:val="none" w:sz="0" w:space="0" w:color="auto"/>
          </w:divBdr>
          <w:divsChild>
            <w:div w:id="1161384870">
              <w:marLeft w:val="0"/>
              <w:marRight w:val="0"/>
              <w:marTop w:val="0"/>
              <w:marBottom w:val="0"/>
              <w:divBdr>
                <w:top w:val="none" w:sz="0" w:space="0" w:color="auto"/>
                <w:left w:val="none" w:sz="0" w:space="0" w:color="auto"/>
                <w:bottom w:val="none" w:sz="0" w:space="0" w:color="auto"/>
                <w:right w:val="none" w:sz="0" w:space="0" w:color="auto"/>
              </w:divBdr>
            </w:div>
          </w:divsChild>
        </w:div>
        <w:div w:id="365250811">
          <w:marLeft w:val="0"/>
          <w:marRight w:val="0"/>
          <w:marTop w:val="0"/>
          <w:marBottom w:val="0"/>
          <w:divBdr>
            <w:top w:val="none" w:sz="0" w:space="0" w:color="auto"/>
            <w:left w:val="none" w:sz="0" w:space="0" w:color="auto"/>
            <w:bottom w:val="none" w:sz="0" w:space="0" w:color="auto"/>
            <w:right w:val="none" w:sz="0" w:space="0" w:color="auto"/>
          </w:divBdr>
          <w:divsChild>
            <w:div w:id="304161775">
              <w:marLeft w:val="0"/>
              <w:marRight w:val="0"/>
              <w:marTop w:val="0"/>
              <w:marBottom w:val="0"/>
              <w:divBdr>
                <w:top w:val="none" w:sz="0" w:space="0" w:color="auto"/>
                <w:left w:val="none" w:sz="0" w:space="0" w:color="auto"/>
                <w:bottom w:val="none" w:sz="0" w:space="0" w:color="auto"/>
                <w:right w:val="none" w:sz="0" w:space="0" w:color="auto"/>
              </w:divBdr>
            </w:div>
          </w:divsChild>
        </w:div>
        <w:div w:id="367800064">
          <w:marLeft w:val="0"/>
          <w:marRight w:val="0"/>
          <w:marTop w:val="0"/>
          <w:marBottom w:val="0"/>
          <w:divBdr>
            <w:top w:val="none" w:sz="0" w:space="0" w:color="auto"/>
            <w:left w:val="none" w:sz="0" w:space="0" w:color="auto"/>
            <w:bottom w:val="none" w:sz="0" w:space="0" w:color="auto"/>
            <w:right w:val="none" w:sz="0" w:space="0" w:color="auto"/>
          </w:divBdr>
          <w:divsChild>
            <w:div w:id="613440716">
              <w:marLeft w:val="0"/>
              <w:marRight w:val="0"/>
              <w:marTop w:val="0"/>
              <w:marBottom w:val="0"/>
              <w:divBdr>
                <w:top w:val="none" w:sz="0" w:space="0" w:color="auto"/>
                <w:left w:val="none" w:sz="0" w:space="0" w:color="auto"/>
                <w:bottom w:val="none" w:sz="0" w:space="0" w:color="auto"/>
                <w:right w:val="none" w:sz="0" w:space="0" w:color="auto"/>
              </w:divBdr>
            </w:div>
          </w:divsChild>
        </w:div>
        <w:div w:id="370812891">
          <w:marLeft w:val="0"/>
          <w:marRight w:val="0"/>
          <w:marTop w:val="0"/>
          <w:marBottom w:val="0"/>
          <w:divBdr>
            <w:top w:val="none" w:sz="0" w:space="0" w:color="auto"/>
            <w:left w:val="none" w:sz="0" w:space="0" w:color="auto"/>
            <w:bottom w:val="none" w:sz="0" w:space="0" w:color="auto"/>
            <w:right w:val="none" w:sz="0" w:space="0" w:color="auto"/>
          </w:divBdr>
          <w:divsChild>
            <w:div w:id="510460895">
              <w:marLeft w:val="0"/>
              <w:marRight w:val="0"/>
              <w:marTop w:val="0"/>
              <w:marBottom w:val="0"/>
              <w:divBdr>
                <w:top w:val="none" w:sz="0" w:space="0" w:color="auto"/>
                <w:left w:val="none" w:sz="0" w:space="0" w:color="auto"/>
                <w:bottom w:val="none" w:sz="0" w:space="0" w:color="auto"/>
                <w:right w:val="none" w:sz="0" w:space="0" w:color="auto"/>
              </w:divBdr>
            </w:div>
          </w:divsChild>
        </w:div>
        <w:div w:id="376009175">
          <w:marLeft w:val="0"/>
          <w:marRight w:val="0"/>
          <w:marTop w:val="0"/>
          <w:marBottom w:val="0"/>
          <w:divBdr>
            <w:top w:val="none" w:sz="0" w:space="0" w:color="auto"/>
            <w:left w:val="none" w:sz="0" w:space="0" w:color="auto"/>
            <w:bottom w:val="none" w:sz="0" w:space="0" w:color="auto"/>
            <w:right w:val="none" w:sz="0" w:space="0" w:color="auto"/>
          </w:divBdr>
          <w:divsChild>
            <w:div w:id="52238061">
              <w:marLeft w:val="0"/>
              <w:marRight w:val="0"/>
              <w:marTop w:val="0"/>
              <w:marBottom w:val="0"/>
              <w:divBdr>
                <w:top w:val="none" w:sz="0" w:space="0" w:color="auto"/>
                <w:left w:val="none" w:sz="0" w:space="0" w:color="auto"/>
                <w:bottom w:val="none" w:sz="0" w:space="0" w:color="auto"/>
                <w:right w:val="none" w:sz="0" w:space="0" w:color="auto"/>
              </w:divBdr>
            </w:div>
          </w:divsChild>
        </w:div>
        <w:div w:id="390277739">
          <w:marLeft w:val="0"/>
          <w:marRight w:val="0"/>
          <w:marTop w:val="0"/>
          <w:marBottom w:val="0"/>
          <w:divBdr>
            <w:top w:val="none" w:sz="0" w:space="0" w:color="auto"/>
            <w:left w:val="none" w:sz="0" w:space="0" w:color="auto"/>
            <w:bottom w:val="none" w:sz="0" w:space="0" w:color="auto"/>
            <w:right w:val="none" w:sz="0" w:space="0" w:color="auto"/>
          </w:divBdr>
          <w:divsChild>
            <w:div w:id="1547061287">
              <w:marLeft w:val="0"/>
              <w:marRight w:val="0"/>
              <w:marTop w:val="0"/>
              <w:marBottom w:val="0"/>
              <w:divBdr>
                <w:top w:val="none" w:sz="0" w:space="0" w:color="auto"/>
                <w:left w:val="none" w:sz="0" w:space="0" w:color="auto"/>
                <w:bottom w:val="none" w:sz="0" w:space="0" w:color="auto"/>
                <w:right w:val="none" w:sz="0" w:space="0" w:color="auto"/>
              </w:divBdr>
            </w:div>
          </w:divsChild>
        </w:div>
        <w:div w:id="392238596">
          <w:marLeft w:val="0"/>
          <w:marRight w:val="0"/>
          <w:marTop w:val="0"/>
          <w:marBottom w:val="0"/>
          <w:divBdr>
            <w:top w:val="none" w:sz="0" w:space="0" w:color="auto"/>
            <w:left w:val="none" w:sz="0" w:space="0" w:color="auto"/>
            <w:bottom w:val="none" w:sz="0" w:space="0" w:color="auto"/>
            <w:right w:val="none" w:sz="0" w:space="0" w:color="auto"/>
          </w:divBdr>
          <w:divsChild>
            <w:div w:id="1840732847">
              <w:marLeft w:val="0"/>
              <w:marRight w:val="0"/>
              <w:marTop w:val="0"/>
              <w:marBottom w:val="0"/>
              <w:divBdr>
                <w:top w:val="none" w:sz="0" w:space="0" w:color="auto"/>
                <w:left w:val="none" w:sz="0" w:space="0" w:color="auto"/>
                <w:bottom w:val="none" w:sz="0" w:space="0" w:color="auto"/>
                <w:right w:val="none" w:sz="0" w:space="0" w:color="auto"/>
              </w:divBdr>
            </w:div>
          </w:divsChild>
        </w:div>
        <w:div w:id="403525350">
          <w:marLeft w:val="0"/>
          <w:marRight w:val="0"/>
          <w:marTop w:val="0"/>
          <w:marBottom w:val="0"/>
          <w:divBdr>
            <w:top w:val="none" w:sz="0" w:space="0" w:color="auto"/>
            <w:left w:val="none" w:sz="0" w:space="0" w:color="auto"/>
            <w:bottom w:val="none" w:sz="0" w:space="0" w:color="auto"/>
            <w:right w:val="none" w:sz="0" w:space="0" w:color="auto"/>
          </w:divBdr>
          <w:divsChild>
            <w:div w:id="9794512">
              <w:marLeft w:val="0"/>
              <w:marRight w:val="0"/>
              <w:marTop w:val="0"/>
              <w:marBottom w:val="0"/>
              <w:divBdr>
                <w:top w:val="none" w:sz="0" w:space="0" w:color="auto"/>
                <w:left w:val="none" w:sz="0" w:space="0" w:color="auto"/>
                <w:bottom w:val="none" w:sz="0" w:space="0" w:color="auto"/>
                <w:right w:val="none" w:sz="0" w:space="0" w:color="auto"/>
              </w:divBdr>
            </w:div>
          </w:divsChild>
        </w:div>
        <w:div w:id="407387870">
          <w:marLeft w:val="0"/>
          <w:marRight w:val="0"/>
          <w:marTop w:val="0"/>
          <w:marBottom w:val="0"/>
          <w:divBdr>
            <w:top w:val="none" w:sz="0" w:space="0" w:color="auto"/>
            <w:left w:val="none" w:sz="0" w:space="0" w:color="auto"/>
            <w:bottom w:val="none" w:sz="0" w:space="0" w:color="auto"/>
            <w:right w:val="none" w:sz="0" w:space="0" w:color="auto"/>
          </w:divBdr>
          <w:divsChild>
            <w:div w:id="2144228105">
              <w:marLeft w:val="0"/>
              <w:marRight w:val="0"/>
              <w:marTop w:val="0"/>
              <w:marBottom w:val="0"/>
              <w:divBdr>
                <w:top w:val="none" w:sz="0" w:space="0" w:color="auto"/>
                <w:left w:val="none" w:sz="0" w:space="0" w:color="auto"/>
                <w:bottom w:val="none" w:sz="0" w:space="0" w:color="auto"/>
                <w:right w:val="none" w:sz="0" w:space="0" w:color="auto"/>
              </w:divBdr>
            </w:div>
          </w:divsChild>
        </w:div>
        <w:div w:id="410783221">
          <w:marLeft w:val="0"/>
          <w:marRight w:val="0"/>
          <w:marTop w:val="0"/>
          <w:marBottom w:val="0"/>
          <w:divBdr>
            <w:top w:val="none" w:sz="0" w:space="0" w:color="auto"/>
            <w:left w:val="none" w:sz="0" w:space="0" w:color="auto"/>
            <w:bottom w:val="none" w:sz="0" w:space="0" w:color="auto"/>
            <w:right w:val="none" w:sz="0" w:space="0" w:color="auto"/>
          </w:divBdr>
          <w:divsChild>
            <w:div w:id="870923539">
              <w:marLeft w:val="0"/>
              <w:marRight w:val="0"/>
              <w:marTop w:val="0"/>
              <w:marBottom w:val="0"/>
              <w:divBdr>
                <w:top w:val="none" w:sz="0" w:space="0" w:color="auto"/>
                <w:left w:val="none" w:sz="0" w:space="0" w:color="auto"/>
                <w:bottom w:val="none" w:sz="0" w:space="0" w:color="auto"/>
                <w:right w:val="none" w:sz="0" w:space="0" w:color="auto"/>
              </w:divBdr>
            </w:div>
          </w:divsChild>
        </w:div>
        <w:div w:id="419563245">
          <w:marLeft w:val="0"/>
          <w:marRight w:val="0"/>
          <w:marTop w:val="0"/>
          <w:marBottom w:val="0"/>
          <w:divBdr>
            <w:top w:val="none" w:sz="0" w:space="0" w:color="auto"/>
            <w:left w:val="none" w:sz="0" w:space="0" w:color="auto"/>
            <w:bottom w:val="none" w:sz="0" w:space="0" w:color="auto"/>
            <w:right w:val="none" w:sz="0" w:space="0" w:color="auto"/>
          </w:divBdr>
          <w:divsChild>
            <w:div w:id="1937051466">
              <w:marLeft w:val="0"/>
              <w:marRight w:val="0"/>
              <w:marTop w:val="0"/>
              <w:marBottom w:val="0"/>
              <w:divBdr>
                <w:top w:val="none" w:sz="0" w:space="0" w:color="auto"/>
                <w:left w:val="none" w:sz="0" w:space="0" w:color="auto"/>
                <w:bottom w:val="none" w:sz="0" w:space="0" w:color="auto"/>
                <w:right w:val="none" w:sz="0" w:space="0" w:color="auto"/>
              </w:divBdr>
            </w:div>
          </w:divsChild>
        </w:div>
        <w:div w:id="432673021">
          <w:marLeft w:val="0"/>
          <w:marRight w:val="0"/>
          <w:marTop w:val="0"/>
          <w:marBottom w:val="0"/>
          <w:divBdr>
            <w:top w:val="none" w:sz="0" w:space="0" w:color="auto"/>
            <w:left w:val="none" w:sz="0" w:space="0" w:color="auto"/>
            <w:bottom w:val="none" w:sz="0" w:space="0" w:color="auto"/>
            <w:right w:val="none" w:sz="0" w:space="0" w:color="auto"/>
          </w:divBdr>
          <w:divsChild>
            <w:div w:id="750085104">
              <w:marLeft w:val="0"/>
              <w:marRight w:val="0"/>
              <w:marTop w:val="0"/>
              <w:marBottom w:val="0"/>
              <w:divBdr>
                <w:top w:val="none" w:sz="0" w:space="0" w:color="auto"/>
                <w:left w:val="none" w:sz="0" w:space="0" w:color="auto"/>
                <w:bottom w:val="none" w:sz="0" w:space="0" w:color="auto"/>
                <w:right w:val="none" w:sz="0" w:space="0" w:color="auto"/>
              </w:divBdr>
            </w:div>
          </w:divsChild>
        </w:div>
        <w:div w:id="441194427">
          <w:marLeft w:val="0"/>
          <w:marRight w:val="0"/>
          <w:marTop w:val="0"/>
          <w:marBottom w:val="0"/>
          <w:divBdr>
            <w:top w:val="none" w:sz="0" w:space="0" w:color="auto"/>
            <w:left w:val="none" w:sz="0" w:space="0" w:color="auto"/>
            <w:bottom w:val="none" w:sz="0" w:space="0" w:color="auto"/>
            <w:right w:val="none" w:sz="0" w:space="0" w:color="auto"/>
          </w:divBdr>
          <w:divsChild>
            <w:div w:id="635528700">
              <w:marLeft w:val="0"/>
              <w:marRight w:val="0"/>
              <w:marTop w:val="0"/>
              <w:marBottom w:val="0"/>
              <w:divBdr>
                <w:top w:val="none" w:sz="0" w:space="0" w:color="auto"/>
                <w:left w:val="none" w:sz="0" w:space="0" w:color="auto"/>
                <w:bottom w:val="none" w:sz="0" w:space="0" w:color="auto"/>
                <w:right w:val="none" w:sz="0" w:space="0" w:color="auto"/>
              </w:divBdr>
            </w:div>
          </w:divsChild>
        </w:div>
        <w:div w:id="464591467">
          <w:marLeft w:val="0"/>
          <w:marRight w:val="0"/>
          <w:marTop w:val="0"/>
          <w:marBottom w:val="0"/>
          <w:divBdr>
            <w:top w:val="none" w:sz="0" w:space="0" w:color="auto"/>
            <w:left w:val="none" w:sz="0" w:space="0" w:color="auto"/>
            <w:bottom w:val="none" w:sz="0" w:space="0" w:color="auto"/>
            <w:right w:val="none" w:sz="0" w:space="0" w:color="auto"/>
          </w:divBdr>
          <w:divsChild>
            <w:div w:id="1870290941">
              <w:marLeft w:val="0"/>
              <w:marRight w:val="0"/>
              <w:marTop w:val="0"/>
              <w:marBottom w:val="0"/>
              <w:divBdr>
                <w:top w:val="none" w:sz="0" w:space="0" w:color="auto"/>
                <w:left w:val="none" w:sz="0" w:space="0" w:color="auto"/>
                <w:bottom w:val="none" w:sz="0" w:space="0" w:color="auto"/>
                <w:right w:val="none" w:sz="0" w:space="0" w:color="auto"/>
              </w:divBdr>
            </w:div>
          </w:divsChild>
        </w:div>
        <w:div w:id="468786215">
          <w:marLeft w:val="0"/>
          <w:marRight w:val="0"/>
          <w:marTop w:val="0"/>
          <w:marBottom w:val="0"/>
          <w:divBdr>
            <w:top w:val="none" w:sz="0" w:space="0" w:color="auto"/>
            <w:left w:val="none" w:sz="0" w:space="0" w:color="auto"/>
            <w:bottom w:val="none" w:sz="0" w:space="0" w:color="auto"/>
            <w:right w:val="none" w:sz="0" w:space="0" w:color="auto"/>
          </w:divBdr>
          <w:divsChild>
            <w:div w:id="1238512784">
              <w:marLeft w:val="0"/>
              <w:marRight w:val="0"/>
              <w:marTop w:val="0"/>
              <w:marBottom w:val="0"/>
              <w:divBdr>
                <w:top w:val="none" w:sz="0" w:space="0" w:color="auto"/>
                <w:left w:val="none" w:sz="0" w:space="0" w:color="auto"/>
                <w:bottom w:val="none" w:sz="0" w:space="0" w:color="auto"/>
                <w:right w:val="none" w:sz="0" w:space="0" w:color="auto"/>
              </w:divBdr>
            </w:div>
          </w:divsChild>
        </w:div>
        <w:div w:id="472790855">
          <w:marLeft w:val="0"/>
          <w:marRight w:val="0"/>
          <w:marTop w:val="0"/>
          <w:marBottom w:val="0"/>
          <w:divBdr>
            <w:top w:val="none" w:sz="0" w:space="0" w:color="auto"/>
            <w:left w:val="none" w:sz="0" w:space="0" w:color="auto"/>
            <w:bottom w:val="none" w:sz="0" w:space="0" w:color="auto"/>
            <w:right w:val="none" w:sz="0" w:space="0" w:color="auto"/>
          </w:divBdr>
          <w:divsChild>
            <w:div w:id="639768395">
              <w:marLeft w:val="0"/>
              <w:marRight w:val="0"/>
              <w:marTop w:val="0"/>
              <w:marBottom w:val="0"/>
              <w:divBdr>
                <w:top w:val="none" w:sz="0" w:space="0" w:color="auto"/>
                <w:left w:val="none" w:sz="0" w:space="0" w:color="auto"/>
                <w:bottom w:val="none" w:sz="0" w:space="0" w:color="auto"/>
                <w:right w:val="none" w:sz="0" w:space="0" w:color="auto"/>
              </w:divBdr>
            </w:div>
          </w:divsChild>
        </w:div>
        <w:div w:id="488132256">
          <w:marLeft w:val="0"/>
          <w:marRight w:val="0"/>
          <w:marTop w:val="0"/>
          <w:marBottom w:val="0"/>
          <w:divBdr>
            <w:top w:val="none" w:sz="0" w:space="0" w:color="auto"/>
            <w:left w:val="none" w:sz="0" w:space="0" w:color="auto"/>
            <w:bottom w:val="none" w:sz="0" w:space="0" w:color="auto"/>
            <w:right w:val="none" w:sz="0" w:space="0" w:color="auto"/>
          </w:divBdr>
          <w:divsChild>
            <w:div w:id="829255919">
              <w:marLeft w:val="0"/>
              <w:marRight w:val="0"/>
              <w:marTop w:val="0"/>
              <w:marBottom w:val="0"/>
              <w:divBdr>
                <w:top w:val="none" w:sz="0" w:space="0" w:color="auto"/>
                <w:left w:val="none" w:sz="0" w:space="0" w:color="auto"/>
                <w:bottom w:val="none" w:sz="0" w:space="0" w:color="auto"/>
                <w:right w:val="none" w:sz="0" w:space="0" w:color="auto"/>
              </w:divBdr>
            </w:div>
          </w:divsChild>
        </w:div>
        <w:div w:id="488249780">
          <w:marLeft w:val="0"/>
          <w:marRight w:val="0"/>
          <w:marTop w:val="0"/>
          <w:marBottom w:val="0"/>
          <w:divBdr>
            <w:top w:val="none" w:sz="0" w:space="0" w:color="auto"/>
            <w:left w:val="none" w:sz="0" w:space="0" w:color="auto"/>
            <w:bottom w:val="none" w:sz="0" w:space="0" w:color="auto"/>
            <w:right w:val="none" w:sz="0" w:space="0" w:color="auto"/>
          </w:divBdr>
          <w:divsChild>
            <w:div w:id="214700684">
              <w:marLeft w:val="0"/>
              <w:marRight w:val="0"/>
              <w:marTop w:val="0"/>
              <w:marBottom w:val="0"/>
              <w:divBdr>
                <w:top w:val="none" w:sz="0" w:space="0" w:color="auto"/>
                <w:left w:val="none" w:sz="0" w:space="0" w:color="auto"/>
                <w:bottom w:val="none" w:sz="0" w:space="0" w:color="auto"/>
                <w:right w:val="none" w:sz="0" w:space="0" w:color="auto"/>
              </w:divBdr>
            </w:div>
          </w:divsChild>
        </w:div>
        <w:div w:id="507401987">
          <w:marLeft w:val="0"/>
          <w:marRight w:val="0"/>
          <w:marTop w:val="0"/>
          <w:marBottom w:val="0"/>
          <w:divBdr>
            <w:top w:val="none" w:sz="0" w:space="0" w:color="auto"/>
            <w:left w:val="none" w:sz="0" w:space="0" w:color="auto"/>
            <w:bottom w:val="none" w:sz="0" w:space="0" w:color="auto"/>
            <w:right w:val="none" w:sz="0" w:space="0" w:color="auto"/>
          </w:divBdr>
          <w:divsChild>
            <w:div w:id="30999786">
              <w:marLeft w:val="0"/>
              <w:marRight w:val="0"/>
              <w:marTop w:val="0"/>
              <w:marBottom w:val="0"/>
              <w:divBdr>
                <w:top w:val="none" w:sz="0" w:space="0" w:color="auto"/>
                <w:left w:val="none" w:sz="0" w:space="0" w:color="auto"/>
                <w:bottom w:val="none" w:sz="0" w:space="0" w:color="auto"/>
                <w:right w:val="none" w:sz="0" w:space="0" w:color="auto"/>
              </w:divBdr>
            </w:div>
          </w:divsChild>
        </w:div>
        <w:div w:id="515777757">
          <w:marLeft w:val="0"/>
          <w:marRight w:val="0"/>
          <w:marTop w:val="0"/>
          <w:marBottom w:val="0"/>
          <w:divBdr>
            <w:top w:val="none" w:sz="0" w:space="0" w:color="auto"/>
            <w:left w:val="none" w:sz="0" w:space="0" w:color="auto"/>
            <w:bottom w:val="none" w:sz="0" w:space="0" w:color="auto"/>
            <w:right w:val="none" w:sz="0" w:space="0" w:color="auto"/>
          </w:divBdr>
          <w:divsChild>
            <w:div w:id="1198081129">
              <w:marLeft w:val="0"/>
              <w:marRight w:val="0"/>
              <w:marTop w:val="0"/>
              <w:marBottom w:val="0"/>
              <w:divBdr>
                <w:top w:val="none" w:sz="0" w:space="0" w:color="auto"/>
                <w:left w:val="none" w:sz="0" w:space="0" w:color="auto"/>
                <w:bottom w:val="none" w:sz="0" w:space="0" w:color="auto"/>
                <w:right w:val="none" w:sz="0" w:space="0" w:color="auto"/>
              </w:divBdr>
            </w:div>
          </w:divsChild>
        </w:div>
        <w:div w:id="516502035">
          <w:marLeft w:val="0"/>
          <w:marRight w:val="0"/>
          <w:marTop w:val="0"/>
          <w:marBottom w:val="0"/>
          <w:divBdr>
            <w:top w:val="none" w:sz="0" w:space="0" w:color="auto"/>
            <w:left w:val="none" w:sz="0" w:space="0" w:color="auto"/>
            <w:bottom w:val="none" w:sz="0" w:space="0" w:color="auto"/>
            <w:right w:val="none" w:sz="0" w:space="0" w:color="auto"/>
          </w:divBdr>
          <w:divsChild>
            <w:div w:id="27225360">
              <w:marLeft w:val="0"/>
              <w:marRight w:val="0"/>
              <w:marTop w:val="0"/>
              <w:marBottom w:val="0"/>
              <w:divBdr>
                <w:top w:val="none" w:sz="0" w:space="0" w:color="auto"/>
                <w:left w:val="none" w:sz="0" w:space="0" w:color="auto"/>
                <w:bottom w:val="none" w:sz="0" w:space="0" w:color="auto"/>
                <w:right w:val="none" w:sz="0" w:space="0" w:color="auto"/>
              </w:divBdr>
            </w:div>
          </w:divsChild>
        </w:div>
        <w:div w:id="525942687">
          <w:marLeft w:val="0"/>
          <w:marRight w:val="0"/>
          <w:marTop w:val="0"/>
          <w:marBottom w:val="0"/>
          <w:divBdr>
            <w:top w:val="none" w:sz="0" w:space="0" w:color="auto"/>
            <w:left w:val="none" w:sz="0" w:space="0" w:color="auto"/>
            <w:bottom w:val="none" w:sz="0" w:space="0" w:color="auto"/>
            <w:right w:val="none" w:sz="0" w:space="0" w:color="auto"/>
          </w:divBdr>
          <w:divsChild>
            <w:div w:id="2073431609">
              <w:marLeft w:val="0"/>
              <w:marRight w:val="0"/>
              <w:marTop w:val="0"/>
              <w:marBottom w:val="0"/>
              <w:divBdr>
                <w:top w:val="none" w:sz="0" w:space="0" w:color="auto"/>
                <w:left w:val="none" w:sz="0" w:space="0" w:color="auto"/>
                <w:bottom w:val="none" w:sz="0" w:space="0" w:color="auto"/>
                <w:right w:val="none" w:sz="0" w:space="0" w:color="auto"/>
              </w:divBdr>
            </w:div>
          </w:divsChild>
        </w:div>
        <w:div w:id="532769481">
          <w:marLeft w:val="0"/>
          <w:marRight w:val="0"/>
          <w:marTop w:val="0"/>
          <w:marBottom w:val="0"/>
          <w:divBdr>
            <w:top w:val="none" w:sz="0" w:space="0" w:color="auto"/>
            <w:left w:val="none" w:sz="0" w:space="0" w:color="auto"/>
            <w:bottom w:val="none" w:sz="0" w:space="0" w:color="auto"/>
            <w:right w:val="none" w:sz="0" w:space="0" w:color="auto"/>
          </w:divBdr>
          <w:divsChild>
            <w:div w:id="1921673774">
              <w:marLeft w:val="0"/>
              <w:marRight w:val="0"/>
              <w:marTop w:val="0"/>
              <w:marBottom w:val="0"/>
              <w:divBdr>
                <w:top w:val="none" w:sz="0" w:space="0" w:color="auto"/>
                <w:left w:val="none" w:sz="0" w:space="0" w:color="auto"/>
                <w:bottom w:val="none" w:sz="0" w:space="0" w:color="auto"/>
                <w:right w:val="none" w:sz="0" w:space="0" w:color="auto"/>
              </w:divBdr>
            </w:div>
          </w:divsChild>
        </w:div>
        <w:div w:id="539976733">
          <w:marLeft w:val="0"/>
          <w:marRight w:val="0"/>
          <w:marTop w:val="0"/>
          <w:marBottom w:val="0"/>
          <w:divBdr>
            <w:top w:val="none" w:sz="0" w:space="0" w:color="auto"/>
            <w:left w:val="none" w:sz="0" w:space="0" w:color="auto"/>
            <w:bottom w:val="none" w:sz="0" w:space="0" w:color="auto"/>
            <w:right w:val="none" w:sz="0" w:space="0" w:color="auto"/>
          </w:divBdr>
          <w:divsChild>
            <w:div w:id="8026612">
              <w:marLeft w:val="0"/>
              <w:marRight w:val="0"/>
              <w:marTop w:val="0"/>
              <w:marBottom w:val="0"/>
              <w:divBdr>
                <w:top w:val="none" w:sz="0" w:space="0" w:color="auto"/>
                <w:left w:val="none" w:sz="0" w:space="0" w:color="auto"/>
                <w:bottom w:val="none" w:sz="0" w:space="0" w:color="auto"/>
                <w:right w:val="none" w:sz="0" w:space="0" w:color="auto"/>
              </w:divBdr>
            </w:div>
          </w:divsChild>
        </w:div>
        <w:div w:id="548494963">
          <w:marLeft w:val="0"/>
          <w:marRight w:val="0"/>
          <w:marTop w:val="0"/>
          <w:marBottom w:val="0"/>
          <w:divBdr>
            <w:top w:val="none" w:sz="0" w:space="0" w:color="auto"/>
            <w:left w:val="none" w:sz="0" w:space="0" w:color="auto"/>
            <w:bottom w:val="none" w:sz="0" w:space="0" w:color="auto"/>
            <w:right w:val="none" w:sz="0" w:space="0" w:color="auto"/>
          </w:divBdr>
          <w:divsChild>
            <w:div w:id="1105536163">
              <w:marLeft w:val="0"/>
              <w:marRight w:val="0"/>
              <w:marTop w:val="0"/>
              <w:marBottom w:val="0"/>
              <w:divBdr>
                <w:top w:val="none" w:sz="0" w:space="0" w:color="auto"/>
                <w:left w:val="none" w:sz="0" w:space="0" w:color="auto"/>
                <w:bottom w:val="none" w:sz="0" w:space="0" w:color="auto"/>
                <w:right w:val="none" w:sz="0" w:space="0" w:color="auto"/>
              </w:divBdr>
            </w:div>
          </w:divsChild>
        </w:div>
        <w:div w:id="556361482">
          <w:marLeft w:val="0"/>
          <w:marRight w:val="0"/>
          <w:marTop w:val="0"/>
          <w:marBottom w:val="0"/>
          <w:divBdr>
            <w:top w:val="none" w:sz="0" w:space="0" w:color="auto"/>
            <w:left w:val="none" w:sz="0" w:space="0" w:color="auto"/>
            <w:bottom w:val="none" w:sz="0" w:space="0" w:color="auto"/>
            <w:right w:val="none" w:sz="0" w:space="0" w:color="auto"/>
          </w:divBdr>
          <w:divsChild>
            <w:div w:id="164055416">
              <w:marLeft w:val="0"/>
              <w:marRight w:val="0"/>
              <w:marTop w:val="0"/>
              <w:marBottom w:val="0"/>
              <w:divBdr>
                <w:top w:val="none" w:sz="0" w:space="0" w:color="auto"/>
                <w:left w:val="none" w:sz="0" w:space="0" w:color="auto"/>
                <w:bottom w:val="none" w:sz="0" w:space="0" w:color="auto"/>
                <w:right w:val="none" w:sz="0" w:space="0" w:color="auto"/>
              </w:divBdr>
            </w:div>
          </w:divsChild>
        </w:div>
        <w:div w:id="557009668">
          <w:marLeft w:val="0"/>
          <w:marRight w:val="0"/>
          <w:marTop w:val="0"/>
          <w:marBottom w:val="0"/>
          <w:divBdr>
            <w:top w:val="none" w:sz="0" w:space="0" w:color="auto"/>
            <w:left w:val="none" w:sz="0" w:space="0" w:color="auto"/>
            <w:bottom w:val="none" w:sz="0" w:space="0" w:color="auto"/>
            <w:right w:val="none" w:sz="0" w:space="0" w:color="auto"/>
          </w:divBdr>
          <w:divsChild>
            <w:div w:id="1096898197">
              <w:marLeft w:val="0"/>
              <w:marRight w:val="0"/>
              <w:marTop w:val="0"/>
              <w:marBottom w:val="0"/>
              <w:divBdr>
                <w:top w:val="none" w:sz="0" w:space="0" w:color="auto"/>
                <w:left w:val="none" w:sz="0" w:space="0" w:color="auto"/>
                <w:bottom w:val="none" w:sz="0" w:space="0" w:color="auto"/>
                <w:right w:val="none" w:sz="0" w:space="0" w:color="auto"/>
              </w:divBdr>
            </w:div>
          </w:divsChild>
        </w:div>
        <w:div w:id="571157697">
          <w:marLeft w:val="0"/>
          <w:marRight w:val="0"/>
          <w:marTop w:val="0"/>
          <w:marBottom w:val="0"/>
          <w:divBdr>
            <w:top w:val="none" w:sz="0" w:space="0" w:color="auto"/>
            <w:left w:val="none" w:sz="0" w:space="0" w:color="auto"/>
            <w:bottom w:val="none" w:sz="0" w:space="0" w:color="auto"/>
            <w:right w:val="none" w:sz="0" w:space="0" w:color="auto"/>
          </w:divBdr>
          <w:divsChild>
            <w:div w:id="1109084363">
              <w:marLeft w:val="0"/>
              <w:marRight w:val="0"/>
              <w:marTop w:val="0"/>
              <w:marBottom w:val="0"/>
              <w:divBdr>
                <w:top w:val="none" w:sz="0" w:space="0" w:color="auto"/>
                <w:left w:val="none" w:sz="0" w:space="0" w:color="auto"/>
                <w:bottom w:val="none" w:sz="0" w:space="0" w:color="auto"/>
                <w:right w:val="none" w:sz="0" w:space="0" w:color="auto"/>
              </w:divBdr>
            </w:div>
          </w:divsChild>
        </w:div>
        <w:div w:id="575557901">
          <w:marLeft w:val="0"/>
          <w:marRight w:val="0"/>
          <w:marTop w:val="0"/>
          <w:marBottom w:val="0"/>
          <w:divBdr>
            <w:top w:val="none" w:sz="0" w:space="0" w:color="auto"/>
            <w:left w:val="none" w:sz="0" w:space="0" w:color="auto"/>
            <w:bottom w:val="none" w:sz="0" w:space="0" w:color="auto"/>
            <w:right w:val="none" w:sz="0" w:space="0" w:color="auto"/>
          </w:divBdr>
          <w:divsChild>
            <w:div w:id="1359117158">
              <w:marLeft w:val="0"/>
              <w:marRight w:val="0"/>
              <w:marTop w:val="0"/>
              <w:marBottom w:val="0"/>
              <w:divBdr>
                <w:top w:val="none" w:sz="0" w:space="0" w:color="auto"/>
                <w:left w:val="none" w:sz="0" w:space="0" w:color="auto"/>
                <w:bottom w:val="none" w:sz="0" w:space="0" w:color="auto"/>
                <w:right w:val="none" w:sz="0" w:space="0" w:color="auto"/>
              </w:divBdr>
            </w:div>
          </w:divsChild>
        </w:div>
        <w:div w:id="577598845">
          <w:marLeft w:val="0"/>
          <w:marRight w:val="0"/>
          <w:marTop w:val="0"/>
          <w:marBottom w:val="0"/>
          <w:divBdr>
            <w:top w:val="none" w:sz="0" w:space="0" w:color="auto"/>
            <w:left w:val="none" w:sz="0" w:space="0" w:color="auto"/>
            <w:bottom w:val="none" w:sz="0" w:space="0" w:color="auto"/>
            <w:right w:val="none" w:sz="0" w:space="0" w:color="auto"/>
          </w:divBdr>
          <w:divsChild>
            <w:div w:id="1857187351">
              <w:marLeft w:val="0"/>
              <w:marRight w:val="0"/>
              <w:marTop w:val="0"/>
              <w:marBottom w:val="0"/>
              <w:divBdr>
                <w:top w:val="none" w:sz="0" w:space="0" w:color="auto"/>
                <w:left w:val="none" w:sz="0" w:space="0" w:color="auto"/>
                <w:bottom w:val="none" w:sz="0" w:space="0" w:color="auto"/>
                <w:right w:val="none" w:sz="0" w:space="0" w:color="auto"/>
              </w:divBdr>
            </w:div>
          </w:divsChild>
        </w:div>
        <w:div w:id="577835825">
          <w:marLeft w:val="0"/>
          <w:marRight w:val="0"/>
          <w:marTop w:val="0"/>
          <w:marBottom w:val="0"/>
          <w:divBdr>
            <w:top w:val="none" w:sz="0" w:space="0" w:color="auto"/>
            <w:left w:val="none" w:sz="0" w:space="0" w:color="auto"/>
            <w:bottom w:val="none" w:sz="0" w:space="0" w:color="auto"/>
            <w:right w:val="none" w:sz="0" w:space="0" w:color="auto"/>
          </w:divBdr>
          <w:divsChild>
            <w:div w:id="1615594771">
              <w:marLeft w:val="0"/>
              <w:marRight w:val="0"/>
              <w:marTop w:val="0"/>
              <w:marBottom w:val="0"/>
              <w:divBdr>
                <w:top w:val="none" w:sz="0" w:space="0" w:color="auto"/>
                <w:left w:val="none" w:sz="0" w:space="0" w:color="auto"/>
                <w:bottom w:val="none" w:sz="0" w:space="0" w:color="auto"/>
                <w:right w:val="none" w:sz="0" w:space="0" w:color="auto"/>
              </w:divBdr>
            </w:div>
          </w:divsChild>
        </w:div>
        <w:div w:id="582880601">
          <w:marLeft w:val="0"/>
          <w:marRight w:val="0"/>
          <w:marTop w:val="0"/>
          <w:marBottom w:val="0"/>
          <w:divBdr>
            <w:top w:val="none" w:sz="0" w:space="0" w:color="auto"/>
            <w:left w:val="none" w:sz="0" w:space="0" w:color="auto"/>
            <w:bottom w:val="none" w:sz="0" w:space="0" w:color="auto"/>
            <w:right w:val="none" w:sz="0" w:space="0" w:color="auto"/>
          </w:divBdr>
          <w:divsChild>
            <w:div w:id="1629697769">
              <w:marLeft w:val="0"/>
              <w:marRight w:val="0"/>
              <w:marTop w:val="0"/>
              <w:marBottom w:val="0"/>
              <w:divBdr>
                <w:top w:val="none" w:sz="0" w:space="0" w:color="auto"/>
                <w:left w:val="none" w:sz="0" w:space="0" w:color="auto"/>
                <w:bottom w:val="none" w:sz="0" w:space="0" w:color="auto"/>
                <w:right w:val="none" w:sz="0" w:space="0" w:color="auto"/>
              </w:divBdr>
            </w:div>
          </w:divsChild>
        </w:div>
        <w:div w:id="590243406">
          <w:marLeft w:val="0"/>
          <w:marRight w:val="0"/>
          <w:marTop w:val="0"/>
          <w:marBottom w:val="0"/>
          <w:divBdr>
            <w:top w:val="none" w:sz="0" w:space="0" w:color="auto"/>
            <w:left w:val="none" w:sz="0" w:space="0" w:color="auto"/>
            <w:bottom w:val="none" w:sz="0" w:space="0" w:color="auto"/>
            <w:right w:val="none" w:sz="0" w:space="0" w:color="auto"/>
          </w:divBdr>
          <w:divsChild>
            <w:div w:id="1710497772">
              <w:marLeft w:val="0"/>
              <w:marRight w:val="0"/>
              <w:marTop w:val="0"/>
              <w:marBottom w:val="0"/>
              <w:divBdr>
                <w:top w:val="none" w:sz="0" w:space="0" w:color="auto"/>
                <w:left w:val="none" w:sz="0" w:space="0" w:color="auto"/>
                <w:bottom w:val="none" w:sz="0" w:space="0" w:color="auto"/>
                <w:right w:val="none" w:sz="0" w:space="0" w:color="auto"/>
              </w:divBdr>
            </w:div>
          </w:divsChild>
        </w:div>
        <w:div w:id="604120420">
          <w:marLeft w:val="0"/>
          <w:marRight w:val="0"/>
          <w:marTop w:val="0"/>
          <w:marBottom w:val="0"/>
          <w:divBdr>
            <w:top w:val="none" w:sz="0" w:space="0" w:color="auto"/>
            <w:left w:val="none" w:sz="0" w:space="0" w:color="auto"/>
            <w:bottom w:val="none" w:sz="0" w:space="0" w:color="auto"/>
            <w:right w:val="none" w:sz="0" w:space="0" w:color="auto"/>
          </w:divBdr>
          <w:divsChild>
            <w:div w:id="1583836028">
              <w:marLeft w:val="0"/>
              <w:marRight w:val="0"/>
              <w:marTop w:val="0"/>
              <w:marBottom w:val="0"/>
              <w:divBdr>
                <w:top w:val="none" w:sz="0" w:space="0" w:color="auto"/>
                <w:left w:val="none" w:sz="0" w:space="0" w:color="auto"/>
                <w:bottom w:val="none" w:sz="0" w:space="0" w:color="auto"/>
                <w:right w:val="none" w:sz="0" w:space="0" w:color="auto"/>
              </w:divBdr>
            </w:div>
          </w:divsChild>
        </w:div>
        <w:div w:id="604269965">
          <w:marLeft w:val="0"/>
          <w:marRight w:val="0"/>
          <w:marTop w:val="0"/>
          <w:marBottom w:val="0"/>
          <w:divBdr>
            <w:top w:val="none" w:sz="0" w:space="0" w:color="auto"/>
            <w:left w:val="none" w:sz="0" w:space="0" w:color="auto"/>
            <w:bottom w:val="none" w:sz="0" w:space="0" w:color="auto"/>
            <w:right w:val="none" w:sz="0" w:space="0" w:color="auto"/>
          </w:divBdr>
          <w:divsChild>
            <w:div w:id="394553506">
              <w:marLeft w:val="0"/>
              <w:marRight w:val="0"/>
              <w:marTop w:val="0"/>
              <w:marBottom w:val="0"/>
              <w:divBdr>
                <w:top w:val="none" w:sz="0" w:space="0" w:color="auto"/>
                <w:left w:val="none" w:sz="0" w:space="0" w:color="auto"/>
                <w:bottom w:val="none" w:sz="0" w:space="0" w:color="auto"/>
                <w:right w:val="none" w:sz="0" w:space="0" w:color="auto"/>
              </w:divBdr>
            </w:div>
          </w:divsChild>
        </w:div>
        <w:div w:id="611129977">
          <w:marLeft w:val="0"/>
          <w:marRight w:val="0"/>
          <w:marTop w:val="0"/>
          <w:marBottom w:val="0"/>
          <w:divBdr>
            <w:top w:val="none" w:sz="0" w:space="0" w:color="auto"/>
            <w:left w:val="none" w:sz="0" w:space="0" w:color="auto"/>
            <w:bottom w:val="none" w:sz="0" w:space="0" w:color="auto"/>
            <w:right w:val="none" w:sz="0" w:space="0" w:color="auto"/>
          </w:divBdr>
          <w:divsChild>
            <w:div w:id="2045522415">
              <w:marLeft w:val="0"/>
              <w:marRight w:val="0"/>
              <w:marTop w:val="0"/>
              <w:marBottom w:val="0"/>
              <w:divBdr>
                <w:top w:val="none" w:sz="0" w:space="0" w:color="auto"/>
                <w:left w:val="none" w:sz="0" w:space="0" w:color="auto"/>
                <w:bottom w:val="none" w:sz="0" w:space="0" w:color="auto"/>
                <w:right w:val="none" w:sz="0" w:space="0" w:color="auto"/>
              </w:divBdr>
            </w:div>
          </w:divsChild>
        </w:div>
        <w:div w:id="613634124">
          <w:marLeft w:val="0"/>
          <w:marRight w:val="0"/>
          <w:marTop w:val="0"/>
          <w:marBottom w:val="0"/>
          <w:divBdr>
            <w:top w:val="none" w:sz="0" w:space="0" w:color="auto"/>
            <w:left w:val="none" w:sz="0" w:space="0" w:color="auto"/>
            <w:bottom w:val="none" w:sz="0" w:space="0" w:color="auto"/>
            <w:right w:val="none" w:sz="0" w:space="0" w:color="auto"/>
          </w:divBdr>
          <w:divsChild>
            <w:div w:id="1522158535">
              <w:marLeft w:val="0"/>
              <w:marRight w:val="0"/>
              <w:marTop w:val="0"/>
              <w:marBottom w:val="0"/>
              <w:divBdr>
                <w:top w:val="none" w:sz="0" w:space="0" w:color="auto"/>
                <w:left w:val="none" w:sz="0" w:space="0" w:color="auto"/>
                <w:bottom w:val="none" w:sz="0" w:space="0" w:color="auto"/>
                <w:right w:val="none" w:sz="0" w:space="0" w:color="auto"/>
              </w:divBdr>
            </w:div>
          </w:divsChild>
        </w:div>
        <w:div w:id="613753250">
          <w:marLeft w:val="0"/>
          <w:marRight w:val="0"/>
          <w:marTop w:val="0"/>
          <w:marBottom w:val="0"/>
          <w:divBdr>
            <w:top w:val="none" w:sz="0" w:space="0" w:color="auto"/>
            <w:left w:val="none" w:sz="0" w:space="0" w:color="auto"/>
            <w:bottom w:val="none" w:sz="0" w:space="0" w:color="auto"/>
            <w:right w:val="none" w:sz="0" w:space="0" w:color="auto"/>
          </w:divBdr>
          <w:divsChild>
            <w:div w:id="1636065411">
              <w:marLeft w:val="0"/>
              <w:marRight w:val="0"/>
              <w:marTop w:val="0"/>
              <w:marBottom w:val="0"/>
              <w:divBdr>
                <w:top w:val="none" w:sz="0" w:space="0" w:color="auto"/>
                <w:left w:val="none" w:sz="0" w:space="0" w:color="auto"/>
                <w:bottom w:val="none" w:sz="0" w:space="0" w:color="auto"/>
                <w:right w:val="none" w:sz="0" w:space="0" w:color="auto"/>
              </w:divBdr>
            </w:div>
          </w:divsChild>
        </w:div>
        <w:div w:id="621035389">
          <w:marLeft w:val="0"/>
          <w:marRight w:val="0"/>
          <w:marTop w:val="0"/>
          <w:marBottom w:val="0"/>
          <w:divBdr>
            <w:top w:val="none" w:sz="0" w:space="0" w:color="auto"/>
            <w:left w:val="none" w:sz="0" w:space="0" w:color="auto"/>
            <w:bottom w:val="none" w:sz="0" w:space="0" w:color="auto"/>
            <w:right w:val="none" w:sz="0" w:space="0" w:color="auto"/>
          </w:divBdr>
          <w:divsChild>
            <w:div w:id="1370882603">
              <w:marLeft w:val="0"/>
              <w:marRight w:val="0"/>
              <w:marTop w:val="0"/>
              <w:marBottom w:val="0"/>
              <w:divBdr>
                <w:top w:val="none" w:sz="0" w:space="0" w:color="auto"/>
                <w:left w:val="none" w:sz="0" w:space="0" w:color="auto"/>
                <w:bottom w:val="none" w:sz="0" w:space="0" w:color="auto"/>
                <w:right w:val="none" w:sz="0" w:space="0" w:color="auto"/>
              </w:divBdr>
            </w:div>
          </w:divsChild>
        </w:div>
        <w:div w:id="628165780">
          <w:marLeft w:val="0"/>
          <w:marRight w:val="0"/>
          <w:marTop w:val="0"/>
          <w:marBottom w:val="0"/>
          <w:divBdr>
            <w:top w:val="none" w:sz="0" w:space="0" w:color="auto"/>
            <w:left w:val="none" w:sz="0" w:space="0" w:color="auto"/>
            <w:bottom w:val="none" w:sz="0" w:space="0" w:color="auto"/>
            <w:right w:val="none" w:sz="0" w:space="0" w:color="auto"/>
          </w:divBdr>
          <w:divsChild>
            <w:div w:id="1492058216">
              <w:marLeft w:val="0"/>
              <w:marRight w:val="0"/>
              <w:marTop w:val="0"/>
              <w:marBottom w:val="0"/>
              <w:divBdr>
                <w:top w:val="none" w:sz="0" w:space="0" w:color="auto"/>
                <w:left w:val="none" w:sz="0" w:space="0" w:color="auto"/>
                <w:bottom w:val="none" w:sz="0" w:space="0" w:color="auto"/>
                <w:right w:val="none" w:sz="0" w:space="0" w:color="auto"/>
              </w:divBdr>
            </w:div>
          </w:divsChild>
        </w:div>
        <w:div w:id="630330682">
          <w:marLeft w:val="0"/>
          <w:marRight w:val="0"/>
          <w:marTop w:val="0"/>
          <w:marBottom w:val="0"/>
          <w:divBdr>
            <w:top w:val="none" w:sz="0" w:space="0" w:color="auto"/>
            <w:left w:val="none" w:sz="0" w:space="0" w:color="auto"/>
            <w:bottom w:val="none" w:sz="0" w:space="0" w:color="auto"/>
            <w:right w:val="none" w:sz="0" w:space="0" w:color="auto"/>
          </w:divBdr>
          <w:divsChild>
            <w:div w:id="508836766">
              <w:marLeft w:val="0"/>
              <w:marRight w:val="0"/>
              <w:marTop w:val="0"/>
              <w:marBottom w:val="0"/>
              <w:divBdr>
                <w:top w:val="none" w:sz="0" w:space="0" w:color="auto"/>
                <w:left w:val="none" w:sz="0" w:space="0" w:color="auto"/>
                <w:bottom w:val="none" w:sz="0" w:space="0" w:color="auto"/>
                <w:right w:val="none" w:sz="0" w:space="0" w:color="auto"/>
              </w:divBdr>
            </w:div>
          </w:divsChild>
        </w:div>
        <w:div w:id="635918575">
          <w:marLeft w:val="0"/>
          <w:marRight w:val="0"/>
          <w:marTop w:val="0"/>
          <w:marBottom w:val="0"/>
          <w:divBdr>
            <w:top w:val="none" w:sz="0" w:space="0" w:color="auto"/>
            <w:left w:val="none" w:sz="0" w:space="0" w:color="auto"/>
            <w:bottom w:val="none" w:sz="0" w:space="0" w:color="auto"/>
            <w:right w:val="none" w:sz="0" w:space="0" w:color="auto"/>
          </w:divBdr>
          <w:divsChild>
            <w:div w:id="547037467">
              <w:marLeft w:val="0"/>
              <w:marRight w:val="0"/>
              <w:marTop w:val="0"/>
              <w:marBottom w:val="0"/>
              <w:divBdr>
                <w:top w:val="none" w:sz="0" w:space="0" w:color="auto"/>
                <w:left w:val="none" w:sz="0" w:space="0" w:color="auto"/>
                <w:bottom w:val="none" w:sz="0" w:space="0" w:color="auto"/>
                <w:right w:val="none" w:sz="0" w:space="0" w:color="auto"/>
              </w:divBdr>
            </w:div>
          </w:divsChild>
        </w:div>
        <w:div w:id="637761946">
          <w:marLeft w:val="0"/>
          <w:marRight w:val="0"/>
          <w:marTop w:val="0"/>
          <w:marBottom w:val="0"/>
          <w:divBdr>
            <w:top w:val="none" w:sz="0" w:space="0" w:color="auto"/>
            <w:left w:val="none" w:sz="0" w:space="0" w:color="auto"/>
            <w:bottom w:val="none" w:sz="0" w:space="0" w:color="auto"/>
            <w:right w:val="none" w:sz="0" w:space="0" w:color="auto"/>
          </w:divBdr>
          <w:divsChild>
            <w:div w:id="791483021">
              <w:marLeft w:val="0"/>
              <w:marRight w:val="0"/>
              <w:marTop w:val="0"/>
              <w:marBottom w:val="0"/>
              <w:divBdr>
                <w:top w:val="none" w:sz="0" w:space="0" w:color="auto"/>
                <w:left w:val="none" w:sz="0" w:space="0" w:color="auto"/>
                <w:bottom w:val="none" w:sz="0" w:space="0" w:color="auto"/>
                <w:right w:val="none" w:sz="0" w:space="0" w:color="auto"/>
              </w:divBdr>
            </w:div>
          </w:divsChild>
        </w:div>
        <w:div w:id="649139631">
          <w:marLeft w:val="0"/>
          <w:marRight w:val="0"/>
          <w:marTop w:val="0"/>
          <w:marBottom w:val="0"/>
          <w:divBdr>
            <w:top w:val="none" w:sz="0" w:space="0" w:color="auto"/>
            <w:left w:val="none" w:sz="0" w:space="0" w:color="auto"/>
            <w:bottom w:val="none" w:sz="0" w:space="0" w:color="auto"/>
            <w:right w:val="none" w:sz="0" w:space="0" w:color="auto"/>
          </w:divBdr>
          <w:divsChild>
            <w:div w:id="1503936024">
              <w:marLeft w:val="0"/>
              <w:marRight w:val="0"/>
              <w:marTop w:val="0"/>
              <w:marBottom w:val="0"/>
              <w:divBdr>
                <w:top w:val="none" w:sz="0" w:space="0" w:color="auto"/>
                <w:left w:val="none" w:sz="0" w:space="0" w:color="auto"/>
                <w:bottom w:val="none" w:sz="0" w:space="0" w:color="auto"/>
                <w:right w:val="none" w:sz="0" w:space="0" w:color="auto"/>
              </w:divBdr>
            </w:div>
          </w:divsChild>
        </w:div>
        <w:div w:id="653223634">
          <w:marLeft w:val="0"/>
          <w:marRight w:val="0"/>
          <w:marTop w:val="0"/>
          <w:marBottom w:val="0"/>
          <w:divBdr>
            <w:top w:val="none" w:sz="0" w:space="0" w:color="auto"/>
            <w:left w:val="none" w:sz="0" w:space="0" w:color="auto"/>
            <w:bottom w:val="none" w:sz="0" w:space="0" w:color="auto"/>
            <w:right w:val="none" w:sz="0" w:space="0" w:color="auto"/>
          </w:divBdr>
          <w:divsChild>
            <w:div w:id="1081759257">
              <w:marLeft w:val="0"/>
              <w:marRight w:val="0"/>
              <w:marTop w:val="0"/>
              <w:marBottom w:val="0"/>
              <w:divBdr>
                <w:top w:val="none" w:sz="0" w:space="0" w:color="auto"/>
                <w:left w:val="none" w:sz="0" w:space="0" w:color="auto"/>
                <w:bottom w:val="none" w:sz="0" w:space="0" w:color="auto"/>
                <w:right w:val="none" w:sz="0" w:space="0" w:color="auto"/>
              </w:divBdr>
            </w:div>
          </w:divsChild>
        </w:div>
        <w:div w:id="660352826">
          <w:marLeft w:val="0"/>
          <w:marRight w:val="0"/>
          <w:marTop w:val="0"/>
          <w:marBottom w:val="0"/>
          <w:divBdr>
            <w:top w:val="none" w:sz="0" w:space="0" w:color="auto"/>
            <w:left w:val="none" w:sz="0" w:space="0" w:color="auto"/>
            <w:bottom w:val="none" w:sz="0" w:space="0" w:color="auto"/>
            <w:right w:val="none" w:sz="0" w:space="0" w:color="auto"/>
          </w:divBdr>
          <w:divsChild>
            <w:div w:id="1184713274">
              <w:marLeft w:val="0"/>
              <w:marRight w:val="0"/>
              <w:marTop w:val="0"/>
              <w:marBottom w:val="0"/>
              <w:divBdr>
                <w:top w:val="none" w:sz="0" w:space="0" w:color="auto"/>
                <w:left w:val="none" w:sz="0" w:space="0" w:color="auto"/>
                <w:bottom w:val="none" w:sz="0" w:space="0" w:color="auto"/>
                <w:right w:val="none" w:sz="0" w:space="0" w:color="auto"/>
              </w:divBdr>
            </w:div>
          </w:divsChild>
        </w:div>
        <w:div w:id="662662732">
          <w:marLeft w:val="0"/>
          <w:marRight w:val="0"/>
          <w:marTop w:val="0"/>
          <w:marBottom w:val="0"/>
          <w:divBdr>
            <w:top w:val="none" w:sz="0" w:space="0" w:color="auto"/>
            <w:left w:val="none" w:sz="0" w:space="0" w:color="auto"/>
            <w:bottom w:val="none" w:sz="0" w:space="0" w:color="auto"/>
            <w:right w:val="none" w:sz="0" w:space="0" w:color="auto"/>
          </w:divBdr>
          <w:divsChild>
            <w:div w:id="621889712">
              <w:marLeft w:val="0"/>
              <w:marRight w:val="0"/>
              <w:marTop w:val="0"/>
              <w:marBottom w:val="0"/>
              <w:divBdr>
                <w:top w:val="none" w:sz="0" w:space="0" w:color="auto"/>
                <w:left w:val="none" w:sz="0" w:space="0" w:color="auto"/>
                <w:bottom w:val="none" w:sz="0" w:space="0" w:color="auto"/>
                <w:right w:val="none" w:sz="0" w:space="0" w:color="auto"/>
              </w:divBdr>
            </w:div>
          </w:divsChild>
        </w:div>
        <w:div w:id="670721872">
          <w:marLeft w:val="0"/>
          <w:marRight w:val="0"/>
          <w:marTop w:val="0"/>
          <w:marBottom w:val="0"/>
          <w:divBdr>
            <w:top w:val="none" w:sz="0" w:space="0" w:color="auto"/>
            <w:left w:val="none" w:sz="0" w:space="0" w:color="auto"/>
            <w:bottom w:val="none" w:sz="0" w:space="0" w:color="auto"/>
            <w:right w:val="none" w:sz="0" w:space="0" w:color="auto"/>
          </w:divBdr>
          <w:divsChild>
            <w:div w:id="1690712616">
              <w:marLeft w:val="0"/>
              <w:marRight w:val="0"/>
              <w:marTop w:val="0"/>
              <w:marBottom w:val="0"/>
              <w:divBdr>
                <w:top w:val="none" w:sz="0" w:space="0" w:color="auto"/>
                <w:left w:val="none" w:sz="0" w:space="0" w:color="auto"/>
                <w:bottom w:val="none" w:sz="0" w:space="0" w:color="auto"/>
                <w:right w:val="none" w:sz="0" w:space="0" w:color="auto"/>
              </w:divBdr>
            </w:div>
          </w:divsChild>
        </w:div>
        <w:div w:id="677537267">
          <w:marLeft w:val="0"/>
          <w:marRight w:val="0"/>
          <w:marTop w:val="0"/>
          <w:marBottom w:val="0"/>
          <w:divBdr>
            <w:top w:val="none" w:sz="0" w:space="0" w:color="auto"/>
            <w:left w:val="none" w:sz="0" w:space="0" w:color="auto"/>
            <w:bottom w:val="none" w:sz="0" w:space="0" w:color="auto"/>
            <w:right w:val="none" w:sz="0" w:space="0" w:color="auto"/>
          </w:divBdr>
          <w:divsChild>
            <w:div w:id="2019190382">
              <w:marLeft w:val="0"/>
              <w:marRight w:val="0"/>
              <w:marTop w:val="0"/>
              <w:marBottom w:val="0"/>
              <w:divBdr>
                <w:top w:val="none" w:sz="0" w:space="0" w:color="auto"/>
                <w:left w:val="none" w:sz="0" w:space="0" w:color="auto"/>
                <w:bottom w:val="none" w:sz="0" w:space="0" w:color="auto"/>
                <w:right w:val="none" w:sz="0" w:space="0" w:color="auto"/>
              </w:divBdr>
            </w:div>
          </w:divsChild>
        </w:div>
        <w:div w:id="681860515">
          <w:marLeft w:val="0"/>
          <w:marRight w:val="0"/>
          <w:marTop w:val="0"/>
          <w:marBottom w:val="0"/>
          <w:divBdr>
            <w:top w:val="none" w:sz="0" w:space="0" w:color="auto"/>
            <w:left w:val="none" w:sz="0" w:space="0" w:color="auto"/>
            <w:bottom w:val="none" w:sz="0" w:space="0" w:color="auto"/>
            <w:right w:val="none" w:sz="0" w:space="0" w:color="auto"/>
          </w:divBdr>
          <w:divsChild>
            <w:div w:id="1985811708">
              <w:marLeft w:val="0"/>
              <w:marRight w:val="0"/>
              <w:marTop w:val="0"/>
              <w:marBottom w:val="0"/>
              <w:divBdr>
                <w:top w:val="none" w:sz="0" w:space="0" w:color="auto"/>
                <w:left w:val="none" w:sz="0" w:space="0" w:color="auto"/>
                <w:bottom w:val="none" w:sz="0" w:space="0" w:color="auto"/>
                <w:right w:val="none" w:sz="0" w:space="0" w:color="auto"/>
              </w:divBdr>
            </w:div>
          </w:divsChild>
        </w:div>
        <w:div w:id="708185994">
          <w:marLeft w:val="0"/>
          <w:marRight w:val="0"/>
          <w:marTop w:val="0"/>
          <w:marBottom w:val="0"/>
          <w:divBdr>
            <w:top w:val="none" w:sz="0" w:space="0" w:color="auto"/>
            <w:left w:val="none" w:sz="0" w:space="0" w:color="auto"/>
            <w:bottom w:val="none" w:sz="0" w:space="0" w:color="auto"/>
            <w:right w:val="none" w:sz="0" w:space="0" w:color="auto"/>
          </w:divBdr>
          <w:divsChild>
            <w:div w:id="76249418">
              <w:marLeft w:val="0"/>
              <w:marRight w:val="0"/>
              <w:marTop w:val="0"/>
              <w:marBottom w:val="0"/>
              <w:divBdr>
                <w:top w:val="none" w:sz="0" w:space="0" w:color="auto"/>
                <w:left w:val="none" w:sz="0" w:space="0" w:color="auto"/>
                <w:bottom w:val="none" w:sz="0" w:space="0" w:color="auto"/>
                <w:right w:val="none" w:sz="0" w:space="0" w:color="auto"/>
              </w:divBdr>
            </w:div>
          </w:divsChild>
        </w:div>
        <w:div w:id="717750917">
          <w:marLeft w:val="0"/>
          <w:marRight w:val="0"/>
          <w:marTop w:val="0"/>
          <w:marBottom w:val="0"/>
          <w:divBdr>
            <w:top w:val="none" w:sz="0" w:space="0" w:color="auto"/>
            <w:left w:val="none" w:sz="0" w:space="0" w:color="auto"/>
            <w:bottom w:val="none" w:sz="0" w:space="0" w:color="auto"/>
            <w:right w:val="none" w:sz="0" w:space="0" w:color="auto"/>
          </w:divBdr>
          <w:divsChild>
            <w:div w:id="1134828994">
              <w:marLeft w:val="0"/>
              <w:marRight w:val="0"/>
              <w:marTop w:val="0"/>
              <w:marBottom w:val="0"/>
              <w:divBdr>
                <w:top w:val="none" w:sz="0" w:space="0" w:color="auto"/>
                <w:left w:val="none" w:sz="0" w:space="0" w:color="auto"/>
                <w:bottom w:val="none" w:sz="0" w:space="0" w:color="auto"/>
                <w:right w:val="none" w:sz="0" w:space="0" w:color="auto"/>
              </w:divBdr>
            </w:div>
          </w:divsChild>
        </w:div>
        <w:div w:id="734277413">
          <w:marLeft w:val="0"/>
          <w:marRight w:val="0"/>
          <w:marTop w:val="0"/>
          <w:marBottom w:val="0"/>
          <w:divBdr>
            <w:top w:val="none" w:sz="0" w:space="0" w:color="auto"/>
            <w:left w:val="none" w:sz="0" w:space="0" w:color="auto"/>
            <w:bottom w:val="none" w:sz="0" w:space="0" w:color="auto"/>
            <w:right w:val="none" w:sz="0" w:space="0" w:color="auto"/>
          </w:divBdr>
          <w:divsChild>
            <w:div w:id="128059434">
              <w:marLeft w:val="0"/>
              <w:marRight w:val="0"/>
              <w:marTop w:val="0"/>
              <w:marBottom w:val="0"/>
              <w:divBdr>
                <w:top w:val="none" w:sz="0" w:space="0" w:color="auto"/>
                <w:left w:val="none" w:sz="0" w:space="0" w:color="auto"/>
                <w:bottom w:val="none" w:sz="0" w:space="0" w:color="auto"/>
                <w:right w:val="none" w:sz="0" w:space="0" w:color="auto"/>
              </w:divBdr>
            </w:div>
          </w:divsChild>
        </w:div>
        <w:div w:id="738941512">
          <w:marLeft w:val="0"/>
          <w:marRight w:val="0"/>
          <w:marTop w:val="0"/>
          <w:marBottom w:val="0"/>
          <w:divBdr>
            <w:top w:val="none" w:sz="0" w:space="0" w:color="auto"/>
            <w:left w:val="none" w:sz="0" w:space="0" w:color="auto"/>
            <w:bottom w:val="none" w:sz="0" w:space="0" w:color="auto"/>
            <w:right w:val="none" w:sz="0" w:space="0" w:color="auto"/>
          </w:divBdr>
          <w:divsChild>
            <w:div w:id="1156412258">
              <w:marLeft w:val="0"/>
              <w:marRight w:val="0"/>
              <w:marTop w:val="0"/>
              <w:marBottom w:val="0"/>
              <w:divBdr>
                <w:top w:val="none" w:sz="0" w:space="0" w:color="auto"/>
                <w:left w:val="none" w:sz="0" w:space="0" w:color="auto"/>
                <w:bottom w:val="none" w:sz="0" w:space="0" w:color="auto"/>
                <w:right w:val="none" w:sz="0" w:space="0" w:color="auto"/>
              </w:divBdr>
            </w:div>
          </w:divsChild>
        </w:div>
        <w:div w:id="741680759">
          <w:marLeft w:val="0"/>
          <w:marRight w:val="0"/>
          <w:marTop w:val="0"/>
          <w:marBottom w:val="0"/>
          <w:divBdr>
            <w:top w:val="none" w:sz="0" w:space="0" w:color="auto"/>
            <w:left w:val="none" w:sz="0" w:space="0" w:color="auto"/>
            <w:bottom w:val="none" w:sz="0" w:space="0" w:color="auto"/>
            <w:right w:val="none" w:sz="0" w:space="0" w:color="auto"/>
          </w:divBdr>
          <w:divsChild>
            <w:div w:id="278726711">
              <w:marLeft w:val="0"/>
              <w:marRight w:val="0"/>
              <w:marTop w:val="0"/>
              <w:marBottom w:val="0"/>
              <w:divBdr>
                <w:top w:val="none" w:sz="0" w:space="0" w:color="auto"/>
                <w:left w:val="none" w:sz="0" w:space="0" w:color="auto"/>
                <w:bottom w:val="none" w:sz="0" w:space="0" w:color="auto"/>
                <w:right w:val="none" w:sz="0" w:space="0" w:color="auto"/>
              </w:divBdr>
            </w:div>
          </w:divsChild>
        </w:div>
        <w:div w:id="749498338">
          <w:marLeft w:val="0"/>
          <w:marRight w:val="0"/>
          <w:marTop w:val="0"/>
          <w:marBottom w:val="0"/>
          <w:divBdr>
            <w:top w:val="none" w:sz="0" w:space="0" w:color="auto"/>
            <w:left w:val="none" w:sz="0" w:space="0" w:color="auto"/>
            <w:bottom w:val="none" w:sz="0" w:space="0" w:color="auto"/>
            <w:right w:val="none" w:sz="0" w:space="0" w:color="auto"/>
          </w:divBdr>
          <w:divsChild>
            <w:div w:id="974722904">
              <w:marLeft w:val="0"/>
              <w:marRight w:val="0"/>
              <w:marTop w:val="0"/>
              <w:marBottom w:val="0"/>
              <w:divBdr>
                <w:top w:val="none" w:sz="0" w:space="0" w:color="auto"/>
                <w:left w:val="none" w:sz="0" w:space="0" w:color="auto"/>
                <w:bottom w:val="none" w:sz="0" w:space="0" w:color="auto"/>
                <w:right w:val="none" w:sz="0" w:space="0" w:color="auto"/>
              </w:divBdr>
            </w:div>
          </w:divsChild>
        </w:div>
        <w:div w:id="752432157">
          <w:marLeft w:val="0"/>
          <w:marRight w:val="0"/>
          <w:marTop w:val="0"/>
          <w:marBottom w:val="0"/>
          <w:divBdr>
            <w:top w:val="none" w:sz="0" w:space="0" w:color="auto"/>
            <w:left w:val="none" w:sz="0" w:space="0" w:color="auto"/>
            <w:bottom w:val="none" w:sz="0" w:space="0" w:color="auto"/>
            <w:right w:val="none" w:sz="0" w:space="0" w:color="auto"/>
          </w:divBdr>
          <w:divsChild>
            <w:div w:id="905458486">
              <w:marLeft w:val="0"/>
              <w:marRight w:val="0"/>
              <w:marTop w:val="0"/>
              <w:marBottom w:val="0"/>
              <w:divBdr>
                <w:top w:val="none" w:sz="0" w:space="0" w:color="auto"/>
                <w:left w:val="none" w:sz="0" w:space="0" w:color="auto"/>
                <w:bottom w:val="none" w:sz="0" w:space="0" w:color="auto"/>
                <w:right w:val="none" w:sz="0" w:space="0" w:color="auto"/>
              </w:divBdr>
            </w:div>
          </w:divsChild>
        </w:div>
        <w:div w:id="758067250">
          <w:marLeft w:val="0"/>
          <w:marRight w:val="0"/>
          <w:marTop w:val="0"/>
          <w:marBottom w:val="0"/>
          <w:divBdr>
            <w:top w:val="none" w:sz="0" w:space="0" w:color="auto"/>
            <w:left w:val="none" w:sz="0" w:space="0" w:color="auto"/>
            <w:bottom w:val="none" w:sz="0" w:space="0" w:color="auto"/>
            <w:right w:val="none" w:sz="0" w:space="0" w:color="auto"/>
          </w:divBdr>
          <w:divsChild>
            <w:div w:id="163866395">
              <w:marLeft w:val="0"/>
              <w:marRight w:val="0"/>
              <w:marTop w:val="0"/>
              <w:marBottom w:val="0"/>
              <w:divBdr>
                <w:top w:val="none" w:sz="0" w:space="0" w:color="auto"/>
                <w:left w:val="none" w:sz="0" w:space="0" w:color="auto"/>
                <w:bottom w:val="none" w:sz="0" w:space="0" w:color="auto"/>
                <w:right w:val="none" w:sz="0" w:space="0" w:color="auto"/>
              </w:divBdr>
            </w:div>
          </w:divsChild>
        </w:div>
        <w:div w:id="779305093">
          <w:marLeft w:val="0"/>
          <w:marRight w:val="0"/>
          <w:marTop w:val="0"/>
          <w:marBottom w:val="0"/>
          <w:divBdr>
            <w:top w:val="none" w:sz="0" w:space="0" w:color="auto"/>
            <w:left w:val="none" w:sz="0" w:space="0" w:color="auto"/>
            <w:bottom w:val="none" w:sz="0" w:space="0" w:color="auto"/>
            <w:right w:val="none" w:sz="0" w:space="0" w:color="auto"/>
          </w:divBdr>
          <w:divsChild>
            <w:div w:id="934633143">
              <w:marLeft w:val="0"/>
              <w:marRight w:val="0"/>
              <w:marTop w:val="0"/>
              <w:marBottom w:val="0"/>
              <w:divBdr>
                <w:top w:val="none" w:sz="0" w:space="0" w:color="auto"/>
                <w:left w:val="none" w:sz="0" w:space="0" w:color="auto"/>
                <w:bottom w:val="none" w:sz="0" w:space="0" w:color="auto"/>
                <w:right w:val="none" w:sz="0" w:space="0" w:color="auto"/>
              </w:divBdr>
            </w:div>
          </w:divsChild>
        </w:div>
        <w:div w:id="786854922">
          <w:marLeft w:val="0"/>
          <w:marRight w:val="0"/>
          <w:marTop w:val="0"/>
          <w:marBottom w:val="0"/>
          <w:divBdr>
            <w:top w:val="none" w:sz="0" w:space="0" w:color="auto"/>
            <w:left w:val="none" w:sz="0" w:space="0" w:color="auto"/>
            <w:bottom w:val="none" w:sz="0" w:space="0" w:color="auto"/>
            <w:right w:val="none" w:sz="0" w:space="0" w:color="auto"/>
          </w:divBdr>
          <w:divsChild>
            <w:div w:id="2062092233">
              <w:marLeft w:val="0"/>
              <w:marRight w:val="0"/>
              <w:marTop w:val="0"/>
              <w:marBottom w:val="0"/>
              <w:divBdr>
                <w:top w:val="none" w:sz="0" w:space="0" w:color="auto"/>
                <w:left w:val="none" w:sz="0" w:space="0" w:color="auto"/>
                <w:bottom w:val="none" w:sz="0" w:space="0" w:color="auto"/>
                <w:right w:val="none" w:sz="0" w:space="0" w:color="auto"/>
              </w:divBdr>
            </w:div>
          </w:divsChild>
        </w:div>
        <w:div w:id="788819438">
          <w:marLeft w:val="0"/>
          <w:marRight w:val="0"/>
          <w:marTop w:val="0"/>
          <w:marBottom w:val="0"/>
          <w:divBdr>
            <w:top w:val="none" w:sz="0" w:space="0" w:color="auto"/>
            <w:left w:val="none" w:sz="0" w:space="0" w:color="auto"/>
            <w:bottom w:val="none" w:sz="0" w:space="0" w:color="auto"/>
            <w:right w:val="none" w:sz="0" w:space="0" w:color="auto"/>
          </w:divBdr>
          <w:divsChild>
            <w:div w:id="2088111366">
              <w:marLeft w:val="0"/>
              <w:marRight w:val="0"/>
              <w:marTop w:val="0"/>
              <w:marBottom w:val="0"/>
              <w:divBdr>
                <w:top w:val="none" w:sz="0" w:space="0" w:color="auto"/>
                <w:left w:val="none" w:sz="0" w:space="0" w:color="auto"/>
                <w:bottom w:val="none" w:sz="0" w:space="0" w:color="auto"/>
                <w:right w:val="none" w:sz="0" w:space="0" w:color="auto"/>
              </w:divBdr>
            </w:div>
          </w:divsChild>
        </w:div>
        <w:div w:id="789594294">
          <w:marLeft w:val="0"/>
          <w:marRight w:val="0"/>
          <w:marTop w:val="0"/>
          <w:marBottom w:val="0"/>
          <w:divBdr>
            <w:top w:val="none" w:sz="0" w:space="0" w:color="auto"/>
            <w:left w:val="none" w:sz="0" w:space="0" w:color="auto"/>
            <w:bottom w:val="none" w:sz="0" w:space="0" w:color="auto"/>
            <w:right w:val="none" w:sz="0" w:space="0" w:color="auto"/>
          </w:divBdr>
          <w:divsChild>
            <w:div w:id="31345694">
              <w:marLeft w:val="0"/>
              <w:marRight w:val="0"/>
              <w:marTop w:val="0"/>
              <w:marBottom w:val="0"/>
              <w:divBdr>
                <w:top w:val="none" w:sz="0" w:space="0" w:color="auto"/>
                <w:left w:val="none" w:sz="0" w:space="0" w:color="auto"/>
                <w:bottom w:val="none" w:sz="0" w:space="0" w:color="auto"/>
                <w:right w:val="none" w:sz="0" w:space="0" w:color="auto"/>
              </w:divBdr>
            </w:div>
          </w:divsChild>
        </w:div>
        <w:div w:id="803502683">
          <w:marLeft w:val="0"/>
          <w:marRight w:val="0"/>
          <w:marTop w:val="0"/>
          <w:marBottom w:val="0"/>
          <w:divBdr>
            <w:top w:val="none" w:sz="0" w:space="0" w:color="auto"/>
            <w:left w:val="none" w:sz="0" w:space="0" w:color="auto"/>
            <w:bottom w:val="none" w:sz="0" w:space="0" w:color="auto"/>
            <w:right w:val="none" w:sz="0" w:space="0" w:color="auto"/>
          </w:divBdr>
          <w:divsChild>
            <w:div w:id="451175125">
              <w:marLeft w:val="0"/>
              <w:marRight w:val="0"/>
              <w:marTop w:val="0"/>
              <w:marBottom w:val="0"/>
              <w:divBdr>
                <w:top w:val="none" w:sz="0" w:space="0" w:color="auto"/>
                <w:left w:val="none" w:sz="0" w:space="0" w:color="auto"/>
                <w:bottom w:val="none" w:sz="0" w:space="0" w:color="auto"/>
                <w:right w:val="none" w:sz="0" w:space="0" w:color="auto"/>
              </w:divBdr>
            </w:div>
          </w:divsChild>
        </w:div>
        <w:div w:id="806360643">
          <w:marLeft w:val="0"/>
          <w:marRight w:val="0"/>
          <w:marTop w:val="0"/>
          <w:marBottom w:val="0"/>
          <w:divBdr>
            <w:top w:val="none" w:sz="0" w:space="0" w:color="auto"/>
            <w:left w:val="none" w:sz="0" w:space="0" w:color="auto"/>
            <w:bottom w:val="none" w:sz="0" w:space="0" w:color="auto"/>
            <w:right w:val="none" w:sz="0" w:space="0" w:color="auto"/>
          </w:divBdr>
          <w:divsChild>
            <w:div w:id="50660574">
              <w:marLeft w:val="0"/>
              <w:marRight w:val="0"/>
              <w:marTop w:val="0"/>
              <w:marBottom w:val="0"/>
              <w:divBdr>
                <w:top w:val="none" w:sz="0" w:space="0" w:color="auto"/>
                <w:left w:val="none" w:sz="0" w:space="0" w:color="auto"/>
                <w:bottom w:val="none" w:sz="0" w:space="0" w:color="auto"/>
                <w:right w:val="none" w:sz="0" w:space="0" w:color="auto"/>
              </w:divBdr>
            </w:div>
          </w:divsChild>
        </w:div>
        <w:div w:id="821431931">
          <w:marLeft w:val="0"/>
          <w:marRight w:val="0"/>
          <w:marTop w:val="0"/>
          <w:marBottom w:val="0"/>
          <w:divBdr>
            <w:top w:val="none" w:sz="0" w:space="0" w:color="auto"/>
            <w:left w:val="none" w:sz="0" w:space="0" w:color="auto"/>
            <w:bottom w:val="none" w:sz="0" w:space="0" w:color="auto"/>
            <w:right w:val="none" w:sz="0" w:space="0" w:color="auto"/>
          </w:divBdr>
          <w:divsChild>
            <w:div w:id="528571900">
              <w:marLeft w:val="0"/>
              <w:marRight w:val="0"/>
              <w:marTop w:val="0"/>
              <w:marBottom w:val="0"/>
              <w:divBdr>
                <w:top w:val="none" w:sz="0" w:space="0" w:color="auto"/>
                <w:left w:val="none" w:sz="0" w:space="0" w:color="auto"/>
                <w:bottom w:val="none" w:sz="0" w:space="0" w:color="auto"/>
                <w:right w:val="none" w:sz="0" w:space="0" w:color="auto"/>
              </w:divBdr>
            </w:div>
          </w:divsChild>
        </w:div>
        <w:div w:id="826170058">
          <w:marLeft w:val="0"/>
          <w:marRight w:val="0"/>
          <w:marTop w:val="0"/>
          <w:marBottom w:val="0"/>
          <w:divBdr>
            <w:top w:val="none" w:sz="0" w:space="0" w:color="auto"/>
            <w:left w:val="none" w:sz="0" w:space="0" w:color="auto"/>
            <w:bottom w:val="none" w:sz="0" w:space="0" w:color="auto"/>
            <w:right w:val="none" w:sz="0" w:space="0" w:color="auto"/>
          </w:divBdr>
          <w:divsChild>
            <w:div w:id="510098892">
              <w:marLeft w:val="0"/>
              <w:marRight w:val="0"/>
              <w:marTop w:val="0"/>
              <w:marBottom w:val="0"/>
              <w:divBdr>
                <w:top w:val="none" w:sz="0" w:space="0" w:color="auto"/>
                <w:left w:val="none" w:sz="0" w:space="0" w:color="auto"/>
                <w:bottom w:val="none" w:sz="0" w:space="0" w:color="auto"/>
                <w:right w:val="none" w:sz="0" w:space="0" w:color="auto"/>
              </w:divBdr>
            </w:div>
          </w:divsChild>
        </w:div>
        <w:div w:id="827020492">
          <w:marLeft w:val="0"/>
          <w:marRight w:val="0"/>
          <w:marTop w:val="0"/>
          <w:marBottom w:val="0"/>
          <w:divBdr>
            <w:top w:val="none" w:sz="0" w:space="0" w:color="auto"/>
            <w:left w:val="none" w:sz="0" w:space="0" w:color="auto"/>
            <w:bottom w:val="none" w:sz="0" w:space="0" w:color="auto"/>
            <w:right w:val="none" w:sz="0" w:space="0" w:color="auto"/>
          </w:divBdr>
          <w:divsChild>
            <w:div w:id="1708602133">
              <w:marLeft w:val="0"/>
              <w:marRight w:val="0"/>
              <w:marTop w:val="0"/>
              <w:marBottom w:val="0"/>
              <w:divBdr>
                <w:top w:val="none" w:sz="0" w:space="0" w:color="auto"/>
                <w:left w:val="none" w:sz="0" w:space="0" w:color="auto"/>
                <w:bottom w:val="none" w:sz="0" w:space="0" w:color="auto"/>
                <w:right w:val="none" w:sz="0" w:space="0" w:color="auto"/>
              </w:divBdr>
            </w:div>
          </w:divsChild>
        </w:div>
        <w:div w:id="829563579">
          <w:marLeft w:val="0"/>
          <w:marRight w:val="0"/>
          <w:marTop w:val="0"/>
          <w:marBottom w:val="0"/>
          <w:divBdr>
            <w:top w:val="none" w:sz="0" w:space="0" w:color="auto"/>
            <w:left w:val="none" w:sz="0" w:space="0" w:color="auto"/>
            <w:bottom w:val="none" w:sz="0" w:space="0" w:color="auto"/>
            <w:right w:val="none" w:sz="0" w:space="0" w:color="auto"/>
          </w:divBdr>
          <w:divsChild>
            <w:div w:id="1560507618">
              <w:marLeft w:val="0"/>
              <w:marRight w:val="0"/>
              <w:marTop w:val="0"/>
              <w:marBottom w:val="0"/>
              <w:divBdr>
                <w:top w:val="none" w:sz="0" w:space="0" w:color="auto"/>
                <w:left w:val="none" w:sz="0" w:space="0" w:color="auto"/>
                <w:bottom w:val="none" w:sz="0" w:space="0" w:color="auto"/>
                <w:right w:val="none" w:sz="0" w:space="0" w:color="auto"/>
              </w:divBdr>
            </w:div>
          </w:divsChild>
        </w:div>
        <w:div w:id="831945945">
          <w:marLeft w:val="0"/>
          <w:marRight w:val="0"/>
          <w:marTop w:val="0"/>
          <w:marBottom w:val="0"/>
          <w:divBdr>
            <w:top w:val="none" w:sz="0" w:space="0" w:color="auto"/>
            <w:left w:val="none" w:sz="0" w:space="0" w:color="auto"/>
            <w:bottom w:val="none" w:sz="0" w:space="0" w:color="auto"/>
            <w:right w:val="none" w:sz="0" w:space="0" w:color="auto"/>
          </w:divBdr>
          <w:divsChild>
            <w:div w:id="1916740845">
              <w:marLeft w:val="0"/>
              <w:marRight w:val="0"/>
              <w:marTop w:val="0"/>
              <w:marBottom w:val="0"/>
              <w:divBdr>
                <w:top w:val="none" w:sz="0" w:space="0" w:color="auto"/>
                <w:left w:val="none" w:sz="0" w:space="0" w:color="auto"/>
                <w:bottom w:val="none" w:sz="0" w:space="0" w:color="auto"/>
                <w:right w:val="none" w:sz="0" w:space="0" w:color="auto"/>
              </w:divBdr>
            </w:div>
          </w:divsChild>
        </w:div>
        <w:div w:id="835731051">
          <w:marLeft w:val="0"/>
          <w:marRight w:val="0"/>
          <w:marTop w:val="0"/>
          <w:marBottom w:val="0"/>
          <w:divBdr>
            <w:top w:val="none" w:sz="0" w:space="0" w:color="auto"/>
            <w:left w:val="none" w:sz="0" w:space="0" w:color="auto"/>
            <w:bottom w:val="none" w:sz="0" w:space="0" w:color="auto"/>
            <w:right w:val="none" w:sz="0" w:space="0" w:color="auto"/>
          </w:divBdr>
          <w:divsChild>
            <w:div w:id="1373311519">
              <w:marLeft w:val="0"/>
              <w:marRight w:val="0"/>
              <w:marTop w:val="0"/>
              <w:marBottom w:val="0"/>
              <w:divBdr>
                <w:top w:val="none" w:sz="0" w:space="0" w:color="auto"/>
                <w:left w:val="none" w:sz="0" w:space="0" w:color="auto"/>
                <w:bottom w:val="none" w:sz="0" w:space="0" w:color="auto"/>
                <w:right w:val="none" w:sz="0" w:space="0" w:color="auto"/>
              </w:divBdr>
            </w:div>
          </w:divsChild>
        </w:div>
        <w:div w:id="838932444">
          <w:marLeft w:val="0"/>
          <w:marRight w:val="0"/>
          <w:marTop w:val="0"/>
          <w:marBottom w:val="0"/>
          <w:divBdr>
            <w:top w:val="none" w:sz="0" w:space="0" w:color="auto"/>
            <w:left w:val="none" w:sz="0" w:space="0" w:color="auto"/>
            <w:bottom w:val="none" w:sz="0" w:space="0" w:color="auto"/>
            <w:right w:val="none" w:sz="0" w:space="0" w:color="auto"/>
          </w:divBdr>
          <w:divsChild>
            <w:div w:id="1461024497">
              <w:marLeft w:val="0"/>
              <w:marRight w:val="0"/>
              <w:marTop w:val="0"/>
              <w:marBottom w:val="0"/>
              <w:divBdr>
                <w:top w:val="none" w:sz="0" w:space="0" w:color="auto"/>
                <w:left w:val="none" w:sz="0" w:space="0" w:color="auto"/>
                <w:bottom w:val="none" w:sz="0" w:space="0" w:color="auto"/>
                <w:right w:val="none" w:sz="0" w:space="0" w:color="auto"/>
              </w:divBdr>
            </w:div>
          </w:divsChild>
        </w:div>
        <w:div w:id="840893692">
          <w:marLeft w:val="0"/>
          <w:marRight w:val="0"/>
          <w:marTop w:val="0"/>
          <w:marBottom w:val="0"/>
          <w:divBdr>
            <w:top w:val="none" w:sz="0" w:space="0" w:color="auto"/>
            <w:left w:val="none" w:sz="0" w:space="0" w:color="auto"/>
            <w:bottom w:val="none" w:sz="0" w:space="0" w:color="auto"/>
            <w:right w:val="none" w:sz="0" w:space="0" w:color="auto"/>
          </w:divBdr>
          <w:divsChild>
            <w:div w:id="266273530">
              <w:marLeft w:val="0"/>
              <w:marRight w:val="0"/>
              <w:marTop w:val="0"/>
              <w:marBottom w:val="0"/>
              <w:divBdr>
                <w:top w:val="none" w:sz="0" w:space="0" w:color="auto"/>
                <w:left w:val="none" w:sz="0" w:space="0" w:color="auto"/>
                <w:bottom w:val="none" w:sz="0" w:space="0" w:color="auto"/>
                <w:right w:val="none" w:sz="0" w:space="0" w:color="auto"/>
              </w:divBdr>
            </w:div>
          </w:divsChild>
        </w:div>
        <w:div w:id="844170185">
          <w:marLeft w:val="0"/>
          <w:marRight w:val="0"/>
          <w:marTop w:val="0"/>
          <w:marBottom w:val="0"/>
          <w:divBdr>
            <w:top w:val="none" w:sz="0" w:space="0" w:color="auto"/>
            <w:left w:val="none" w:sz="0" w:space="0" w:color="auto"/>
            <w:bottom w:val="none" w:sz="0" w:space="0" w:color="auto"/>
            <w:right w:val="none" w:sz="0" w:space="0" w:color="auto"/>
          </w:divBdr>
          <w:divsChild>
            <w:div w:id="549879328">
              <w:marLeft w:val="0"/>
              <w:marRight w:val="0"/>
              <w:marTop w:val="0"/>
              <w:marBottom w:val="0"/>
              <w:divBdr>
                <w:top w:val="none" w:sz="0" w:space="0" w:color="auto"/>
                <w:left w:val="none" w:sz="0" w:space="0" w:color="auto"/>
                <w:bottom w:val="none" w:sz="0" w:space="0" w:color="auto"/>
                <w:right w:val="none" w:sz="0" w:space="0" w:color="auto"/>
              </w:divBdr>
            </w:div>
          </w:divsChild>
        </w:div>
        <w:div w:id="857155858">
          <w:marLeft w:val="0"/>
          <w:marRight w:val="0"/>
          <w:marTop w:val="0"/>
          <w:marBottom w:val="0"/>
          <w:divBdr>
            <w:top w:val="none" w:sz="0" w:space="0" w:color="auto"/>
            <w:left w:val="none" w:sz="0" w:space="0" w:color="auto"/>
            <w:bottom w:val="none" w:sz="0" w:space="0" w:color="auto"/>
            <w:right w:val="none" w:sz="0" w:space="0" w:color="auto"/>
          </w:divBdr>
          <w:divsChild>
            <w:div w:id="680161903">
              <w:marLeft w:val="0"/>
              <w:marRight w:val="0"/>
              <w:marTop w:val="0"/>
              <w:marBottom w:val="0"/>
              <w:divBdr>
                <w:top w:val="none" w:sz="0" w:space="0" w:color="auto"/>
                <w:left w:val="none" w:sz="0" w:space="0" w:color="auto"/>
                <w:bottom w:val="none" w:sz="0" w:space="0" w:color="auto"/>
                <w:right w:val="none" w:sz="0" w:space="0" w:color="auto"/>
              </w:divBdr>
            </w:div>
          </w:divsChild>
        </w:div>
        <w:div w:id="888147063">
          <w:marLeft w:val="0"/>
          <w:marRight w:val="0"/>
          <w:marTop w:val="0"/>
          <w:marBottom w:val="0"/>
          <w:divBdr>
            <w:top w:val="none" w:sz="0" w:space="0" w:color="auto"/>
            <w:left w:val="none" w:sz="0" w:space="0" w:color="auto"/>
            <w:bottom w:val="none" w:sz="0" w:space="0" w:color="auto"/>
            <w:right w:val="none" w:sz="0" w:space="0" w:color="auto"/>
          </w:divBdr>
          <w:divsChild>
            <w:div w:id="1612668712">
              <w:marLeft w:val="0"/>
              <w:marRight w:val="0"/>
              <w:marTop w:val="0"/>
              <w:marBottom w:val="0"/>
              <w:divBdr>
                <w:top w:val="none" w:sz="0" w:space="0" w:color="auto"/>
                <w:left w:val="none" w:sz="0" w:space="0" w:color="auto"/>
                <w:bottom w:val="none" w:sz="0" w:space="0" w:color="auto"/>
                <w:right w:val="none" w:sz="0" w:space="0" w:color="auto"/>
              </w:divBdr>
            </w:div>
          </w:divsChild>
        </w:div>
        <w:div w:id="890312989">
          <w:marLeft w:val="0"/>
          <w:marRight w:val="0"/>
          <w:marTop w:val="0"/>
          <w:marBottom w:val="0"/>
          <w:divBdr>
            <w:top w:val="none" w:sz="0" w:space="0" w:color="auto"/>
            <w:left w:val="none" w:sz="0" w:space="0" w:color="auto"/>
            <w:bottom w:val="none" w:sz="0" w:space="0" w:color="auto"/>
            <w:right w:val="none" w:sz="0" w:space="0" w:color="auto"/>
          </w:divBdr>
          <w:divsChild>
            <w:div w:id="2071266959">
              <w:marLeft w:val="0"/>
              <w:marRight w:val="0"/>
              <w:marTop w:val="0"/>
              <w:marBottom w:val="0"/>
              <w:divBdr>
                <w:top w:val="none" w:sz="0" w:space="0" w:color="auto"/>
                <w:left w:val="none" w:sz="0" w:space="0" w:color="auto"/>
                <w:bottom w:val="none" w:sz="0" w:space="0" w:color="auto"/>
                <w:right w:val="none" w:sz="0" w:space="0" w:color="auto"/>
              </w:divBdr>
            </w:div>
          </w:divsChild>
        </w:div>
        <w:div w:id="893464132">
          <w:marLeft w:val="0"/>
          <w:marRight w:val="0"/>
          <w:marTop w:val="0"/>
          <w:marBottom w:val="0"/>
          <w:divBdr>
            <w:top w:val="none" w:sz="0" w:space="0" w:color="auto"/>
            <w:left w:val="none" w:sz="0" w:space="0" w:color="auto"/>
            <w:bottom w:val="none" w:sz="0" w:space="0" w:color="auto"/>
            <w:right w:val="none" w:sz="0" w:space="0" w:color="auto"/>
          </w:divBdr>
          <w:divsChild>
            <w:div w:id="428045278">
              <w:marLeft w:val="0"/>
              <w:marRight w:val="0"/>
              <w:marTop w:val="0"/>
              <w:marBottom w:val="0"/>
              <w:divBdr>
                <w:top w:val="none" w:sz="0" w:space="0" w:color="auto"/>
                <w:left w:val="none" w:sz="0" w:space="0" w:color="auto"/>
                <w:bottom w:val="none" w:sz="0" w:space="0" w:color="auto"/>
                <w:right w:val="none" w:sz="0" w:space="0" w:color="auto"/>
              </w:divBdr>
            </w:div>
          </w:divsChild>
        </w:div>
        <w:div w:id="899830359">
          <w:marLeft w:val="0"/>
          <w:marRight w:val="0"/>
          <w:marTop w:val="0"/>
          <w:marBottom w:val="0"/>
          <w:divBdr>
            <w:top w:val="none" w:sz="0" w:space="0" w:color="auto"/>
            <w:left w:val="none" w:sz="0" w:space="0" w:color="auto"/>
            <w:bottom w:val="none" w:sz="0" w:space="0" w:color="auto"/>
            <w:right w:val="none" w:sz="0" w:space="0" w:color="auto"/>
          </w:divBdr>
          <w:divsChild>
            <w:div w:id="2094158742">
              <w:marLeft w:val="0"/>
              <w:marRight w:val="0"/>
              <w:marTop w:val="0"/>
              <w:marBottom w:val="0"/>
              <w:divBdr>
                <w:top w:val="none" w:sz="0" w:space="0" w:color="auto"/>
                <w:left w:val="none" w:sz="0" w:space="0" w:color="auto"/>
                <w:bottom w:val="none" w:sz="0" w:space="0" w:color="auto"/>
                <w:right w:val="none" w:sz="0" w:space="0" w:color="auto"/>
              </w:divBdr>
            </w:div>
          </w:divsChild>
        </w:div>
        <w:div w:id="910582234">
          <w:marLeft w:val="0"/>
          <w:marRight w:val="0"/>
          <w:marTop w:val="0"/>
          <w:marBottom w:val="0"/>
          <w:divBdr>
            <w:top w:val="none" w:sz="0" w:space="0" w:color="auto"/>
            <w:left w:val="none" w:sz="0" w:space="0" w:color="auto"/>
            <w:bottom w:val="none" w:sz="0" w:space="0" w:color="auto"/>
            <w:right w:val="none" w:sz="0" w:space="0" w:color="auto"/>
          </w:divBdr>
          <w:divsChild>
            <w:div w:id="406651739">
              <w:marLeft w:val="0"/>
              <w:marRight w:val="0"/>
              <w:marTop w:val="0"/>
              <w:marBottom w:val="0"/>
              <w:divBdr>
                <w:top w:val="none" w:sz="0" w:space="0" w:color="auto"/>
                <w:left w:val="none" w:sz="0" w:space="0" w:color="auto"/>
                <w:bottom w:val="none" w:sz="0" w:space="0" w:color="auto"/>
                <w:right w:val="none" w:sz="0" w:space="0" w:color="auto"/>
              </w:divBdr>
            </w:div>
          </w:divsChild>
        </w:div>
        <w:div w:id="911082518">
          <w:marLeft w:val="0"/>
          <w:marRight w:val="0"/>
          <w:marTop w:val="0"/>
          <w:marBottom w:val="0"/>
          <w:divBdr>
            <w:top w:val="none" w:sz="0" w:space="0" w:color="auto"/>
            <w:left w:val="none" w:sz="0" w:space="0" w:color="auto"/>
            <w:bottom w:val="none" w:sz="0" w:space="0" w:color="auto"/>
            <w:right w:val="none" w:sz="0" w:space="0" w:color="auto"/>
          </w:divBdr>
          <w:divsChild>
            <w:div w:id="263997066">
              <w:marLeft w:val="0"/>
              <w:marRight w:val="0"/>
              <w:marTop w:val="0"/>
              <w:marBottom w:val="0"/>
              <w:divBdr>
                <w:top w:val="none" w:sz="0" w:space="0" w:color="auto"/>
                <w:left w:val="none" w:sz="0" w:space="0" w:color="auto"/>
                <w:bottom w:val="none" w:sz="0" w:space="0" w:color="auto"/>
                <w:right w:val="none" w:sz="0" w:space="0" w:color="auto"/>
              </w:divBdr>
            </w:div>
          </w:divsChild>
        </w:div>
        <w:div w:id="916667447">
          <w:marLeft w:val="0"/>
          <w:marRight w:val="0"/>
          <w:marTop w:val="0"/>
          <w:marBottom w:val="0"/>
          <w:divBdr>
            <w:top w:val="none" w:sz="0" w:space="0" w:color="auto"/>
            <w:left w:val="none" w:sz="0" w:space="0" w:color="auto"/>
            <w:bottom w:val="none" w:sz="0" w:space="0" w:color="auto"/>
            <w:right w:val="none" w:sz="0" w:space="0" w:color="auto"/>
          </w:divBdr>
          <w:divsChild>
            <w:div w:id="1610427473">
              <w:marLeft w:val="0"/>
              <w:marRight w:val="0"/>
              <w:marTop w:val="0"/>
              <w:marBottom w:val="0"/>
              <w:divBdr>
                <w:top w:val="none" w:sz="0" w:space="0" w:color="auto"/>
                <w:left w:val="none" w:sz="0" w:space="0" w:color="auto"/>
                <w:bottom w:val="none" w:sz="0" w:space="0" w:color="auto"/>
                <w:right w:val="none" w:sz="0" w:space="0" w:color="auto"/>
              </w:divBdr>
            </w:div>
          </w:divsChild>
        </w:div>
        <w:div w:id="940992585">
          <w:marLeft w:val="0"/>
          <w:marRight w:val="0"/>
          <w:marTop w:val="0"/>
          <w:marBottom w:val="0"/>
          <w:divBdr>
            <w:top w:val="none" w:sz="0" w:space="0" w:color="auto"/>
            <w:left w:val="none" w:sz="0" w:space="0" w:color="auto"/>
            <w:bottom w:val="none" w:sz="0" w:space="0" w:color="auto"/>
            <w:right w:val="none" w:sz="0" w:space="0" w:color="auto"/>
          </w:divBdr>
          <w:divsChild>
            <w:div w:id="1988052685">
              <w:marLeft w:val="0"/>
              <w:marRight w:val="0"/>
              <w:marTop w:val="0"/>
              <w:marBottom w:val="0"/>
              <w:divBdr>
                <w:top w:val="none" w:sz="0" w:space="0" w:color="auto"/>
                <w:left w:val="none" w:sz="0" w:space="0" w:color="auto"/>
                <w:bottom w:val="none" w:sz="0" w:space="0" w:color="auto"/>
                <w:right w:val="none" w:sz="0" w:space="0" w:color="auto"/>
              </w:divBdr>
            </w:div>
          </w:divsChild>
        </w:div>
        <w:div w:id="941256344">
          <w:marLeft w:val="0"/>
          <w:marRight w:val="0"/>
          <w:marTop w:val="0"/>
          <w:marBottom w:val="0"/>
          <w:divBdr>
            <w:top w:val="none" w:sz="0" w:space="0" w:color="auto"/>
            <w:left w:val="none" w:sz="0" w:space="0" w:color="auto"/>
            <w:bottom w:val="none" w:sz="0" w:space="0" w:color="auto"/>
            <w:right w:val="none" w:sz="0" w:space="0" w:color="auto"/>
          </w:divBdr>
          <w:divsChild>
            <w:div w:id="909849685">
              <w:marLeft w:val="0"/>
              <w:marRight w:val="0"/>
              <w:marTop w:val="0"/>
              <w:marBottom w:val="0"/>
              <w:divBdr>
                <w:top w:val="none" w:sz="0" w:space="0" w:color="auto"/>
                <w:left w:val="none" w:sz="0" w:space="0" w:color="auto"/>
                <w:bottom w:val="none" w:sz="0" w:space="0" w:color="auto"/>
                <w:right w:val="none" w:sz="0" w:space="0" w:color="auto"/>
              </w:divBdr>
            </w:div>
          </w:divsChild>
        </w:div>
        <w:div w:id="957297881">
          <w:marLeft w:val="0"/>
          <w:marRight w:val="0"/>
          <w:marTop w:val="0"/>
          <w:marBottom w:val="0"/>
          <w:divBdr>
            <w:top w:val="none" w:sz="0" w:space="0" w:color="auto"/>
            <w:left w:val="none" w:sz="0" w:space="0" w:color="auto"/>
            <w:bottom w:val="none" w:sz="0" w:space="0" w:color="auto"/>
            <w:right w:val="none" w:sz="0" w:space="0" w:color="auto"/>
          </w:divBdr>
          <w:divsChild>
            <w:div w:id="724909028">
              <w:marLeft w:val="0"/>
              <w:marRight w:val="0"/>
              <w:marTop w:val="0"/>
              <w:marBottom w:val="0"/>
              <w:divBdr>
                <w:top w:val="none" w:sz="0" w:space="0" w:color="auto"/>
                <w:left w:val="none" w:sz="0" w:space="0" w:color="auto"/>
                <w:bottom w:val="none" w:sz="0" w:space="0" w:color="auto"/>
                <w:right w:val="none" w:sz="0" w:space="0" w:color="auto"/>
              </w:divBdr>
            </w:div>
          </w:divsChild>
        </w:div>
        <w:div w:id="958488200">
          <w:marLeft w:val="0"/>
          <w:marRight w:val="0"/>
          <w:marTop w:val="0"/>
          <w:marBottom w:val="0"/>
          <w:divBdr>
            <w:top w:val="none" w:sz="0" w:space="0" w:color="auto"/>
            <w:left w:val="none" w:sz="0" w:space="0" w:color="auto"/>
            <w:bottom w:val="none" w:sz="0" w:space="0" w:color="auto"/>
            <w:right w:val="none" w:sz="0" w:space="0" w:color="auto"/>
          </w:divBdr>
          <w:divsChild>
            <w:div w:id="1962566661">
              <w:marLeft w:val="0"/>
              <w:marRight w:val="0"/>
              <w:marTop w:val="0"/>
              <w:marBottom w:val="0"/>
              <w:divBdr>
                <w:top w:val="none" w:sz="0" w:space="0" w:color="auto"/>
                <w:left w:val="none" w:sz="0" w:space="0" w:color="auto"/>
                <w:bottom w:val="none" w:sz="0" w:space="0" w:color="auto"/>
                <w:right w:val="none" w:sz="0" w:space="0" w:color="auto"/>
              </w:divBdr>
            </w:div>
          </w:divsChild>
        </w:div>
        <w:div w:id="973635273">
          <w:marLeft w:val="0"/>
          <w:marRight w:val="0"/>
          <w:marTop w:val="0"/>
          <w:marBottom w:val="0"/>
          <w:divBdr>
            <w:top w:val="none" w:sz="0" w:space="0" w:color="auto"/>
            <w:left w:val="none" w:sz="0" w:space="0" w:color="auto"/>
            <w:bottom w:val="none" w:sz="0" w:space="0" w:color="auto"/>
            <w:right w:val="none" w:sz="0" w:space="0" w:color="auto"/>
          </w:divBdr>
          <w:divsChild>
            <w:div w:id="1843280011">
              <w:marLeft w:val="0"/>
              <w:marRight w:val="0"/>
              <w:marTop w:val="0"/>
              <w:marBottom w:val="0"/>
              <w:divBdr>
                <w:top w:val="none" w:sz="0" w:space="0" w:color="auto"/>
                <w:left w:val="none" w:sz="0" w:space="0" w:color="auto"/>
                <w:bottom w:val="none" w:sz="0" w:space="0" w:color="auto"/>
                <w:right w:val="none" w:sz="0" w:space="0" w:color="auto"/>
              </w:divBdr>
            </w:div>
          </w:divsChild>
        </w:div>
        <w:div w:id="974681336">
          <w:marLeft w:val="0"/>
          <w:marRight w:val="0"/>
          <w:marTop w:val="0"/>
          <w:marBottom w:val="0"/>
          <w:divBdr>
            <w:top w:val="none" w:sz="0" w:space="0" w:color="auto"/>
            <w:left w:val="none" w:sz="0" w:space="0" w:color="auto"/>
            <w:bottom w:val="none" w:sz="0" w:space="0" w:color="auto"/>
            <w:right w:val="none" w:sz="0" w:space="0" w:color="auto"/>
          </w:divBdr>
          <w:divsChild>
            <w:div w:id="1704476905">
              <w:marLeft w:val="0"/>
              <w:marRight w:val="0"/>
              <w:marTop w:val="0"/>
              <w:marBottom w:val="0"/>
              <w:divBdr>
                <w:top w:val="none" w:sz="0" w:space="0" w:color="auto"/>
                <w:left w:val="none" w:sz="0" w:space="0" w:color="auto"/>
                <w:bottom w:val="none" w:sz="0" w:space="0" w:color="auto"/>
                <w:right w:val="none" w:sz="0" w:space="0" w:color="auto"/>
              </w:divBdr>
            </w:div>
          </w:divsChild>
        </w:div>
        <w:div w:id="977682702">
          <w:marLeft w:val="0"/>
          <w:marRight w:val="0"/>
          <w:marTop w:val="0"/>
          <w:marBottom w:val="0"/>
          <w:divBdr>
            <w:top w:val="none" w:sz="0" w:space="0" w:color="auto"/>
            <w:left w:val="none" w:sz="0" w:space="0" w:color="auto"/>
            <w:bottom w:val="none" w:sz="0" w:space="0" w:color="auto"/>
            <w:right w:val="none" w:sz="0" w:space="0" w:color="auto"/>
          </w:divBdr>
          <w:divsChild>
            <w:div w:id="1097751253">
              <w:marLeft w:val="0"/>
              <w:marRight w:val="0"/>
              <w:marTop w:val="0"/>
              <w:marBottom w:val="0"/>
              <w:divBdr>
                <w:top w:val="none" w:sz="0" w:space="0" w:color="auto"/>
                <w:left w:val="none" w:sz="0" w:space="0" w:color="auto"/>
                <w:bottom w:val="none" w:sz="0" w:space="0" w:color="auto"/>
                <w:right w:val="none" w:sz="0" w:space="0" w:color="auto"/>
              </w:divBdr>
            </w:div>
          </w:divsChild>
        </w:div>
        <w:div w:id="978147377">
          <w:marLeft w:val="0"/>
          <w:marRight w:val="0"/>
          <w:marTop w:val="0"/>
          <w:marBottom w:val="0"/>
          <w:divBdr>
            <w:top w:val="none" w:sz="0" w:space="0" w:color="auto"/>
            <w:left w:val="none" w:sz="0" w:space="0" w:color="auto"/>
            <w:bottom w:val="none" w:sz="0" w:space="0" w:color="auto"/>
            <w:right w:val="none" w:sz="0" w:space="0" w:color="auto"/>
          </w:divBdr>
          <w:divsChild>
            <w:div w:id="1959407357">
              <w:marLeft w:val="0"/>
              <w:marRight w:val="0"/>
              <w:marTop w:val="0"/>
              <w:marBottom w:val="0"/>
              <w:divBdr>
                <w:top w:val="none" w:sz="0" w:space="0" w:color="auto"/>
                <w:left w:val="none" w:sz="0" w:space="0" w:color="auto"/>
                <w:bottom w:val="none" w:sz="0" w:space="0" w:color="auto"/>
                <w:right w:val="none" w:sz="0" w:space="0" w:color="auto"/>
              </w:divBdr>
            </w:div>
          </w:divsChild>
        </w:div>
        <w:div w:id="985814207">
          <w:marLeft w:val="0"/>
          <w:marRight w:val="0"/>
          <w:marTop w:val="0"/>
          <w:marBottom w:val="0"/>
          <w:divBdr>
            <w:top w:val="none" w:sz="0" w:space="0" w:color="auto"/>
            <w:left w:val="none" w:sz="0" w:space="0" w:color="auto"/>
            <w:bottom w:val="none" w:sz="0" w:space="0" w:color="auto"/>
            <w:right w:val="none" w:sz="0" w:space="0" w:color="auto"/>
          </w:divBdr>
          <w:divsChild>
            <w:div w:id="516507197">
              <w:marLeft w:val="0"/>
              <w:marRight w:val="0"/>
              <w:marTop w:val="0"/>
              <w:marBottom w:val="0"/>
              <w:divBdr>
                <w:top w:val="none" w:sz="0" w:space="0" w:color="auto"/>
                <w:left w:val="none" w:sz="0" w:space="0" w:color="auto"/>
                <w:bottom w:val="none" w:sz="0" w:space="0" w:color="auto"/>
                <w:right w:val="none" w:sz="0" w:space="0" w:color="auto"/>
              </w:divBdr>
            </w:div>
          </w:divsChild>
        </w:div>
        <w:div w:id="992951786">
          <w:marLeft w:val="0"/>
          <w:marRight w:val="0"/>
          <w:marTop w:val="0"/>
          <w:marBottom w:val="0"/>
          <w:divBdr>
            <w:top w:val="none" w:sz="0" w:space="0" w:color="auto"/>
            <w:left w:val="none" w:sz="0" w:space="0" w:color="auto"/>
            <w:bottom w:val="none" w:sz="0" w:space="0" w:color="auto"/>
            <w:right w:val="none" w:sz="0" w:space="0" w:color="auto"/>
          </w:divBdr>
          <w:divsChild>
            <w:div w:id="514808663">
              <w:marLeft w:val="0"/>
              <w:marRight w:val="0"/>
              <w:marTop w:val="0"/>
              <w:marBottom w:val="0"/>
              <w:divBdr>
                <w:top w:val="none" w:sz="0" w:space="0" w:color="auto"/>
                <w:left w:val="none" w:sz="0" w:space="0" w:color="auto"/>
                <w:bottom w:val="none" w:sz="0" w:space="0" w:color="auto"/>
                <w:right w:val="none" w:sz="0" w:space="0" w:color="auto"/>
              </w:divBdr>
            </w:div>
          </w:divsChild>
        </w:div>
        <w:div w:id="997658413">
          <w:marLeft w:val="0"/>
          <w:marRight w:val="0"/>
          <w:marTop w:val="0"/>
          <w:marBottom w:val="0"/>
          <w:divBdr>
            <w:top w:val="none" w:sz="0" w:space="0" w:color="auto"/>
            <w:left w:val="none" w:sz="0" w:space="0" w:color="auto"/>
            <w:bottom w:val="none" w:sz="0" w:space="0" w:color="auto"/>
            <w:right w:val="none" w:sz="0" w:space="0" w:color="auto"/>
          </w:divBdr>
          <w:divsChild>
            <w:div w:id="63842655">
              <w:marLeft w:val="0"/>
              <w:marRight w:val="0"/>
              <w:marTop w:val="0"/>
              <w:marBottom w:val="0"/>
              <w:divBdr>
                <w:top w:val="none" w:sz="0" w:space="0" w:color="auto"/>
                <w:left w:val="none" w:sz="0" w:space="0" w:color="auto"/>
                <w:bottom w:val="none" w:sz="0" w:space="0" w:color="auto"/>
                <w:right w:val="none" w:sz="0" w:space="0" w:color="auto"/>
              </w:divBdr>
            </w:div>
          </w:divsChild>
        </w:div>
        <w:div w:id="1003315907">
          <w:marLeft w:val="0"/>
          <w:marRight w:val="0"/>
          <w:marTop w:val="0"/>
          <w:marBottom w:val="0"/>
          <w:divBdr>
            <w:top w:val="none" w:sz="0" w:space="0" w:color="auto"/>
            <w:left w:val="none" w:sz="0" w:space="0" w:color="auto"/>
            <w:bottom w:val="none" w:sz="0" w:space="0" w:color="auto"/>
            <w:right w:val="none" w:sz="0" w:space="0" w:color="auto"/>
          </w:divBdr>
          <w:divsChild>
            <w:div w:id="697656525">
              <w:marLeft w:val="0"/>
              <w:marRight w:val="0"/>
              <w:marTop w:val="0"/>
              <w:marBottom w:val="0"/>
              <w:divBdr>
                <w:top w:val="none" w:sz="0" w:space="0" w:color="auto"/>
                <w:left w:val="none" w:sz="0" w:space="0" w:color="auto"/>
                <w:bottom w:val="none" w:sz="0" w:space="0" w:color="auto"/>
                <w:right w:val="none" w:sz="0" w:space="0" w:color="auto"/>
              </w:divBdr>
            </w:div>
          </w:divsChild>
        </w:div>
        <w:div w:id="1006711086">
          <w:marLeft w:val="0"/>
          <w:marRight w:val="0"/>
          <w:marTop w:val="0"/>
          <w:marBottom w:val="0"/>
          <w:divBdr>
            <w:top w:val="none" w:sz="0" w:space="0" w:color="auto"/>
            <w:left w:val="none" w:sz="0" w:space="0" w:color="auto"/>
            <w:bottom w:val="none" w:sz="0" w:space="0" w:color="auto"/>
            <w:right w:val="none" w:sz="0" w:space="0" w:color="auto"/>
          </w:divBdr>
          <w:divsChild>
            <w:div w:id="445344770">
              <w:marLeft w:val="0"/>
              <w:marRight w:val="0"/>
              <w:marTop w:val="0"/>
              <w:marBottom w:val="0"/>
              <w:divBdr>
                <w:top w:val="none" w:sz="0" w:space="0" w:color="auto"/>
                <w:left w:val="none" w:sz="0" w:space="0" w:color="auto"/>
                <w:bottom w:val="none" w:sz="0" w:space="0" w:color="auto"/>
                <w:right w:val="none" w:sz="0" w:space="0" w:color="auto"/>
              </w:divBdr>
            </w:div>
          </w:divsChild>
        </w:div>
        <w:div w:id="1009794643">
          <w:marLeft w:val="0"/>
          <w:marRight w:val="0"/>
          <w:marTop w:val="0"/>
          <w:marBottom w:val="0"/>
          <w:divBdr>
            <w:top w:val="none" w:sz="0" w:space="0" w:color="auto"/>
            <w:left w:val="none" w:sz="0" w:space="0" w:color="auto"/>
            <w:bottom w:val="none" w:sz="0" w:space="0" w:color="auto"/>
            <w:right w:val="none" w:sz="0" w:space="0" w:color="auto"/>
          </w:divBdr>
          <w:divsChild>
            <w:div w:id="1874222558">
              <w:marLeft w:val="0"/>
              <w:marRight w:val="0"/>
              <w:marTop w:val="0"/>
              <w:marBottom w:val="0"/>
              <w:divBdr>
                <w:top w:val="none" w:sz="0" w:space="0" w:color="auto"/>
                <w:left w:val="none" w:sz="0" w:space="0" w:color="auto"/>
                <w:bottom w:val="none" w:sz="0" w:space="0" w:color="auto"/>
                <w:right w:val="none" w:sz="0" w:space="0" w:color="auto"/>
              </w:divBdr>
            </w:div>
          </w:divsChild>
        </w:div>
        <w:div w:id="1011491012">
          <w:marLeft w:val="0"/>
          <w:marRight w:val="0"/>
          <w:marTop w:val="0"/>
          <w:marBottom w:val="0"/>
          <w:divBdr>
            <w:top w:val="none" w:sz="0" w:space="0" w:color="auto"/>
            <w:left w:val="none" w:sz="0" w:space="0" w:color="auto"/>
            <w:bottom w:val="none" w:sz="0" w:space="0" w:color="auto"/>
            <w:right w:val="none" w:sz="0" w:space="0" w:color="auto"/>
          </w:divBdr>
          <w:divsChild>
            <w:div w:id="344482354">
              <w:marLeft w:val="0"/>
              <w:marRight w:val="0"/>
              <w:marTop w:val="0"/>
              <w:marBottom w:val="0"/>
              <w:divBdr>
                <w:top w:val="none" w:sz="0" w:space="0" w:color="auto"/>
                <w:left w:val="none" w:sz="0" w:space="0" w:color="auto"/>
                <w:bottom w:val="none" w:sz="0" w:space="0" w:color="auto"/>
                <w:right w:val="none" w:sz="0" w:space="0" w:color="auto"/>
              </w:divBdr>
            </w:div>
          </w:divsChild>
        </w:div>
        <w:div w:id="1017544502">
          <w:marLeft w:val="0"/>
          <w:marRight w:val="0"/>
          <w:marTop w:val="0"/>
          <w:marBottom w:val="0"/>
          <w:divBdr>
            <w:top w:val="none" w:sz="0" w:space="0" w:color="auto"/>
            <w:left w:val="none" w:sz="0" w:space="0" w:color="auto"/>
            <w:bottom w:val="none" w:sz="0" w:space="0" w:color="auto"/>
            <w:right w:val="none" w:sz="0" w:space="0" w:color="auto"/>
          </w:divBdr>
          <w:divsChild>
            <w:div w:id="533929697">
              <w:marLeft w:val="0"/>
              <w:marRight w:val="0"/>
              <w:marTop w:val="0"/>
              <w:marBottom w:val="0"/>
              <w:divBdr>
                <w:top w:val="none" w:sz="0" w:space="0" w:color="auto"/>
                <w:left w:val="none" w:sz="0" w:space="0" w:color="auto"/>
                <w:bottom w:val="none" w:sz="0" w:space="0" w:color="auto"/>
                <w:right w:val="none" w:sz="0" w:space="0" w:color="auto"/>
              </w:divBdr>
            </w:div>
          </w:divsChild>
        </w:div>
        <w:div w:id="1018652718">
          <w:marLeft w:val="0"/>
          <w:marRight w:val="0"/>
          <w:marTop w:val="0"/>
          <w:marBottom w:val="0"/>
          <w:divBdr>
            <w:top w:val="none" w:sz="0" w:space="0" w:color="auto"/>
            <w:left w:val="none" w:sz="0" w:space="0" w:color="auto"/>
            <w:bottom w:val="none" w:sz="0" w:space="0" w:color="auto"/>
            <w:right w:val="none" w:sz="0" w:space="0" w:color="auto"/>
          </w:divBdr>
          <w:divsChild>
            <w:div w:id="1470246146">
              <w:marLeft w:val="0"/>
              <w:marRight w:val="0"/>
              <w:marTop w:val="0"/>
              <w:marBottom w:val="0"/>
              <w:divBdr>
                <w:top w:val="none" w:sz="0" w:space="0" w:color="auto"/>
                <w:left w:val="none" w:sz="0" w:space="0" w:color="auto"/>
                <w:bottom w:val="none" w:sz="0" w:space="0" w:color="auto"/>
                <w:right w:val="none" w:sz="0" w:space="0" w:color="auto"/>
              </w:divBdr>
            </w:div>
          </w:divsChild>
        </w:div>
        <w:div w:id="1029911933">
          <w:marLeft w:val="0"/>
          <w:marRight w:val="0"/>
          <w:marTop w:val="0"/>
          <w:marBottom w:val="0"/>
          <w:divBdr>
            <w:top w:val="none" w:sz="0" w:space="0" w:color="auto"/>
            <w:left w:val="none" w:sz="0" w:space="0" w:color="auto"/>
            <w:bottom w:val="none" w:sz="0" w:space="0" w:color="auto"/>
            <w:right w:val="none" w:sz="0" w:space="0" w:color="auto"/>
          </w:divBdr>
          <w:divsChild>
            <w:div w:id="254752500">
              <w:marLeft w:val="0"/>
              <w:marRight w:val="0"/>
              <w:marTop w:val="0"/>
              <w:marBottom w:val="0"/>
              <w:divBdr>
                <w:top w:val="none" w:sz="0" w:space="0" w:color="auto"/>
                <w:left w:val="none" w:sz="0" w:space="0" w:color="auto"/>
                <w:bottom w:val="none" w:sz="0" w:space="0" w:color="auto"/>
                <w:right w:val="none" w:sz="0" w:space="0" w:color="auto"/>
              </w:divBdr>
            </w:div>
          </w:divsChild>
        </w:div>
        <w:div w:id="1030112694">
          <w:marLeft w:val="0"/>
          <w:marRight w:val="0"/>
          <w:marTop w:val="0"/>
          <w:marBottom w:val="0"/>
          <w:divBdr>
            <w:top w:val="none" w:sz="0" w:space="0" w:color="auto"/>
            <w:left w:val="none" w:sz="0" w:space="0" w:color="auto"/>
            <w:bottom w:val="none" w:sz="0" w:space="0" w:color="auto"/>
            <w:right w:val="none" w:sz="0" w:space="0" w:color="auto"/>
          </w:divBdr>
          <w:divsChild>
            <w:div w:id="1828202961">
              <w:marLeft w:val="0"/>
              <w:marRight w:val="0"/>
              <w:marTop w:val="0"/>
              <w:marBottom w:val="0"/>
              <w:divBdr>
                <w:top w:val="none" w:sz="0" w:space="0" w:color="auto"/>
                <w:left w:val="none" w:sz="0" w:space="0" w:color="auto"/>
                <w:bottom w:val="none" w:sz="0" w:space="0" w:color="auto"/>
                <w:right w:val="none" w:sz="0" w:space="0" w:color="auto"/>
              </w:divBdr>
            </w:div>
          </w:divsChild>
        </w:div>
        <w:div w:id="1030305216">
          <w:marLeft w:val="0"/>
          <w:marRight w:val="0"/>
          <w:marTop w:val="0"/>
          <w:marBottom w:val="0"/>
          <w:divBdr>
            <w:top w:val="none" w:sz="0" w:space="0" w:color="auto"/>
            <w:left w:val="none" w:sz="0" w:space="0" w:color="auto"/>
            <w:bottom w:val="none" w:sz="0" w:space="0" w:color="auto"/>
            <w:right w:val="none" w:sz="0" w:space="0" w:color="auto"/>
          </w:divBdr>
          <w:divsChild>
            <w:div w:id="1656494520">
              <w:marLeft w:val="0"/>
              <w:marRight w:val="0"/>
              <w:marTop w:val="0"/>
              <w:marBottom w:val="0"/>
              <w:divBdr>
                <w:top w:val="none" w:sz="0" w:space="0" w:color="auto"/>
                <w:left w:val="none" w:sz="0" w:space="0" w:color="auto"/>
                <w:bottom w:val="none" w:sz="0" w:space="0" w:color="auto"/>
                <w:right w:val="none" w:sz="0" w:space="0" w:color="auto"/>
              </w:divBdr>
            </w:div>
          </w:divsChild>
        </w:div>
        <w:div w:id="1038699172">
          <w:marLeft w:val="0"/>
          <w:marRight w:val="0"/>
          <w:marTop w:val="0"/>
          <w:marBottom w:val="0"/>
          <w:divBdr>
            <w:top w:val="none" w:sz="0" w:space="0" w:color="auto"/>
            <w:left w:val="none" w:sz="0" w:space="0" w:color="auto"/>
            <w:bottom w:val="none" w:sz="0" w:space="0" w:color="auto"/>
            <w:right w:val="none" w:sz="0" w:space="0" w:color="auto"/>
          </w:divBdr>
          <w:divsChild>
            <w:div w:id="2073692109">
              <w:marLeft w:val="0"/>
              <w:marRight w:val="0"/>
              <w:marTop w:val="0"/>
              <w:marBottom w:val="0"/>
              <w:divBdr>
                <w:top w:val="none" w:sz="0" w:space="0" w:color="auto"/>
                <w:left w:val="none" w:sz="0" w:space="0" w:color="auto"/>
                <w:bottom w:val="none" w:sz="0" w:space="0" w:color="auto"/>
                <w:right w:val="none" w:sz="0" w:space="0" w:color="auto"/>
              </w:divBdr>
            </w:div>
          </w:divsChild>
        </w:div>
        <w:div w:id="1041634816">
          <w:marLeft w:val="0"/>
          <w:marRight w:val="0"/>
          <w:marTop w:val="0"/>
          <w:marBottom w:val="0"/>
          <w:divBdr>
            <w:top w:val="none" w:sz="0" w:space="0" w:color="auto"/>
            <w:left w:val="none" w:sz="0" w:space="0" w:color="auto"/>
            <w:bottom w:val="none" w:sz="0" w:space="0" w:color="auto"/>
            <w:right w:val="none" w:sz="0" w:space="0" w:color="auto"/>
          </w:divBdr>
          <w:divsChild>
            <w:div w:id="701440064">
              <w:marLeft w:val="0"/>
              <w:marRight w:val="0"/>
              <w:marTop w:val="0"/>
              <w:marBottom w:val="0"/>
              <w:divBdr>
                <w:top w:val="none" w:sz="0" w:space="0" w:color="auto"/>
                <w:left w:val="none" w:sz="0" w:space="0" w:color="auto"/>
                <w:bottom w:val="none" w:sz="0" w:space="0" w:color="auto"/>
                <w:right w:val="none" w:sz="0" w:space="0" w:color="auto"/>
              </w:divBdr>
            </w:div>
          </w:divsChild>
        </w:div>
        <w:div w:id="1044137142">
          <w:marLeft w:val="0"/>
          <w:marRight w:val="0"/>
          <w:marTop w:val="0"/>
          <w:marBottom w:val="0"/>
          <w:divBdr>
            <w:top w:val="none" w:sz="0" w:space="0" w:color="auto"/>
            <w:left w:val="none" w:sz="0" w:space="0" w:color="auto"/>
            <w:bottom w:val="none" w:sz="0" w:space="0" w:color="auto"/>
            <w:right w:val="none" w:sz="0" w:space="0" w:color="auto"/>
          </w:divBdr>
          <w:divsChild>
            <w:div w:id="27881505">
              <w:marLeft w:val="0"/>
              <w:marRight w:val="0"/>
              <w:marTop w:val="0"/>
              <w:marBottom w:val="0"/>
              <w:divBdr>
                <w:top w:val="none" w:sz="0" w:space="0" w:color="auto"/>
                <w:left w:val="none" w:sz="0" w:space="0" w:color="auto"/>
                <w:bottom w:val="none" w:sz="0" w:space="0" w:color="auto"/>
                <w:right w:val="none" w:sz="0" w:space="0" w:color="auto"/>
              </w:divBdr>
            </w:div>
          </w:divsChild>
        </w:div>
        <w:div w:id="1052920278">
          <w:marLeft w:val="0"/>
          <w:marRight w:val="0"/>
          <w:marTop w:val="0"/>
          <w:marBottom w:val="0"/>
          <w:divBdr>
            <w:top w:val="none" w:sz="0" w:space="0" w:color="auto"/>
            <w:left w:val="none" w:sz="0" w:space="0" w:color="auto"/>
            <w:bottom w:val="none" w:sz="0" w:space="0" w:color="auto"/>
            <w:right w:val="none" w:sz="0" w:space="0" w:color="auto"/>
          </w:divBdr>
          <w:divsChild>
            <w:div w:id="638649599">
              <w:marLeft w:val="0"/>
              <w:marRight w:val="0"/>
              <w:marTop w:val="0"/>
              <w:marBottom w:val="0"/>
              <w:divBdr>
                <w:top w:val="none" w:sz="0" w:space="0" w:color="auto"/>
                <w:left w:val="none" w:sz="0" w:space="0" w:color="auto"/>
                <w:bottom w:val="none" w:sz="0" w:space="0" w:color="auto"/>
                <w:right w:val="none" w:sz="0" w:space="0" w:color="auto"/>
              </w:divBdr>
            </w:div>
          </w:divsChild>
        </w:div>
        <w:div w:id="1071469672">
          <w:marLeft w:val="0"/>
          <w:marRight w:val="0"/>
          <w:marTop w:val="0"/>
          <w:marBottom w:val="0"/>
          <w:divBdr>
            <w:top w:val="none" w:sz="0" w:space="0" w:color="auto"/>
            <w:left w:val="none" w:sz="0" w:space="0" w:color="auto"/>
            <w:bottom w:val="none" w:sz="0" w:space="0" w:color="auto"/>
            <w:right w:val="none" w:sz="0" w:space="0" w:color="auto"/>
          </w:divBdr>
          <w:divsChild>
            <w:div w:id="1837527880">
              <w:marLeft w:val="0"/>
              <w:marRight w:val="0"/>
              <w:marTop w:val="0"/>
              <w:marBottom w:val="0"/>
              <w:divBdr>
                <w:top w:val="none" w:sz="0" w:space="0" w:color="auto"/>
                <w:left w:val="none" w:sz="0" w:space="0" w:color="auto"/>
                <w:bottom w:val="none" w:sz="0" w:space="0" w:color="auto"/>
                <w:right w:val="none" w:sz="0" w:space="0" w:color="auto"/>
              </w:divBdr>
            </w:div>
          </w:divsChild>
        </w:div>
        <w:div w:id="1084886039">
          <w:marLeft w:val="0"/>
          <w:marRight w:val="0"/>
          <w:marTop w:val="0"/>
          <w:marBottom w:val="0"/>
          <w:divBdr>
            <w:top w:val="none" w:sz="0" w:space="0" w:color="auto"/>
            <w:left w:val="none" w:sz="0" w:space="0" w:color="auto"/>
            <w:bottom w:val="none" w:sz="0" w:space="0" w:color="auto"/>
            <w:right w:val="none" w:sz="0" w:space="0" w:color="auto"/>
          </w:divBdr>
          <w:divsChild>
            <w:div w:id="1807355666">
              <w:marLeft w:val="0"/>
              <w:marRight w:val="0"/>
              <w:marTop w:val="0"/>
              <w:marBottom w:val="0"/>
              <w:divBdr>
                <w:top w:val="none" w:sz="0" w:space="0" w:color="auto"/>
                <w:left w:val="none" w:sz="0" w:space="0" w:color="auto"/>
                <w:bottom w:val="none" w:sz="0" w:space="0" w:color="auto"/>
                <w:right w:val="none" w:sz="0" w:space="0" w:color="auto"/>
              </w:divBdr>
            </w:div>
          </w:divsChild>
        </w:div>
        <w:div w:id="1091003461">
          <w:marLeft w:val="0"/>
          <w:marRight w:val="0"/>
          <w:marTop w:val="0"/>
          <w:marBottom w:val="0"/>
          <w:divBdr>
            <w:top w:val="none" w:sz="0" w:space="0" w:color="auto"/>
            <w:left w:val="none" w:sz="0" w:space="0" w:color="auto"/>
            <w:bottom w:val="none" w:sz="0" w:space="0" w:color="auto"/>
            <w:right w:val="none" w:sz="0" w:space="0" w:color="auto"/>
          </w:divBdr>
          <w:divsChild>
            <w:div w:id="1132211738">
              <w:marLeft w:val="0"/>
              <w:marRight w:val="0"/>
              <w:marTop w:val="0"/>
              <w:marBottom w:val="0"/>
              <w:divBdr>
                <w:top w:val="none" w:sz="0" w:space="0" w:color="auto"/>
                <w:left w:val="none" w:sz="0" w:space="0" w:color="auto"/>
                <w:bottom w:val="none" w:sz="0" w:space="0" w:color="auto"/>
                <w:right w:val="none" w:sz="0" w:space="0" w:color="auto"/>
              </w:divBdr>
            </w:div>
          </w:divsChild>
        </w:div>
        <w:div w:id="1096638344">
          <w:marLeft w:val="0"/>
          <w:marRight w:val="0"/>
          <w:marTop w:val="0"/>
          <w:marBottom w:val="0"/>
          <w:divBdr>
            <w:top w:val="none" w:sz="0" w:space="0" w:color="auto"/>
            <w:left w:val="none" w:sz="0" w:space="0" w:color="auto"/>
            <w:bottom w:val="none" w:sz="0" w:space="0" w:color="auto"/>
            <w:right w:val="none" w:sz="0" w:space="0" w:color="auto"/>
          </w:divBdr>
          <w:divsChild>
            <w:div w:id="401026733">
              <w:marLeft w:val="0"/>
              <w:marRight w:val="0"/>
              <w:marTop w:val="0"/>
              <w:marBottom w:val="0"/>
              <w:divBdr>
                <w:top w:val="none" w:sz="0" w:space="0" w:color="auto"/>
                <w:left w:val="none" w:sz="0" w:space="0" w:color="auto"/>
                <w:bottom w:val="none" w:sz="0" w:space="0" w:color="auto"/>
                <w:right w:val="none" w:sz="0" w:space="0" w:color="auto"/>
              </w:divBdr>
            </w:div>
          </w:divsChild>
        </w:div>
        <w:div w:id="1097754723">
          <w:marLeft w:val="0"/>
          <w:marRight w:val="0"/>
          <w:marTop w:val="0"/>
          <w:marBottom w:val="0"/>
          <w:divBdr>
            <w:top w:val="none" w:sz="0" w:space="0" w:color="auto"/>
            <w:left w:val="none" w:sz="0" w:space="0" w:color="auto"/>
            <w:bottom w:val="none" w:sz="0" w:space="0" w:color="auto"/>
            <w:right w:val="none" w:sz="0" w:space="0" w:color="auto"/>
          </w:divBdr>
          <w:divsChild>
            <w:div w:id="1592930829">
              <w:marLeft w:val="0"/>
              <w:marRight w:val="0"/>
              <w:marTop w:val="0"/>
              <w:marBottom w:val="0"/>
              <w:divBdr>
                <w:top w:val="none" w:sz="0" w:space="0" w:color="auto"/>
                <w:left w:val="none" w:sz="0" w:space="0" w:color="auto"/>
                <w:bottom w:val="none" w:sz="0" w:space="0" w:color="auto"/>
                <w:right w:val="none" w:sz="0" w:space="0" w:color="auto"/>
              </w:divBdr>
            </w:div>
          </w:divsChild>
        </w:div>
        <w:div w:id="1112483117">
          <w:marLeft w:val="0"/>
          <w:marRight w:val="0"/>
          <w:marTop w:val="0"/>
          <w:marBottom w:val="0"/>
          <w:divBdr>
            <w:top w:val="none" w:sz="0" w:space="0" w:color="auto"/>
            <w:left w:val="none" w:sz="0" w:space="0" w:color="auto"/>
            <w:bottom w:val="none" w:sz="0" w:space="0" w:color="auto"/>
            <w:right w:val="none" w:sz="0" w:space="0" w:color="auto"/>
          </w:divBdr>
          <w:divsChild>
            <w:div w:id="1185904330">
              <w:marLeft w:val="0"/>
              <w:marRight w:val="0"/>
              <w:marTop w:val="0"/>
              <w:marBottom w:val="0"/>
              <w:divBdr>
                <w:top w:val="none" w:sz="0" w:space="0" w:color="auto"/>
                <w:left w:val="none" w:sz="0" w:space="0" w:color="auto"/>
                <w:bottom w:val="none" w:sz="0" w:space="0" w:color="auto"/>
                <w:right w:val="none" w:sz="0" w:space="0" w:color="auto"/>
              </w:divBdr>
            </w:div>
          </w:divsChild>
        </w:div>
        <w:div w:id="1125344120">
          <w:marLeft w:val="0"/>
          <w:marRight w:val="0"/>
          <w:marTop w:val="0"/>
          <w:marBottom w:val="0"/>
          <w:divBdr>
            <w:top w:val="none" w:sz="0" w:space="0" w:color="auto"/>
            <w:left w:val="none" w:sz="0" w:space="0" w:color="auto"/>
            <w:bottom w:val="none" w:sz="0" w:space="0" w:color="auto"/>
            <w:right w:val="none" w:sz="0" w:space="0" w:color="auto"/>
          </w:divBdr>
          <w:divsChild>
            <w:div w:id="667975334">
              <w:marLeft w:val="0"/>
              <w:marRight w:val="0"/>
              <w:marTop w:val="0"/>
              <w:marBottom w:val="0"/>
              <w:divBdr>
                <w:top w:val="none" w:sz="0" w:space="0" w:color="auto"/>
                <w:left w:val="none" w:sz="0" w:space="0" w:color="auto"/>
                <w:bottom w:val="none" w:sz="0" w:space="0" w:color="auto"/>
                <w:right w:val="none" w:sz="0" w:space="0" w:color="auto"/>
              </w:divBdr>
            </w:div>
          </w:divsChild>
        </w:div>
        <w:div w:id="1139421314">
          <w:marLeft w:val="0"/>
          <w:marRight w:val="0"/>
          <w:marTop w:val="0"/>
          <w:marBottom w:val="0"/>
          <w:divBdr>
            <w:top w:val="none" w:sz="0" w:space="0" w:color="auto"/>
            <w:left w:val="none" w:sz="0" w:space="0" w:color="auto"/>
            <w:bottom w:val="none" w:sz="0" w:space="0" w:color="auto"/>
            <w:right w:val="none" w:sz="0" w:space="0" w:color="auto"/>
          </w:divBdr>
          <w:divsChild>
            <w:div w:id="1527131254">
              <w:marLeft w:val="0"/>
              <w:marRight w:val="0"/>
              <w:marTop w:val="0"/>
              <w:marBottom w:val="0"/>
              <w:divBdr>
                <w:top w:val="none" w:sz="0" w:space="0" w:color="auto"/>
                <w:left w:val="none" w:sz="0" w:space="0" w:color="auto"/>
                <w:bottom w:val="none" w:sz="0" w:space="0" w:color="auto"/>
                <w:right w:val="none" w:sz="0" w:space="0" w:color="auto"/>
              </w:divBdr>
            </w:div>
          </w:divsChild>
        </w:div>
        <w:div w:id="1143884404">
          <w:marLeft w:val="0"/>
          <w:marRight w:val="0"/>
          <w:marTop w:val="0"/>
          <w:marBottom w:val="0"/>
          <w:divBdr>
            <w:top w:val="none" w:sz="0" w:space="0" w:color="auto"/>
            <w:left w:val="none" w:sz="0" w:space="0" w:color="auto"/>
            <w:bottom w:val="none" w:sz="0" w:space="0" w:color="auto"/>
            <w:right w:val="none" w:sz="0" w:space="0" w:color="auto"/>
          </w:divBdr>
          <w:divsChild>
            <w:div w:id="1707024051">
              <w:marLeft w:val="0"/>
              <w:marRight w:val="0"/>
              <w:marTop w:val="0"/>
              <w:marBottom w:val="0"/>
              <w:divBdr>
                <w:top w:val="none" w:sz="0" w:space="0" w:color="auto"/>
                <w:left w:val="none" w:sz="0" w:space="0" w:color="auto"/>
                <w:bottom w:val="none" w:sz="0" w:space="0" w:color="auto"/>
                <w:right w:val="none" w:sz="0" w:space="0" w:color="auto"/>
              </w:divBdr>
            </w:div>
          </w:divsChild>
        </w:div>
        <w:div w:id="1145397102">
          <w:marLeft w:val="0"/>
          <w:marRight w:val="0"/>
          <w:marTop w:val="0"/>
          <w:marBottom w:val="0"/>
          <w:divBdr>
            <w:top w:val="none" w:sz="0" w:space="0" w:color="auto"/>
            <w:left w:val="none" w:sz="0" w:space="0" w:color="auto"/>
            <w:bottom w:val="none" w:sz="0" w:space="0" w:color="auto"/>
            <w:right w:val="none" w:sz="0" w:space="0" w:color="auto"/>
          </w:divBdr>
          <w:divsChild>
            <w:div w:id="613709547">
              <w:marLeft w:val="0"/>
              <w:marRight w:val="0"/>
              <w:marTop w:val="0"/>
              <w:marBottom w:val="0"/>
              <w:divBdr>
                <w:top w:val="none" w:sz="0" w:space="0" w:color="auto"/>
                <w:left w:val="none" w:sz="0" w:space="0" w:color="auto"/>
                <w:bottom w:val="none" w:sz="0" w:space="0" w:color="auto"/>
                <w:right w:val="none" w:sz="0" w:space="0" w:color="auto"/>
              </w:divBdr>
            </w:div>
          </w:divsChild>
        </w:div>
        <w:div w:id="1150361198">
          <w:marLeft w:val="0"/>
          <w:marRight w:val="0"/>
          <w:marTop w:val="0"/>
          <w:marBottom w:val="0"/>
          <w:divBdr>
            <w:top w:val="none" w:sz="0" w:space="0" w:color="auto"/>
            <w:left w:val="none" w:sz="0" w:space="0" w:color="auto"/>
            <w:bottom w:val="none" w:sz="0" w:space="0" w:color="auto"/>
            <w:right w:val="none" w:sz="0" w:space="0" w:color="auto"/>
          </w:divBdr>
          <w:divsChild>
            <w:div w:id="1629701080">
              <w:marLeft w:val="0"/>
              <w:marRight w:val="0"/>
              <w:marTop w:val="0"/>
              <w:marBottom w:val="0"/>
              <w:divBdr>
                <w:top w:val="none" w:sz="0" w:space="0" w:color="auto"/>
                <w:left w:val="none" w:sz="0" w:space="0" w:color="auto"/>
                <w:bottom w:val="none" w:sz="0" w:space="0" w:color="auto"/>
                <w:right w:val="none" w:sz="0" w:space="0" w:color="auto"/>
              </w:divBdr>
            </w:div>
          </w:divsChild>
        </w:div>
        <w:div w:id="1157915049">
          <w:marLeft w:val="0"/>
          <w:marRight w:val="0"/>
          <w:marTop w:val="0"/>
          <w:marBottom w:val="0"/>
          <w:divBdr>
            <w:top w:val="none" w:sz="0" w:space="0" w:color="auto"/>
            <w:left w:val="none" w:sz="0" w:space="0" w:color="auto"/>
            <w:bottom w:val="none" w:sz="0" w:space="0" w:color="auto"/>
            <w:right w:val="none" w:sz="0" w:space="0" w:color="auto"/>
          </w:divBdr>
          <w:divsChild>
            <w:div w:id="2124008">
              <w:marLeft w:val="0"/>
              <w:marRight w:val="0"/>
              <w:marTop w:val="0"/>
              <w:marBottom w:val="0"/>
              <w:divBdr>
                <w:top w:val="none" w:sz="0" w:space="0" w:color="auto"/>
                <w:left w:val="none" w:sz="0" w:space="0" w:color="auto"/>
                <w:bottom w:val="none" w:sz="0" w:space="0" w:color="auto"/>
                <w:right w:val="none" w:sz="0" w:space="0" w:color="auto"/>
              </w:divBdr>
            </w:div>
          </w:divsChild>
        </w:div>
        <w:div w:id="1159729288">
          <w:marLeft w:val="0"/>
          <w:marRight w:val="0"/>
          <w:marTop w:val="0"/>
          <w:marBottom w:val="0"/>
          <w:divBdr>
            <w:top w:val="none" w:sz="0" w:space="0" w:color="auto"/>
            <w:left w:val="none" w:sz="0" w:space="0" w:color="auto"/>
            <w:bottom w:val="none" w:sz="0" w:space="0" w:color="auto"/>
            <w:right w:val="none" w:sz="0" w:space="0" w:color="auto"/>
          </w:divBdr>
          <w:divsChild>
            <w:div w:id="1705325146">
              <w:marLeft w:val="0"/>
              <w:marRight w:val="0"/>
              <w:marTop w:val="0"/>
              <w:marBottom w:val="0"/>
              <w:divBdr>
                <w:top w:val="none" w:sz="0" w:space="0" w:color="auto"/>
                <w:left w:val="none" w:sz="0" w:space="0" w:color="auto"/>
                <w:bottom w:val="none" w:sz="0" w:space="0" w:color="auto"/>
                <w:right w:val="none" w:sz="0" w:space="0" w:color="auto"/>
              </w:divBdr>
            </w:div>
          </w:divsChild>
        </w:div>
        <w:div w:id="1168525018">
          <w:marLeft w:val="0"/>
          <w:marRight w:val="0"/>
          <w:marTop w:val="0"/>
          <w:marBottom w:val="0"/>
          <w:divBdr>
            <w:top w:val="none" w:sz="0" w:space="0" w:color="auto"/>
            <w:left w:val="none" w:sz="0" w:space="0" w:color="auto"/>
            <w:bottom w:val="none" w:sz="0" w:space="0" w:color="auto"/>
            <w:right w:val="none" w:sz="0" w:space="0" w:color="auto"/>
          </w:divBdr>
          <w:divsChild>
            <w:div w:id="197162284">
              <w:marLeft w:val="0"/>
              <w:marRight w:val="0"/>
              <w:marTop w:val="0"/>
              <w:marBottom w:val="0"/>
              <w:divBdr>
                <w:top w:val="none" w:sz="0" w:space="0" w:color="auto"/>
                <w:left w:val="none" w:sz="0" w:space="0" w:color="auto"/>
                <w:bottom w:val="none" w:sz="0" w:space="0" w:color="auto"/>
                <w:right w:val="none" w:sz="0" w:space="0" w:color="auto"/>
              </w:divBdr>
            </w:div>
          </w:divsChild>
        </w:div>
        <w:div w:id="1171608120">
          <w:marLeft w:val="0"/>
          <w:marRight w:val="0"/>
          <w:marTop w:val="0"/>
          <w:marBottom w:val="0"/>
          <w:divBdr>
            <w:top w:val="none" w:sz="0" w:space="0" w:color="auto"/>
            <w:left w:val="none" w:sz="0" w:space="0" w:color="auto"/>
            <w:bottom w:val="none" w:sz="0" w:space="0" w:color="auto"/>
            <w:right w:val="none" w:sz="0" w:space="0" w:color="auto"/>
          </w:divBdr>
          <w:divsChild>
            <w:div w:id="98915069">
              <w:marLeft w:val="0"/>
              <w:marRight w:val="0"/>
              <w:marTop w:val="0"/>
              <w:marBottom w:val="0"/>
              <w:divBdr>
                <w:top w:val="none" w:sz="0" w:space="0" w:color="auto"/>
                <w:left w:val="none" w:sz="0" w:space="0" w:color="auto"/>
                <w:bottom w:val="none" w:sz="0" w:space="0" w:color="auto"/>
                <w:right w:val="none" w:sz="0" w:space="0" w:color="auto"/>
              </w:divBdr>
            </w:div>
          </w:divsChild>
        </w:div>
        <w:div w:id="1181046182">
          <w:marLeft w:val="0"/>
          <w:marRight w:val="0"/>
          <w:marTop w:val="0"/>
          <w:marBottom w:val="0"/>
          <w:divBdr>
            <w:top w:val="none" w:sz="0" w:space="0" w:color="auto"/>
            <w:left w:val="none" w:sz="0" w:space="0" w:color="auto"/>
            <w:bottom w:val="none" w:sz="0" w:space="0" w:color="auto"/>
            <w:right w:val="none" w:sz="0" w:space="0" w:color="auto"/>
          </w:divBdr>
          <w:divsChild>
            <w:div w:id="994837753">
              <w:marLeft w:val="0"/>
              <w:marRight w:val="0"/>
              <w:marTop w:val="0"/>
              <w:marBottom w:val="0"/>
              <w:divBdr>
                <w:top w:val="none" w:sz="0" w:space="0" w:color="auto"/>
                <w:left w:val="none" w:sz="0" w:space="0" w:color="auto"/>
                <w:bottom w:val="none" w:sz="0" w:space="0" w:color="auto"/>
                <w:right w:val="none" w:sz="0" w:space="0" w:color="auto"/>
              </w:divBdr>
            </w:div>
          </w:divsChild>
        </w:div>
        <w:div w:id="1181432366">
          <w:marLeft w:val="0"/>
          <w:marRight w:val="0"/>
          <w:marTop w:val="0"/>
          <w:marBottom w:val="0"/>
          <w:divBdr>
            <w:top w:val="none" w:sz="0" w:space="0" w:color="auto"/>
            <w:left w:val="none" w:sz="0" w:space="0" w:color="auto"/>
            <w:bottom w:val="none" w:sz="0" w:space="0" w:color="auto"/>
            <w:right w:val="none" w:sz="0" w:space="0" w:color="auto"/>
          </w:divBdr>
          <w:divsChild>
            <w:div w:id="1998456551">
              <w:marLeft w:val="0"/>
              <w:marRight w:val="0"/>
              <w:marTop w:val="0"/>
              <w:marBottom w:val="0"/>
              <w:divBdr>
                <w:top w:val="none" w:sz="0" w:space="0" w:color="auto"/>
                <w:left w:val="none" w:sz="0" w:space="0" w:color="auto"/>
                <w:bottom w:val="none" w:sz="0" w:space="0" w:color="auto"/>
                <w:right w:val="none" w:sz="0" w:space="0" w:color="auto"/>
              </w:divBdr>
            </w:div>
          </w:divsChild>
        </w:div>
        <w:div w:id="1187987348">
          <w:marLeft w:val="0"/>
          <w:marRight w:val="0"/>
          <w:marTop w:val="0"/>
          <w:marBottom w:val="0"/>
          <w:divBdr>
            <w:top w:val="none" w:sz="0" w:space="0" w:color="auto"/>
            <w:left w:val="none" w:sz="0" w:space="0" w:color="auto"/>
            <w:bottom w:val="none" w:sz="0" w:space="0" w:color="auto"/>
            <w:right w:val="none" w:sz="0" w:space="0" w:color="auto"/>
          </w:divBdr>
          <w:divsChild>
            <w:div w:id="518550721">
              <w:marLeft w:val="0"/>
              <w:marRight w:val="0"/>
              <w:marTop w:val="0"/>
              <w:marBottom w:val="0"/>
              <w:divBdr>
                <w:top w:val="none" w:sz="0" w:space="0" w:color="auto"/>
                <w:left w:val="none" w:sz="0" w:space="0" w:color="auto"/>
                <w:bottom w:val="none" w:sz="0" w:space="0" w:color="auto"/>
                <w:right w:val="none" w:sz="0" w:space="0" w:color="auto"/>
              </w:divBdr>
            </w:div>
          </w:divsChild>
        </w:div>
        <w:div w:id="1189100460">
          <w:marLeft w:val="0"/>
          <w:marRight w:val="0"/>
          <w:marTop w:val="0"/>
          <w:marBottom w:val="0"/>
          <w:divBdr>
            <w:top w:val="none" w:sz="0" w:space="0" w:color="auto"/>
            <w:left w:val="none" w:sz="0" w:space="0" w:color="auto"/>
            <w:bottom w:val="none" w:sz="0" w:space="0" w:color="auto"/>
            <w:right w:val="none" w:sz="0" w:space="0" w:color="auto"/>
          </w:divBdr>
          <w:divsChild>
            <w:div w:id="460921206">
              <w:marLeft w:val="0"/>
              <w:marRight w:val="0"/>
              <w:marTop w:val="0"/>
              <w:marBottom w:val="0"/>
              <w:divBdr>
                <w:top w:val="none" w:sz="0" w:space="0" w:color="auto"/>
                <w:left w:val="none" w:sz="0" w:space="0" w:color="auto"/>
                <w:bottom w:val="none" w:sz="0" w:space="0" w:color="auto"/>
                <w:right w:val="none" w:sz="0" w:space="0" w:color="auto"/>
              </w:divBdr>
            </w:div>
          </w:divsChild>
        </w:div>
        <w:div w:id="1191576586">
          <w:marLeft w:val="0"/>
          <w:marRight w:val="0"/>
          <w:marTop w:val="0"/>
          <w:marBottom w:val="0"/>
          <w:divBdr>
            <w:top w:val="none" w:sz="0" w:space="0" w:color="auto"/>
            <w:left w:val="none" w:sz="0" w:space="0" w:color="auto"/>
            <w:bottom w:val="none" w:sz="0" w:space="0" w:color="auto"/>
            <w:right w:val="none" w:sz="0" w:space="0" w:color="auto"/>
          </w:divBdr>
          <w:divsChild>
            <w:div w:id="186257908">
              <w:marLeft w:val="0"/>
              <w:marRight w:val="0"/>
              <w:marTop w:val="0"/>
              <w:marBottom w:val="0"/>
              <w:divBdr>
                <w:top w:val="none" w:sz="0" w:space="0" w:color="auto"/>
                <w:left w:val="none" w:sz="0" w:space="0" w:color="auto"/>
                <w:bottom w:val="none" w:sz="0" w:space="0" w:color="auto"/>
                <w:right w:val="none" w:sz="0" w:space="0" w:color="auto"/>
              </w:divBdr>
            </w:div>
          </w:divsChild>
        </w:div>
        <w:div w:id="1191987970">
          <w:marLeft w:val="0"/>
          <w:marRight w:val="0"/>
          <w:marTop w:val="0"/>
          <w:marBottom w:val="0"/>
          <w:divBdr>
            <w:top w:val="none" w:sz="0" w:space="0" w:color="auto"/>
            <w:left w:val="none" w:sz="0" w:space="0" w:color="auto"/>
            <w:bottom w:val="none" w:sz="0" w:space="0" w:color="auto"/>
            <w:right w:val="none" w:sz="0" w:space="0" w:color="auto"/>
          </w:divBdr>
          <w:divsChild>
            <w:div w:id="592978551">
              <w:marLeft w:val="0"/>
              <w:marRight w:val="0"/>
              <w:marTop w:val="0"/>
              <w:marBottom w:val="0"/>
              <w:divBdr>
                <w:top w:val="none" w:sz="0" w:space="0" w:color="auto"/>
                <w:left w:val="none" w:sz="0" w:space="0" w:color="auto"/>
                <w:bottom w:val="none" w:sz="0" w:space="0" w:color="auto"/>
                <w:right w:val="none" w:sz="0" w:space="0" w:color="auto"/>
              </w:divBdr>
            </w:div>
          </w:divsChild>
        </w:div>
        <w:div w:id="1195073713">
          <w:marLeft w:val="0"/>
          <w:marRight w:val="0"/>
          <w:marTop w:val="0"/>
          <w:marBottom w:val="0"/>
          <w:divBdr>
            <w:top w:val="none" w:sz="0" w:space="0" w:color="auto"/>
            <w:left w:val="none" w:sz="0" w:space="0" w:color="auto"/>
            <w:bottom w:val="none" w:sz="0" w:space="0" w:color="auto"/>
            <w:right w:val="none" w:sz="0" w:space="0" w:color="auto"/>
          </w:divBdr>
          <w:divsChild>
            <w:div w:id="2083528318">
              <w:marLeft w:val="0"/>
              <w:marRight w:val="0"/>
              <w:marTop w:val="0"/>
              <w:marBottom w:val="0"/>
              <w:divBdr>
                <w:top w:val="none" w:sz="0" w:space="0" w:color="auto"/>
                <w:left w:val="none" w:sz="0" w:space="0" w:color="auto"/>
                <w:bottom w:val="none" w:sz="0" w:space="0" w:color="auto"/>
                <w:right w:val="none" w:sz="0" w:space="0" w:color="auto"/>
              </w:divBdr>
            </w:div>
          </w:divsChild>
        </w:div>
        <w:div w:id="1202862828">
          <w:marLeft w:val="0"/>
          <w:marRight w:val="0"/>
          <w:marTop w:val="0"/>
          <w:marBottom w:val="0"/>
          <w:divBdr>
            <w:top w:val="none" w:sz="0" w:space="0" w:color="auto"/>
            <w:left w:val="none" w:sz="0" w:space="0" w:color="auto"/>
            <w:bottom w:val="none" w:sz="0" w:space="0" w:color="auto"/>
            <w:right w:val="none" w:sz="0" w:space="0" w:color="auto"/>
          </w:divBdr>
          <w:divsChild>
            <w:div w:id="919288524">
              <w:marLeft w:val="0"/>
              <w:marRight w:val="0"/>
              <w:marTop w:val="0"/>
              <w:marBottom w:val="0"/>
              <w:divBdr>
                <w:top w:val="none" w:sz="0" w:space="0" w:color="auto"/>
                <w:left w:val="none" w:sz="0" w:space="0" w:color="auto"/>
                <w:bottom w:val="none" w:sz="0" w:space="0" w:color="auto"/>
                <w:right w:val="none" w:sz="0" w:space="0" w:color="auto"/>
              </w:divBdr>
            </w:div>
          </w:divsChild>
        </w:div>
        <w:div w:id="1206330760">
          <w:marLeft w:val="0"/>
          <w:marRight w:val="0"/>
          <w:marTop w:val="0"/>
          <w:marBottom w:val="0"/>
          <w:divBdr>
            <w:top w:val="none" w:sz="0" w:space="0" w:color="auto"/>
            <w:left w:val="none" w:sz="0" w:space="0" w:color="auto"/>
            <w:bottom w:val="none" w:sz="0" w:space="0" w:color="auto"/>
            <w:right w:val="none" w:sz="0" w:space="0" w:color="auto"/>
          </w:divBdr>
          <w:divsChild>
            <w:div w:id="1121337864">
              <w:marLeft w:val="0"/>
              <w:marRight w:val="0"/>
              <w:marTop w:val="0"/>
              <w:marBottom w:val="0"/>
              <w:divBdr>
                <w:top w:val="none" w:sz="0" w:space="0" w:color="auto"/>
                <w:left w:val="none" w:sz="0" w:space="0" w:color="auto"/>
                <w:bottom w:val="none" w:sz="0" w:space="0" w:color="auto"/>
                <w:right w:val="none" w:sz="0" w:space="0" w:color="auto"/>
              </w:divBdr>
            </w:div>
          </w:divsChild>
        </w:div>
        <w:div w:id="1210923956">
          <w:marLeft w:val="0"/>
          <w:marRight w:val="0"/>
          <w:marTop w:val="0"/>
          <w:marBottom w:val="0"/>
          <w:divBdr>
            <w:top w:val="none" w:sz="0" w:space="0" w:color="auto"/>
            <w:left w:val="none" w:sz="0" w:space="0" w:color="auto"/>
            <w:bottom w:val="none" w:sz="0" w:space="0" w:color="auto"/>
            <w:right w:val="none" w:sz="0" w:space="0" w:color="auto"/>
          </w:divBdr>
          <w:divsChild>
            <w:div w:id="1403915293">
              <w:marLeft w:val="0"/>
              <w:marRight w:val="0"/>
              <w:marTop w:val="0"/>
              <w:marBottom w:val="0"/>
              <w:divBdr>
                <w:top w:val="none" w:sz="0" w:space="0" w:color="auto"/>
                <w:left w:val="none" w:sz="0" w:space="0" w:color="auto"/>
                <w:bottom w:val="none" w:sz="0" w:space="0" w:color="auto"/>
                <w:right w:val="none" w:sz="0" w:space="0" w:color="auto"/>
              </w:divBdr>
            </w:div>
          </w:divsChild>
        </w:div>
        <w:div w:id="1215389546">
          <w:marLeft w:val="0"/>
          <w:marRight w:val="0"/>
          <w:marTop w:val="0"/>
          <w:marBottom w:val="0"/>
          <w:divBdr>
            <w:top w:val="none" w:sz="0" w:space="0" w:color="auto"/>
            <w:left w:val="none" w:sz="0" w:space="0" w:color="auto"/>
            <w:bottom w:val="none" w:sz="0" w:space="0" w:color="auto"/>
            <w:right w:val="none" w:sz="0" w:space="0" w:color="auto"/>
          </w:divBdr>
          <w:divsChild>
            <w:div w:id="451093365">
              <w:marLeft w:val="0"/>
              <w:marRight w:val="0"/>
              <w:marTop w:val="0"/>
              <w:marBottom w:val="0"/>
              <w:divBdr>
                <w:top w:val="none" w:sz="0" w:space="0" w:color="auto"/>
                <w:left w:val="none" w:sz="0" w:space="0" w:color="auto"/>
                <w:bottom w:val="none" w:sz="0" w:space="0" w:color="auto"/>
                <w:right w:val="none" w:sz="0" w:space="0" w:color="auto"/>
              </w:divBdr>
            </w:div>
          </w:divsChild>
        </w:div>
        <w:div w:id="1234075579">
          <w:marLeft w:val="0"/>
          <w:marRight w:val="0"/>
          <w:marTop w:val="0"/>
          <w:marBottom w:val="0"/>
          <w:divBdr>
            <w:top w:val="none" w:sz="0" w:space="0" w:color="auto"/>
            <w:left w:val="none" w:sz="0" w:space="0" w:color="auto"/>
            <w:bottom w:val="none" w:sz="0" w:space="0" w:color="auto"/>
            <w:right w:val="none" w:sz="0" w:space="0" w:color="auto"/>
          </w:divBdr>
          <w:divsChild>
            <w:div w:id="241453683">
              <w:marLeft w:val="0"/>
              <w:marRight w:val="0"/>
              <w:marTop w:val="0"/>
              <w:marBottom w:val="0"/>
              <w:divBdr>
                <w:top w:val="none" w:sz="0" w:space="0" w:color="auto"/>
                <w:left w:val="none" w:sz="0" w:space="0" w:color="auto"/>
                <w:bottom w:val="none" w:sz="0" w:space="0" w:color="auto"/>
                <w:right w:val="none" w:sz="0" w:space="0" w:color="auto"/>
              </w:divBdr>
            </w:div>
          </w:divsChild>
        </w:div>
        <w:div w:id="1244609849">
          <w:marLeft w:val="0"/>
          <w:marRight w:val="0"/>
          <w:marTop w:val="0"/>
          <w:marBottom w:val="0"/>
          <w:divBdr>
            <w:top w:val="none" w:sz="0" w:space="0" w:color="auto"/>
            <w:left w:val="none" w:sz="0" w:space="0" w:color="auto"/>
            <w:bottom w:val="none" w:sz="0" w:space="0" w:color="auto"/>
            <w:right w:val="none" w:sz="0" w:space="0" w:color="auto"/>
          </w:divBdr>
          <w:divsChild>
            <w:div w:id="1660117548">
              <w:marLeft w:val="0"/>
              <w:marRight w:val="0"/>
              <w:marTop w:val="0"/>
              <w:marBottom w:val="0"/>
              <w:divBdr>
                <w:top w:val="none" w:sz="0" w:space="0" w:color="auto"/>
                <w:left w:val="none" w:sz="0" w:space="0" w:color="auto"/>
                <w:bottom w:val="none" w:sz="0" w:space="0" w:color="auto"/>
                <w:right w:val="none" w:sz="0" w:space="0" w:color="auto"/>
              </w:divBdr>
            </w:div>
          </w:divsChild>
        </w:div>
        <w:div w:id="1258826623">
          <w:marLeft w:val="0"/>
          <w:marRight w:val="0"/>
          <w:marTop w:val="0"/>
          <w:marBottom w:val="0"/>
          <w:divBdr>
            <w:top w:val="none" w:sz="0" w:space="0" w:color="auto"/>
            <w:left w:val="none" w:sz="0" w:space="0" w:color="auto"/>
            <w:bottom w:val="none" w:sz="0" w:space="0" w:color="auto"/>
            <w:right w:val="none" w:sz="0" w:space="0" w:color="auto"/>
          </w:divBdr>
          <w:divsChild>
            <w:div w:id="201331425">
              <w:marLeft w:val="0"/>
              <w:marRight w:val="0"/>
              <w:marTop w:val="0"/>
              <w:marBottom w:val="0"/>
              <w:divBdr>
                <w:top w:val="none" w:sz="0" w:space="0" w:color="auto"/>
                <w:left w:val="none" w:sz="0" w:space="0" w:color="auto"/>
                <w:bottom w:val="none" w:sz="0" w:space="0" w:color="auto"/>
                <w:right w:val="none" w:sz="0" w:space="0" w:color="auto"/>
              </w:divBdr>
            </w:div>
          </w:divsChild>
        </w:div>
        <w:div w:id="1260064352">
          <w:marLeft w:val="0"/>
          <w:marRight w:val="0"/>
          <w:marTop w:val="0"/>
          <w:marBottom w:val="0"/>
          <w:divBdr>
            <w:top w:val="none" w:sz="0" w:space="0" w:color="auto"/>
            <w:left w:val="none" w:sz="0" w:space="0" w:color="auto"/>
            <w:bottom w:val="none" w:sz="0" w:space="0" w:color="auto"/>
            <w:right w:val="none" w:sz="0" w:space="0" w:color="auto"/>
          </w:divBdr>
          <w:divsChild>
            <w:div w:id="1724984028">
              <w:marLeft w:val="0"/>
              <w:marRight w:val="0"/>
              <w:marTop w:val="0"/>
              <w:marBottom w:val="0"/>
              <w:divBdr>
                <w:top w:val="none" w:sz="0" w:space="0" w:color="auto"/>
                <w:left w:val="none" w:sz="0" w:space="0" w:color="auto"/>
                <w:bottom w:val="none" w:sz="0" w:space="0" w:color="auto"/>
                <w:right w:val="none" w:sz="0" w:space="0" w:color="auto"/>
              </w:divBdr>
            </w:div>
          </w:divsChild>
        </w:div>
        <w:div w:id="1266112740">
          <w:marLeft w:val="0"/>
          <w:marRight w:val="0"/>
          <w:marTop w:val="0"/>
          <w:marBottom w:val="0"/>
          <w:divBdr>
            <w:top w:val="none" w:sz="0" w:space="0" w:color="auto"/>
            <w:left w:val="none" w:sz="0" w:space="0" w:color="auto"/>
            <w:bottom w:val="none" w:sz="0" w:space="0" w:color="auto"/>
            <w:right w:val="none" w:sz="0" w:space="0" w:color="auto"/>
          </w:divBdr>
          <w:divsChild>
            <w:div w:id="805660668">
              <w:marLeft w:val="0"/>
              <w:marRight w:val="0"/>
              <w:marTop w:val="0"/>
              <w:marBottom w:val="0"/>
              <w:divBdr>
                <w:top w:val="none" w:sz="0" w:space="0" w:color="auto"/>
                <w:left w:val="none" w:sz="0" w:space="0" w:color="auto"/>
                <w:bottom w:val="none" w:sz="0" w:space="0" w:color="auto"/>
                <w:right w:val="none" w:sz="0" w:space="0" w:color="auto"/>
              </w:divBdr>
            </w:div>
          </w:divsChild>
        </w:div>
        <w:div w:id="1267272080">
          <w:marLeft w:val="0"/>
          <w:marRight w:val="0"/>
          <w:marTop w:val="0"/>
          <w:marBottom w:val="0"/>
          <w:divBdr>
            <w:top w:val="none" w:sz="0" w:space="0" w:color="auto"/>
            <w:left w:val="none" w:sz="0" w:space="0" w:color="auto"/>
            <w:bottom w:val="none" w:sz="0" w:space="0" w:color="auto"/>
            <w:right w:val="none" w:sz="0" w:space="0" w:color="auto"/>
          </w:divBdr>
          <w:divsChild>
            <w:div w:id="1956522205">
              <w:marLeft w:val="0"/>
              <w:marRight w:val="0"/>
              <w:marTop w:val="0"/>
              <w:marBottom w:val="0"/>
              <w:divBdr>
                <w:top w:val="none" w:sz="0" w:space="0" w:color="auto"/>
                <w:left w:val="none" w:sz="0" w:space="0" w:color="auto"/>
                <w:bottom w:val="none" w:sz="0" w:space="0" w:color="auto"/>
                <w:right w:val="none" w:sz="0" w:space="0" w:color="auto"/>
              </w:divBdr>
            </w:div>
          </w:divsChild>
        </w:div>
        <w:div w:id="1273047570">
          <w:marLeft w:val="0"/>
          <w:marRight w:val="0"/>
          <w:marTop w:val="0"/>
          <w:marBottom w:val="0"/>
          <w:divBdr>
            <w:top w:val="none" w:sz="0" w:space="0" w:color="auto"/>
            <w:left w:val="none" w:sz="0" w:space="0" w:color="auto"/>
            <w:bottom w:val="none" w:sz="0" w:space="0" w:color="auto"/>
            <w:right w:val="none" w:sz="0" w:space="0" w:color="auto"/>
          </w:divBdr>
          <w:divsChild>
            <w:div w:id="986782103">
              <w:marLeft w:val="0"/>
              <w:marRight w:val="0"/>
              <w:marTop w:val="0"/>
              <w:marBottom w:val="0"/>
              <w:divBdr>
                <w:top w:val="none" w:sz="0" w:space="0" w:color="auto"/>
                <w:left w:val="none" w:sz="0" w:space="0" w:color="auto"/>
                <w:bottom w:val="none" w:sz="0" w:space="0" w:color="auto"/>
                <w:right w:val="none" w:sz="0" w:space="0" w:color="auto"/>
              </w:divBdr>
            </w:div>
          </w:divsChild>
        </w:div>
        <w:div w:id="1274090686">
          <w:marLeft w:val="0"/>
          <w:marRight w:val="0"/>
          <w:marTop w:val="0"/>
          <w:marBottom w:val="0"/>
          <w:divBdr>
            <w:top w:val="none" w:sz="0" w:space="0" w:color="auto"/>
            <w:left w:val="none" w:sz="0" w:space="0" w:color="auto"/>
            <w:bottom w:val="none" w:sz="0" w:space="0" w:color="auto"/>
            <w:right w:val="none" w:sz="0" w:space="0" w:color="auto"/>
          </w:divBdr>
          <w:divsChild>
            <w:div w:id="1444182370">
              <w:marLeft w:val="0"/>
              <w:marRight w:val="0"/>
              <w:marTop w:val="0"/>
              <w:marBottom w:val="0"/>
              <w:divBdr>
                <w:top w:val="none" w:sz="0" w:space="0" w:color="auto"/>
                <w:left w:val="none" w:sz="0" w:space="0" w:color="auto"/>
                <w:bottom w:val="none" w:sz="0" w:space="0" w:color="auto"/>
                <w:right w:val="none" w:sz="0" w:space="0" w:color="auto"/>
              </w:divBdr>
            </w:div>
          </w:divsChild>
        </w:div>
        <w:div w:id="1275093446">
          <w:marLeft w:val="0"/>
          <w:marRight w:val="0"/>
          <w:marTop w:val="0"/>
          <w:marBottom w:val="0"/>
          <w:divBdr>
            <w:top w:val="none" w:sz="0" w:space="0" w:color="auto"/>
            <w:left w:val="none" w:sz="0" w:space="0" w:color="auto"/>
            <w:bottom w:val="none" w:sz="0" w:space="0" w:color="auto"/>
            <w:right w:val="none" w:sz="0" w:space="0" w:color="auto"/>
          </w:divBdr>
          <w:divsChild>
            <w:div w:id="1345596538">
              <w:marLeft w:val="0"/>
              <w:marRight w:val="0"/>
              <w:marTop w:val="0"/>
              <w:marBottom w:val="0"/>
              <w:divBdr>
                <w:top w:val="none" w:sz="0" w:space="0" w:color="auto"/>
                <w:left w:val="none" w:sz="0" w:space="0" w:color="auto"/>
                <w:bottom w:val="none" w:sz="0" w:space="0" w:color="auto"/>
                <w:right w:val="none" w:sz="0" w:space="0" w:color="auto"/>
              </w:divBdr>
            </w:div>
          </w:divsChild>
        </w:div>
        <w:div w:id="1288655714">
          <w:marLeft w:val="0"/>
          <w:marRight w:val="0"/>
          <w:marTop w:val="0"/>
          <w:marBottom w:val="0"/>
          <w:divBdr>
            <w:top w:val="none" w:sz="0" w:space="0" w:color="auto"/>
            <w:left w:val="none" w:sz="0" w:space="0" w:color="auto"/>
            <w:bottom w:val="none" w:sz="0" w:space="0" w:color="auto"/>
            <w:right w:val="none" w:sz="0" w:space="0" w:color="auto"/>
          </w:divBdr>
          <w:divsChild>
            <w:div w:id="1930237068">
              <w:marLeft w:val="0"/>
              <w:marRight w:val="0"/>
              <w:marTop w:val="0"/>
              <w:marBottom w:val="0"/>
              <w:divBdr>
                <w:top w:val="none" w:sz="0" w:space="0" w:color="auto"/>
                <w:left w:val="none" w:sz="0" w:space="0" w:color="auto"/>
                <w:bottom w:val="none" w:sz="0" w:space="0" w:color="auto"/>
                <w:right w:val="none" w:sz="0" w:space="0" w:color="auto"/>
              </w:divBdr>
            </w:div>
          </w:divsChild>
        </w:div>
        <w:div w:id="1290428257">
          <w:marLeft w:val="0"/>
          <w:marRight w:val="0"/>
          <w:marTop w:val="0"/>
          <w:marBottom w:val="0"/>
          <w:divBdr>
            <w:top w:val="none" w:sz="0" w:space="0" w:color="auto"/>
            <w:left w:val="none" w:sz="0" w:space="0" w:color="auto"/>
            <w:bottom w:val="none" w:sz="0" w:space="0" w:color="auto"/>
            <w:right w:val="none" w:sz="0" w:space="0" w:color="auto"/>
          </w:divBdr>
          <w:divsChild>
            <w:div w:id="1938050732">
              <w:marLeft w:val="0"/>
              <w:marRight w:val="0"/>
              <w:marTop w:val="0"/>
              <w:marBottom w:val="0"/>
              <w:divBdr>
                <w:top w:val="none" w:sz="0" w:space="0" w:color="auto"/>
                <w:left w:val="none" w:sz="0" w:space="0" w:color="auto"/>
                <w:bottom w:val="none" w:sz="0" w:space="0" w:color="auto"/>
                <w:right w:val="none" w:sz="0" w:space="0" w:color="auto"/>
              </w:divBdr>
            </w:div>
          </w:divsChild>
        </w:div>
        <w:div w:id="1311910957">
          <w:marLeft w:val="0"/>
          <w:marRight w:val="0"/>
          <w:marTop w:val="0"/>
          <w:marBottom w:val="0"/>
          <w:divBdr>
            <w:top w:val="none" w:sz="0" w:space="0" w:color="auto"/>
            <w:left w:val="none" w:sz="0" w:space="0" w:color="auto"/>
            <w:bottom w:val="none" w:sz="0" w:space="0" w:color="auto"/>
            <w:right w:val="none" w:sz="0" w:space="0" w:color="auto"/>
          </w:divBdr>
          <w:divsChild>
            <w:div w:id="1368532730">
              <w:marLeft w:val="0"/>
              <w:marRight w:val="0"/>
              <w:marTop w:val="0"/>
              <w:marBottom w:val="0"/>
              <w:divBdr>
                <w:top w:val="none" w:sz="0" w:space="0" w:color="auto"/>
                <w:left w:val="none" w:sz="0" w:space="0" w:color="auto"/>
                <w:bottom w:val="none" w:sz="0" w:space="0" w:color="auto"/>
                <w:right w:val="none" w:sz="0" w:space="0" w:color="auto"/>
              </w:divBdr>
            </w:div>
          </w:divsChild>
        </w:div>
        <w:div w:id="1315988303">
          <w:marLeft w:val="0"/>
          <w:marRight w:val="0"/>
          <w:marTop w:val="0"/>
          <w:marBottom w:val="0"/>
          <w:divBdr>
            <w:top w:val="none" w:sz="0" w:space="0" w:color="auto"/>
            <w:left w:val="none" w:sz="0" w:space="0" w:color="auto"/>
            <w:bottom w:val="none" w:sz="0" w:space="0" w:color="auto"/>
            <w:right w:val="none" w:sz="0" w:space="0" w:color="auto"/>
          </w:divBdr>
          <w:divsChild>
            <w:div w:id="684674396">
              <w:marLeft w:val="0"/>
              <w:marRight w:val="0"/>
              <w:marTop w:val="0"/>
              <w:marBottom w:val="0"/>
              <w:divBdr>
                <w:top w:val="none" w:sz="0" w:space="0" w:color="auto"/>
                <w:left w:val="none" w:sz="0" w:space="0" w:color="auto"/>
                <w:bottom w:val="none" w:sz="0" w:space="0" w:color="auto"/>
                <w:right w:val="none" w:sz="0" w:space="0" w:color="auto"/>
              </w:divBdr>
            </w:div>
          </w:divsChild>
        </w:div>
        <w:div w:id="1322079380">
          <w:marLeft w:val="0"/>
          <w:marRight w:val="0"/>
          <w:marTop w:val="0"/>
          <w:marBottom w:val="0"/>
          <w:divBdr>
            <w:top w:val="none" w:sz="0" w:space="0" w:color="auto"/>
            <w:left w:val="none" w:sz="0" w:space="0" w:color="auto"/>
            <w:bottom w:val="none" w:sz="0" w:space="0" w:color="auto"/>
            <w:right w:val="none" w:sz="0" w:space="0" w:color="auto"/>
          </w:divBdr>
          <w:divsChild>
            <w:div w:id="1847164528">
              <w:marLeft w:val="0"/>
              <w:marRight w:val="0"/>
              <w:marTop w:val="0"/>
              <w:marBottom w:val="0"/>
              <w:divBdr>
                <w:top w:val="none" w:sz="0" w:space="0" w:color="auto"/>
                <w:left w:val="none" w:sz="0" w:space="0" w:color="auto"/>
                <w:bottom w:val="none" w:sz="0" w:space="0" w:color="auto"/>
                <w:right w:val="none" w:sz="0" w:space="0" w:color="auto"/>
              </w:divBdr>
            </w:div>
          </w:divsChild>
        </w:div>
        <w:div w:id="1330016852">
          <w:marLeft w:val="0"/>
          <w:marRight w:val="0"/>
          <w:marTop w:val="0"/>
          <w:marBottom w:val="0"/>
          <w:divBdr>
            <w:top w:val="none" w:sz="0" w:space="0" w:color="auto"/>
            <w:left w:val="none" w:sz="0" w:space="0" w:color="auto"/>
            <w:bottom w:val="none" w:sz="0" w:space="0" w:color="auto"/>
            <w:right w:val="none" w:sz="0" w:space="0" w:color="auto"/>
          </w:divBdr>
          <w:divsChild>
            <w:div w:id="481848116">
              <w:marLeft w:val="0"/>
              <w:marRight w:val="0"/>
              <w:marTop w:val="0"/>
              <w:marBottom w:val="0"/>
              <w:divBdr>
                <w:top w:val="none" w:sz="0" w:space="0" w:color="auto"/>
                <w:left w:val="none" w:sz="0" w:space="0" w:color="auto"/>
                <w:bottom w:val="none" w:sz="0" w:space="0" w:color="auto"/>
                <w:right w:val="none" w:sz="0" w:space="0" w:color="auto"/>
              </w:divBdr>
            </w:div>
          </w:divsChild>
        </w:div>
        <w:div w:id="1330593664">
          <w:marLeft w:val="0"/>
          <w:marRight w:val="0"/>
          <w:marTop w:val="0"/>
          <w:marBottom w:val="0"/>
          <w:divBdr>
            <w:top w:val="none" w:sz="0" w:space="0" w:color="auto"/>
            <w:left w:val="none" w:sz="0" w:space="0" w:color="auto"/>
            <w:bottom w:val="none" w:sz="0" w:space="0" w:color="auto"/>
            <w:right w:val="none" w:sz="0" w:space="0" w:color="auto"/>
          </w:divBdr>
          <w:divsChild>
            <w:div w:id="1157914276">
              <w:marLeft w:val="0"/>
              <w:marRight w:val="0"/>
              <w:marTop w:val="0"/>
              <w:marBottom w:val="0"/>
              <w:divBdr>
                <w:top w:val="none" w:sz="0" w:space="0" w:color="auto"/>
                <w:left w:val="none" w:sz="0" w:space="0" w:color="auto"/>
                <w:bottom w:val="none" w:sz="0" w:space="0" w:color="auto"/>
                <w:right w:val="none" w:sz="0" w:space="0" w:color="auto"/>
              </w:divBdr>
            </w:div>
          </w:divsChild>
        </w:div>
        <w:div w:id="1335062541">
          <w:marLeft w:val="0"/>
          <w:marRight w:val="0"/>
          <w:marTop w:val="0"/>
          <w:marBottom w:val="0"/>
          <w:divBdr>
            <w:top w:val="none" w:sz="0" w:space="0" w:color="auto"/>
            <w:left w:val="none" w:sz="0" w:space="0" w:color="auto"/>
            <w:bottom w:val="none" w:sz="0" w:space="0" w:color="auto"/>
            <w:right w:val="none" w:sz="0" w:space="0" w:color="auto"/>
          </w:divBdr>
          <w:divsChild>
            <w:div w:id="208496876">
              <w:marLeft w:val="0"/>
              <w:marRight w:val="0"/>
              <w:marTop w:val="0"/>
              <w:marBottom w:val="0"/>
              <w:divBdr>
                <w:top w:val="none" w:sz="0" w:space="0" w:color="auto"/>
                <w:left w:val="none" w:sz="0" w:space="0" w:color="auto"/>
                <w:bottom w:val="none" w:sz="0" w:space="0" w:color="auto"/>
                <w:right w:val="none" w:sz="0" w:space="0" w:color="auto"/>
              </w:divBdr>
            </w:div>
          </w:divsChild>
        </w:div>
        <w:div w:id="1341470223">
          <w:marLeft w:val="0"/>
          <w:marRight w:val="0"/>
          <w:marTop w:val="0"/>
          <w:marBottom w:val="0"/>
          <w:divBdr>
            <w:top w:val="none" w:sz="0" w:space="0" w:color="auto"/>
            <w:left w:val="none" w:sz="0" w:space="0" w:color="auto"/>
            <w:bottom w:val="none" w:sz="0" w:space="0" w:color="auto"/>
            <w:right w:val="none" w:sz="0" w:space="0" w:color="auto"/>
          </w:divBdr>
          <w:divsChild>
            <w:div w:id="598833633">
              <w:marLeft w:val="0"/>
              <w:marRight w:val="0"/>
              <w:marTop w:val="0"/>
              <w:marBottom w:val="0"/>
              <w:divBdr>
                <w:top w:val="none" w:sz="0" w:space="0" w:color="auto"/>
                <w:left w:val="none" w:sz="0" w:space="0" w:color="auto"/>
                <w:bottom w:val="none" w:sz="0" w:space="0" w:color="auto"/>
                <w:right w:val="none" w:sz="0" w:space="0" w:color="auto"/>
              </w:divBdr>
            </w:div>
          </w:divsChild>
        </w:div>
        <w:div w:id="1349872228">
          <w:marLeft w:val="0"/>
          <w:marRight w:val="0"/>
          <w:marTop w:val="0"/>
          <w:marBottom w:val="0"/>
          <w:divBdr>
            <w:top w:val="none" w:sz="0" w:space="0" w:color="auto"/>
            <w:left w:val="none" w:sz="0" w:space="0" w:color="auto"/>
            <w:bottom w:val="none" w:sz="0" w:space="0" w:color="auto"/>
            <w:right w:val="none" w:sz="0" w:space="0" w:color="auto"/>
          </w:divBdr>
          <w:divsChild>
            <w:div w:id="1309743465">
              <w:marLeft w:val="0"/>
              <w:marRight w:val="0"/>
              <w:marTop w:val="0"/>
              <w:marBottom w:val="0"/>
              <w:divBdr>
                <w:top w:val="none" w:sz="0" w:space="0" w:color="auto"/>
                <w:left w:val="none" w:sz="0" w:space="0" w:color="auto"/>
                <w:bottom w:val="none" w:sz="0" w:space="0" w:color="auto"/>
                <w:right w:val="none" w:sz="0" w:space="0" w:color="auto"/>
              </w:divBdr>
            </w:div>
          </w:divsChild>
        </w:div>
        <w:div w:id="1363171260">
          <w:marLeft w:val="0"/>
          <w:marRight w:val="0"/>
          <w:marTop w:val="0"/>
          <w:marBottom w:val="0"/>
          <w:divBdr>
            <w:top w:val="none" w:sz="0" w:space="0" w:color="auto"/>
            <w:left w:val="none" w:sz="0" w:space="0" w:color="auto"/>
            <w:bottom w:val="none" w:sz="0" w:space="0" w:color="auto"/>
            <w:right w:val="none" w:sz="0" w:space="0" w:color="auto"/>
          </w:divBdr>
          <w:divsChild>
            <w:div w:id="852493191">
              <w:marLeft w:val="0"/>
              <w:marRight w:val="0"/>
              <w:marTop w:val="0"/>
              <w:marBottom w:val="0"/>
              <w:divBdr>
                <w:top w:val="none" w:sz="0" w:space="0" w:color="auto"/>
                <w:left w:val="none" w:sz="0" w:space="0" w:color="auto"/>
                <w:bottom w:val="none" w:sz="0" w:space="0" w:color="auto"/>
                <w:right w:val="none" w:sz="0" w:space="0" w:color="auto"/>
              </w:divBdr>
            </w:div>
          </w:divsChild>
        </w:div>
        <w:div w:id="1364357584">
          <w:marLeft w:val="0"/>
          <w:marRight w:val="0"/>
          <w:marTop w:val="0"/>
          <w:marBottom w:val="0"/>
          <w:divBdr>
            <w:top w:val="none" w:sz="0" w:space="0" w:color="auto"/>
            <w:left w:val="none" w:sz="0" w:space="0" w:color="auto"/>
            <w:bottom w:val="none" w:sz="0" w:space="0" w:color="auto"/>
            <w:right w:val="none" w:sz="0" w:space="0" w:color="auto"/>
          </w:divBdr>
          <w:divsChild>
            <w:div w:id="1890611233">
              <w:marLeft w:val="0"/>
              <w:marRight w:val="0"/>
              <w:marTop w:val="0"/>
              <w:marBottom w:val="0"/>
              <w:divBdr>
                <w:top w:val="none" w:sz="0" w:space="0" w:color="auto"/>
                <w:left w:val="none" w:sz="0" w:space="0" w:color="auto"/>
                <w:bottom w:val="none" w:sz="0" w:space="0" w:color="auto"/>
                <w:right w:val="none" w:sz="0" w:space="0" w:color="auto"/>
              </w:divBdr>
            </w:div>
          </w:divsChild>
        </w:div>
        <w:div w:id="1401826230">
          <w:marLeft w:val="0"/>
          <w:marRight w:val="0"/>
          <w:marTop w:val="0"/>
          <w:marBottom w:val="0"/>
          <w:divBdr>
            <w:top w:val="none" w:sz="0" w:space="0" w:color="auto"/>
            <w:left w:val="none" w:sz="0" w:space="0" w:color="auto"/>
            <w:bottom w:val="none" w:sz="0" w:space="0" w:color="auto"/>
            <w:right w:val="none" w:sz="0" w:space="0" w:color="auto"/>
          </w:divBdr>
          <w:divsChild>
            <w:div w:id="299922756">
              <w:marLeft w:val="0"/>
              <w:marRight w:val="0"/>
              <w:marTop w:val="0"/>
              <w:marBottom w:val="0"/>
              <w:divBdr>
                <w:top w:val="none" w:sz="0" w:space="0" w:color="auto"/>
                <w:left w:val="none" w:sz="0" w:space="0" w:color="auto"/>
                <w:bottom w:val="none" w:sz="0" w:space="0" w:color="auto"/>
                <w:right w:val="none" w:sz="0" w:space="0" w:color="auto"/>
              </w:divBdr>
            </w:div>
          </w:divsChild>
        </w:div>
        <w:div w:id="1414088081">
          <w:marLeft w:val="0"/>
          <w:marRight w:val="0"/>
          <w:marTop w:val="0"/>
          <w:marBottom w:val="0"/>
          <w:divBdr>
            <w:top w:val="none" w:sz="0" w:space="0" w:color="auto"/>
            <w:left w:val="none" w:sz="0" w:space="0" w:color="auto"/>
            <w:bottom w:val="none" w:sz="0" w:space="0" w:color="auto"/>
            <w:right w:val="none" w:sz="0" w:space="0" w:color="auto"/>
          </w:divBdr>
          <w:divsChild>
            <w:div w:id="1826581804">
              <w:marLeft w:val="0"/>
              <w:marRight w:val="0"/>
              <w:marTop w:val="0"/>
              <w:marBottom w:val="0"/>
              <w:divBdr>
                <w:top w:val="none" w:sz="0" w:space="0" w:color="auto"/>
                <w:left w:val="none" w:sz="0" w:space="0" w:color="auto"/>
                <w:bottom w:val="none" w:sz="0" w:space="0" w:color="auto"/>
                <w:right w:val="none" w:sz="0" w:space="0" w:color="auto"/>
              </w:divBdr>
            </w:div>
          </w:divsChild>
        </w:div>
        <w:div w:id="1415013878">
          <w:marLeft w:val="0"/>
          <w:marRight w:val="0"/>
          <w:marTop w:val="0"/>
          <w:marBottom w:val="0"/>
          <w:divBdr>
            <w:top w:val="none" w:sz="0" w:space="0" w:color="auto"/>
            <w:left w:val="none" w:sz="0" w:space="0" w:color="auto"/>
            <w:bottom w:val="none" w:sz="0" w:space="0" w:color="auto"/>
            <w:right w:val="none" w:sz="0" w:space="0" w:color="auto"/>
          </w:divBdr>
          <w:divsChild>
            <w:div w:id="975916410">
              <w:marLeft w:val="0"/>
              <w:marRight w:val="0"/>
              <w:marTop w:val="0"/>
              <w:marBottom w:val="0"/>
              <w:divBdr>
                <w:top w:val="none" w:sz="0" w:space="0" w:color="auto"/>
                <w:left w:val="none" w:sz="0" w:space="0" w:color="auto"/>
                <w:bottom w:val="none" w:sz="0" w:space="0" w:color="auto"/>
                <w:right w:val="none" w:sz="0" w:space="0" w:color="auto"/>
              </w:divBdr>
            </w:div>
          </w:divsChild>
        </w:div>
        <w:div w:id="1427729311">
          <w:marLeft w:val="0"/>
          <w:marRight w:val="0"/>
          <w:marTop w:val="0"/>
          <w:marBottom w:val="0"/>
          <w:divBdr>
            <w:top w:val="none" w:sz="0" w:space="0" w:color="auto"/>
            <w:left w:val="none" w:sz="0" w:space="0" w:color="auto"/>
            <w:bottom w:val="none" w:sz="0" w:space="0" w:color="auto"/>
            <w:right w:val="none" w:sz="0" w:space="0" w:color="auto"/>
          </w:divBdr>
          <w:divsChild>
            <w:div w:id="669019606">
              <w:marLeft w:val="0"/>
              <w:marRight w:val="0"/>
              <w:marTop w:val="0"/>
              <w:marBottom w:val="0"/>
              <w:divBdr>
                <w:top w:val="none" w:sz="0" w:space="0" w:color="auto"/>
                <w:left w:val="none" w:sz="0" w:space="0" w:color="auto"/>
                <w:bottom w:val="none" w:sz="0" w:space="0" w:color="auto"/>
                <w:right w:val="none" w:sz="0" w:space="0" w:color="auto"/>
              </w:divBdr>
            </w:div>
          </w:divsChild>
        </w:div>
        <w:div w:id="1464542812">
          <w:marLeft w:val="0"/>
          <w:marRight w:val="0"/>
          <w:marTop w:val="0"/>
          <w:marBottom w:val="0"/>
          <w:divBdr>
            <w:top w:val="none" w:sz="0" w:space="0" w:color="auto"/>
            <w:left w:val="none" w:sz="0" w:space="0" w:color="auto"/>
            <w:bottom w:val="none" w:sz="0" w:space="0" w:color="auto"/>
            <w:right w:val="none" w:sz="0" w:space="0" w:color="auto"/>
          </w:divBdr>
          <w:divsChild>
            <w:div w:id="364058121">
              <w:marLeft w:val="0"/>
              <w:marRight w:val="0"/>
              <w:marTop w:val="0"/>
              <w:marBottom w:val="0"/>
              <w:divBdr>
                <w:top w:val="none" w:sz="0" w:space="0" w:color="auto"/>
                <w:left w:val="none" w:sz="0" w:space="0" w:color="auto"/>
                <w:bottom w:val="none" w:sz="0" w:space="0" w:color="auto"/>
                <w:right w:val="none" w:sz="0" w:space="0" w:color="auto"/>
              </w:divBdr>
            </w:div>
          </w:divsChild>
        </w:div>
        <w:div w:id="1471705670">
          <w:marLeft w:val="0"/>
          <w:marRight w:val="0"/>
          <w:marTop w:val="0"/>
          <w:marBottom w:val="0"/>
          <w:divBdr>
            <w:top w:val="none" w:sz="0" w:space="0" w:color="auto"/>
            <w:left w:val="none" w:sz="0" w:space="0" w:color="auto"/>
            <w:bottom w:val="none" w:sz="0" w:space="0" w:color="auto"/>
            <w:right w:val="none" w:sz="0" w:space="0" w:color="auto"/>
          </w:divBdr>
          <w:divsChild>
            <w:div w:id="305204567">
              <w:marLeft w:val="0"/>
              <w:marRight w:val="0"/>
              <w:marTop w:val="0"/>
              <w:marBottom w:val="0"/>
              <w:divBdr>
                <w:top w:val="none" w:sz="0" w:space="0" w:color="auto"/>
                <w:left w:val="none" w:sz="0" w:space="0" w:color="auto"/>
                <w:bottom w:val="none" w:sz="0" w:space="0" w:color="auto"/>
                <w:right w:val="none" w:sz="0" w:space="0" w:color="auto"/>
              </w:divBdr>
            </w:div>
          </w:divsChild>
        </w:div>
        <w:div w:id="1477606596">
          <w:marLeft w:val="0"/>
          <w:marRight w:val="0"/>
          <w:marTop w:val="0"/>
          <w:marBottom w:val="0"/>
          <w:divBdr>
            <w:top w:val="none" w:sz="0" w:space="0" w:color="auto"/>
            <w:left w:val="none" w:sz="0" w:space="0" w:color="auto"/>
            <w:bottom w:val="none" w:sz="0" w:space="0" w:color="auto"/>
            <w:right w:val="none" w:sz="0" w:space="0" w:color="auto"/>
          </w:divBdr>
          <w:divsChild>
            <w:div w:id="995691606">
              <w:marLeft w:val="0"/>
              <w:marRight w:val="0"/>
              <w:marTop w:val="0"/>
              <w:marBottom w:val="0"/>
              <w:divBdr>
                <w:top w:val="none" w:sz="0" w:space="0" w:color="auto"/>
                <w:left w:val="none" w:sz="0" w:space="0" w:color="auto"/>
                <w:bottom w:val="none" w:sz="0" w:space="0" w:color="auto"/>
                <w:right w:val="none" w:sz="0" w:space="0" w:color="auto"/>
              </w:divBdr>
            </w:div>
          </w:divsChild>
        </w:div>
        <w:div w:id="1483422901">
          <w:marLeft w:val="0"/>
          <w:marRight w:val="0"/>
          <w:marTop w:val="0"/>
          <w:marBottom w:val="0"/>
          <w:divBdr>
            <w:top w:val="none" w:sz="0" w:space="0" w:color="auto"/>
            <w:left w:val="none" w:sz="0" w:space="0" w:color="auto"/>
            <w:bottom w:val="none" w:sz="0" w:space="0" w:color="auto"/>
            <w:right w:val="none" w:sz="0" w:space="0" w:color="auto"/>
          </w:divBdr>
          <w:divsChild>
            <w:div w:id="2092501615">
              <w:marLeft w:val="0"/>
              <w:marRight w:val="0"/>
              <w:marTop w:val="0"/>
              <w:marBottom w:val="0"/>
              <w:divBdr>
                <w:top w:val="none" w:sz="0" w:space="0" w:color="auto"/>
                <w:left w:val="none" w:sz="0" w:space="0" w:color="auto"/>
                <w:bottom w:val="none" w:sz="0" w:space="0" w:color="auto"/>
                <w:right w:val="none" w:sz="0" w:space="0" w:color="auto"/>
              </w:divBdr>
            </w:div>
          </w:divsChild>
        </w:div>
        <w:div w:id="1518693880">
          <w:marLeft w:val="0"/>
          <w:marRight w:val="0"/>
          <w:marTop w:val="0"/>
          <w:marBottom w:val="0"/>
          <w:divBdr>
            <w:top w:val="none" w:sz="0" w:space="0" w:color="auto"/>
            <w:left w:val="none" w:sz="0" w:space="0" w:color="auto"/>
            <w:bottom w:val="none" w:sz="0" w:space="0" w:color="auto"/>
            <w:right w:val="none" w:sz="0" w:space="0" w:color="auto"/>
          </w:divBdr>
          <w:divsChild>
            <w:div w:id="590771881">
              <w:marLeft w:val="0"/>
              <w:marRight w:val="0"/>
              <w:marTop w:val="0"/>
              <w:marBottom w:val="0"/>
              <w:divBdr>
                <w:top w:val="none" w:sz="0" w:space="0" w:color="auto"/>
                <w:left w:val="none" w:sz="0" w:space="0" w:color="auto"/>
                <w:bottom w:val="none" w:sz="0" w:space="0" w:color="auto"/>
                <w:right w:val="none" w:sz="0" w:space="0" w:color="auto"/>
              </w:divBdr>
            </w:div>
          </w:divsChild>
        </w:div>
        <w:div w:id="1526022893">
          <w:marLeft w:val="0"/>
          <w:marRight w:val="0"/>
          <w:marTop w:val="0"/>
          <w:marBottom w:val="0"/>
          <w:divBdr>
            <w:top w:val="none" w:sz="0" w:space="0" w:color="auto"/>
            <w:left w:val="none" w:sz="0" w:space="0" w:color="auto"/>
            <w:bottom w:val="none" w:sz="0" w:space="0" w:color="auto"/>
            <w:right w:val="none" w:sz="0" w:space="0" w:color="auto"/>
          </w:divBdr>
          <w:divsChild>
            <w:div w:id="1457674088">
              <w:marLeft w:val="0"/>
              <w:marRight w:val="0"/>
              <w:marTop w:val="0"/>
              <w:marBottom w:val="0"/>
              <w:divBdr>
                <w:top w:val="none" w:sz="0" w:space="0" w:color="auto"/>
                <w:left w:val="none" w:sz="0" w:space="0" w:color="auto"/>
                <w:bottom w:val="none" w:sz="0" w:space="0" w:color="auto"/>
                <w:right w:val="none" w:sz="0" w:space="0" w:color="auto"/>
              </w:divBdr>
            </w:div>
          </w:divsChild>
        </w:div>
        <w:div w:id="1531071355">
          <w:marLeft w:val="0"/>
          <w:marRight w:val="0"/>
          <w:marTop w:val="0"/>
          <w:marBottom w:val="0"/>
          <w:divBdr>
            <w:top w:val="none" w:sz="0" w:space="0" w:color="auto"/>
            <w:left w:val="none" w:sz="0" w:space="0" w:color="auto"/>
            <w:bottom w:val="none" w:sz="0" w:space="0" w:color="auto"/>
            <w:right w:val="none" w:sz="0" w:space="0" w:color="auto"/>
          </w:divBdr>
          <w:divsChild>
            <w:div w:id="404230187">
              <w:marLeft w:val="0"/>
              <w:marRight w:val="0"/>
              <w:marTop w:val="0"/>
              <w:marBottom w:val="0"/>
              <w:divBdr>
                <w:top w:val="none" w:sz="0" w:space="0" w:color="auto"/>
                <w:left w:val="none" w:sz="0" w:space="0" w:color="auto"/>
                <w:bottom w:val="none" w:sz="0" w:space="0" w:color="auto"/>
                <w:right w:val="none" w:sz="0" w:space="0" w:color="auto"/>
              </w:divBdr>
            </w:div>
          </w:divsChild>
        </w:div>
        <w:div w:id="1541284038">
          <w:marLeft w:val="0"/>
          <w:marRight w:val="0"/>
          <w:marTop w:val="0"/>
          <w:marBottom w:val="0"/>
          <w:divBdr>
            <w:top w:val="none" w:sz="0" w:space="0" w:color="auto"/>
            <w:left w:val="none" w:sz="0" w:space="0" w:color="auto"/>
            <w:bottom w:val="none" w:sz="0" w:space="0" w:color="auto"/>
            <w:right w:val="none" w:sz="0" w:space="0" w:color="auto"/>
          </w:divBdr>
          <w:divsChild>
            <w:div w:id="24139297">
              <w:marLeft w:val="0"/>
              <w:marRight w:val="0"/>
              <w:marTop w:val="0"/>
              <w:marBottom w:val="0"/>
              <w:divBdr>
                <w:top w:val="none" w:sz="0" w:space="0" w:color="auto"/>
                <w:left w:val="none" w:sz="0" w:space="0" w:color="auto"/>
                <w:bottom w:val="none" w:sz="0" w:space="0" w:color="auto"/>
                <w:right w:val="none" w:sz="0" w:space="0" w:color="auto"/>
              </w:divBdr>
            </w:div>
          </w:divsChild>
        </w:div>
        <w:div w:id="1554611252">
          <w:marLeft w:val="0"/>
          <w:marRight w:val="0"/>
          <w:marTop w:val="0"/>
          <w:marBottom w:val="0"/>
          <w:divBdr>
            <w:top w:val="none" w:sz="0" w:space="0" w:color="auto"/>
            <w:left w:val="none" w:sz="0" w:space="0" w:color="auto"/>
            <w:bottom w:val="none" w:sz="0" w:space="0" w:color="auto"/>
            <w:right w:val="none" w:sz="0" w:space="0" w:color="auto"/>
          </w:divBdr>
          <w:divsChild>
            <w:div w:id="1015619231">
              <w:marLeft w:val="0"/>
              <w:marRight w:val="0"/>
              <w:marTop w:val="0"/>
              <w:marBottom w:val="0"/>
              <w:divBdr>
                <w:top w:val="none" w:sz="0" w:space="0" w:color="auto"/>
                <w:left w:val="none" w:sz="0" w:space="0" w:color="auto"/>
                <w:bottom w:val="none" w:sz="0" w:space="0" w:color="auto"/>
                <w:right w:val="none" w:sz="0" w:space="0" w:color="auto"/>
              </w:divBdr>
            </w:div>
          </w:divsChild>
        </w:div>
        <w:div w:id="1555314136">
          <w:marLeft w:val="0"/>
          <w:marRight w:val="0"/>
          <w:marTop w:val="0"/>
          <w:marBottom w:val="0"/>
          <w:divBdr>
            <w:top w:val="none" w:sz="0" w:space="0" w:color="auto"/>
            <w:left w:val="none" w:sz="0" w:space="0" w:color="auto"/>
            <w:bottom w:val="none" w:sz="0" w:space="0" w:color="auto"/>
            <w:right w:val="none" w:sz="0" w:space="0" w:color="auto"/>
          </w:divBdr>
          <w:divsChild>
            <w:div w:id="372122729">
              <w:marLeft w:val="0"/>
              <w:marRight w:val="0"/>
              <w:marTop w:val="0"/>
              <w:marBottom w:val="0"/>
              <w:divBdr>
                <w:top w:val="none" w:sz="0" w:space="0" w:color="auto"/>
                <w:left w:val="none" w:sz="0" w:space="0" w:color="auto"/>
                <w:bottom w:val="none" w:sz="0" w:space="0" w:color="auto"/>
                <w:right w:val="none" w:sz="0" w:space="0" w:color="auto"/>
              </w:divBdr>
            </w:div>
          </w:divsChild>
        </w:div>
        <w:div w:id="1558395916">
          <w:marLeft w:val="0"/>
          <w:marRight w:val="0"/>
          <w:marTop w:val="0"/>
          <w:marBottom w:val="0"/>
          <w:divBdr>
            <w:top w:val="none" w:sz="0" w:space="0" w:color="auto"/>
            <w:left w:val="none" w:sz="0" w:space="0" w:color="auto"/>
            <w:bottom w:val="none" w:sz="0" w:space="0" w:color="auto"/>
            <w:right w:val="none" w:sz="0" w:space="0" w:color="auto"/>
          </w:divBdr>
          <w:divsChild>
            <w:div w:id="660620752">
              <w:marLeft w:val="0"/>
              <w:marRight w:val="0"/>
              <w:marTop w:val="0"/>
              <w:marBottom w:val="0"/>
              <w:divBdr>
                <w:top w:val="none" w:sz="0" w:space="0" w:color="auto"/>
                <w:left w:val="none" w:sz="0" w:space="0" w:color="auto"/>
                <w:bottom w:val="none" w:sz="0" w:space="0" w:color="auto"/>
                <w:right w:val="none" w:sz="0" w:space="0" w:color="auto"/>
              </w:divBdr>
            </w:div>
          </w:divsChild>
        </w:div>
        <w:div w:id="1560019441">
          <w:marLeft w:val="0"/>
          <w:marRight w:val="0"/>
          <w:marTop w:val="0"/>
          <w:marBottom w:val="0"/>
          <w:divBdr>
            <w:top w:val="none" w:sz="0" w:space="0" w:color="auto"/>
            <w:left w:val="none" w:sz="0" w:space="0" w:color="auto"/>
            <w:bottom w:val="none" w:sz="0" w:space="0" w:color="auto"/>
            <w:right w:val="none" w:sz="0" w:space="0" w:color="auto"/>
          </w:divBdr>
          <w:divsChild>
            <w:div w:id="539440468">
              <w:marLeft w:val="0"/>
              <w:marRight w:val="0"/>
              <w:marTop w:val="0"/>
              <w:marBottom w:val="0"/>
              <w:divBdr>
                <w:top w:val="none" w:sz="0" w:space="0" w:color="auto"/>
                <w:left w:val="none" w:sz="0" w:space="0" w:color="auto"/>
                <w:bottom w:val="none" w:sz="0" w:space="0" w:color="auto"/>
                <w:right w:val="none" w:sz="0" w:space="0" w:color="auto"/>
              </w:divBdr>
            </w:div>
          </w:divsChild>
        </w:div>
        <w:div w:id="1563905169">
          <w:marLeft w:val="0"/>
          <w:marRight w:val="0"/>
          <w:marTop w:val="0"/>
          <w:marBottom w:val="0"/>
          <w:divBdr>
            <w:top w:val="none" w:sz="0" w:space="0" w:color="auto"/>
            <w:left w:val="none" w:sz="0" w:space="0" w:color="auto"/>
            <w:bottom w:val="none" w:sz="0" w:space="0" w:color="auto"/>
            <w:right w:val="none" w:sz="0" w:space="0" w:color="auto"/>
          </w:divBdr>
          <w:divsChild>
            <w:div w:id="1620644094">
              <w:marLeft w:val="0"/>
              <w:marRight w:val="0"/>
              <w:marTop w:val="0"/>
              <w:marBottom w:val="0"/>
              <w:divBdr>
                <w:top w:val="none" w:sz="0" w:space="0" w:color="auto"/>
                <w:left w:val="none" w:sz="0" w:space="0" w:color="auto"/>
                <w:bottom w:val="none" w:sz="0" w:space="0" w:color="auto"/>
                <w:right w:val="none" w:sz="0" w:space="0" w:color="auto"/>
              </w:divBdr>
            </w:div>
          </w:divsChild>
        </w:div>
        <w:div w:id="1568223836">
          <w:marLeft w:val="0"/>
          <w:marRight w:val="0"/>
          <w:marTop w:val="0"/>
          <w:marBottom w:val="0"/>
          <w:divBdr>
            <w:top w:val="none" w:sz="0" w:space="0" w:color="auto"/>
            <w:left w:val="none" w:sz="0" w:space="0" w:color="auto"/>
            <w:bottom w:val="none" w:sz="0" w:space="0" w:color="auto"/>
            <w:right w:val="none" w:sz="0" w:space="0" w:color="auto"/>
          </w:divBdr>
          <w:divsChild>
            <w:div w:id="747003523">
              <w:marLeft w:val="0"/>
              <w:marRight w:val="0"/>
              <w:marTop w:val="0"/>
              <w:marBottom w:val="0"/>
              <w:divBdr>
                <w:top w:val="none" w:sz="0" w:space="0" w:color="auto"/>
                <w:left w:val="none" w:sz="0" w:space="0" w:color="auto"/>
                <w:bottom w:val="none" w:sz="0" w:space="0" w:color="auto"/>
                <w:right w:val="none" w:sz="0" w:space="0" w:color="auto"/>
              </w:divBdr>
            </w:div>
          </w:divsChild>
        </w:div>
        <w:div w:id="1571961320">
          <w:marLeft w:val="0"/>
          <w:marRight w:val="0"/>
          <w:marTop w:val="0"/>
          <w:marBottom w:val="0"/>
          <w:divBdr>
            <w:top w:val="none" w:sz="0" w:space="0" w:color="auto"/>
            <w:left w:val="none" w:sz="0" w:space="0" w:color="auto"/>
            <w:bottom w:val="none" w:sz="0" w:space="0" w:color="auto"/>
            <w:right w:val="none" w:sz="0" w:space="0" w:color="auto"/>
          </w:divBdr>
          <w:divsChild>
            <w:div w:id="458187185">
              <w:marLeft w:val="0"/>
              <w:marRight w:val="0"/>
              <w:marTop w:val="0"/>
              <w:marBottom w:val="0"/>
              <w:divBdr>
                <w:top w:val="none" w:sz="0" w:space="0" w:color="auto"/>
                <w:left w:val="none" w:sz="0" w:space="0" w:color="auto"/>
                <w:bottom w:val="none" w:sz="0" w:space="0" w:color="auto"/>
                <w:right w:val="none" w:sz="0" w:space="0" w:color="auto"/>
              </w:divBdr>
            </w:div>
          </w:divsChild>
        </w:div>
        <w:div w:id="1598368749">
          <w:marLeft w:val="0"/>
          <w:marRight w:val="0"/>
          <w:marTop w:val="0"/>
          <w:marBottom w:val="0"/>
          <w:divBdr>
            <w:top w:val="none" w:sz="0" w:space="0" w:color="auto"/>
            <w:left w:val="none" w:sz="0" w:space="0" w:color="auto"/>
            <w:bottom w:val="none" w:sz="0" w:space="0" w:color="auto"/>
            <w:right w:val="none" w:sz="0" w:space="0" w:color="auto"/>
          </w:divBdr>
          <w:divsChild>
            <w:div w:id="1653480526">
              <w:marLeft w:val="0"/>
              <w:marRight w:val="0"/>
              <w:marTop w:val="0"/>
              <w:marBottom w:val="0"/>
              <w:divBdr>
                <w:top w:val="none" w:sz="0" w:space="0" w:color="auto"/>
                <w:left w:val="none" w:sz="0" w:space="0" w:color="auto"/>
                <w:bottom w:val="none" w:sz="0" w:space="0" w:color="auto"/>
                <w:right w:val="none" w:sz="0" w:space="0" w:color="auto"/>
              </w:divBdr>
            </w:div>
          </w:divsChild>
        </w:div>
        <w:div w:id="1612585004">
          <w:marLeft w:val="0"/>
          <w:marRight w:val="0"/>
          <w:marTop w:val="0"/>
          <w:marBottom w:val="0"/>
          <w:divBdr>
            <w:top w:val="none" w:sz="0" w:space="0" w:color="auto"/>
            <w:left w:val="none" w:sz="0" w:space="0" w:color="auto"/>
            <w:bottom w:val="none" w:sz="0" w:space="0" w:color="auto"/>
            <w:right w:val="none" w:sz="0" w:space="0" w:color="auto"/>
          </w:divBdr>
          <w:divsChild>
            <w:div w:id="716321061">
              <w:marLeft w:val="0"/>
              <w:marRight w:val="0"/>
              <w:marTop w:val="0"/>
              <w:marBottom w:val="0"/>
              <w:divBdr>
                <w:top w:val="none" w:sz="0" w:space="0" w:color="auto"/>
                <w:left w:val="none" w:sz="0" w:space="0" w:color="auto"/>
                <w:bottom w:val="none" w:sz="0" w:space="0" w:color="auto"/>
                <w:right w:val="none" w:sz="0" w:space="0" w:color="auto"/>
              </w:divBdr>
            </w:div>
          </w:divsChild>
        </w:div>
        <w:div w:id="1619216078">
          <w:marLeft w:val="0"/>
          <w:marRight w:val="0"/>
          <w:marTop w:val="0"/>
          <w:marBottom w:val="0"/>
          <w:divBdr>
            <w:top w:val="none" w:sz="0" w:space="0" w:color="auto"/>
            <w:left w:val="none" w:sz="0" w:space="0" w:color="auto"/>
            <w:bottom w:val="none" w:sz="0" w:space="0" w:color="auto"/>
            <w:right w:val="none" w:sz="0" w:space="0" w:color="auto"/>
          </w:divBdr>
          <w:divsChild>
            <w:div w:id="1780635229">
              <w:marLeft w:val="0"/>
              <w:marRight w:val="0"/>
              <w:marTop w:val="0"/>
              <w:marBottom w:val="0"/>
              <w:divBdr>
                <w:top w:val="none" w:sz="0" w:space="0" w:color="auto"/>
                <w:left w:val="none" w:sz="0" w:space="0" w:color="auto"/>
                <w:bottom w:val="none" w:sz="0" w:space="0" w:color="auto"/>
                <w:right w:val="none" w:sz="0" w:space="0" w:color="auto"/>
              </w:divBdr>
            </w:div>
          </w:divsChild>
        </w:div>
        <w:div w:id="1619411199">
          <w:marLeft w:val="0"/>
          <w:marRight w:val="0"/>
          <w:marTop w:val="0"/>
          <w:marBottom w:val="0"/>
          <w:divBdr>
            <w:top w:val="none" w:sz="0" w:space="0" w:color="auto"/>
            <w:left w:val="none" w:sz="0" w:space="0" w:color="auto"/>
            <w:bottom w:val="none" w:sz="0" w:space="0" w:color="auto"/>
            <w:right w:val="none" w:sz="0" w:space="0" w:color="auto"/>
          </w:divBdr>
          <w:divsChild>
            <w:div w:id="142433406">
              <w:marLeft w:val="0"/>
              <w:marRight w:val="0"/>
              <w:marTop w:val="0"/>
              <w:marBottom w:val="0"/>
              <w:divBdr>
                <w:top w:val="none" w:sz="0" w:space="0" w:color="auto"/>
                <w:left w:val="none" w:sz="0" w:space="0" w:color="auto"/>
                <w:bottom w:val="none" w:sz="0" w:space="0" w:color="auto"/>
                <w:right w:val="none" w:sz="0" w:space="0" w:color="auto"/>
              </w:divBdr>
            </w:div>
          </w:divsChild>
        </w:div>
        <w:div w:id="1623001451">
          <w:marLeft w:val="0"/>
          <w:marRight w:val="0"/>
          <w:marTop w:val="0"/>
          <w:marBottom w:val="0"/>
          <w:divBdr>
            <w:top w:val="none" w:sz="0" w:space="0" w:color="auto"/>
            <w:left w:val="none" w:sz="0" w:space="0" w:color="auto"/>
            <w:bottom w:val="none" w:sz="0" w:space="0" w:color="auto"/>
            <w:right w:val="none" w:sz="0" w:space="0" w:color="auto"/>
          </w:divBdr>
          <w:divsChild>
            <w:div w:id="1073233787">
              <w:marLeft w:val="0"/>
              <w:marRight w:val="0"/>
              <w:marTop w:val="0"/>
              <w:marBottom w:val="0"/>
              <w:divBdr>
                <w:top w:val="none" w:sz="0" w:space="0" w:color="auto"/>
                <w:left w:val="none" w:sz="0" w:space="0" w:color="auto"/>
                <w:bottom w:val="none" w:sz="0" w:space="0" w:color="auto"/>
                <w:right w:val="none" w:sz="0" w:space="0" w:color="auto"/>
              </w:divBdr>
            </w:div>
          </w:divsChild>
        </w:div>
        <w:div w:id="1623075237">
          <w:marLeft w:val="0"/>
          <w:marRight w:val="0"/>
          <w:marTop w:val="0"/>
          <w:marBottom w:val="0"/>
          <w:divBdr>
            <w:top w:val="none" w:sz="0" w:space="0" w:color="auto"/>
            <w:left w:val="none" w:sz="0" w:space="0" w:color="auto"/>
            <w:bottom w:val="none" w:sz="0" w:space="0" w:color="auto"/>
            <w:right w:val="none" w:sz="0" w:space="0" w:color="auto"/>
          </w:divBdr>
          <w:divsChild>
            <w:div w:id="160704360">
              <w:marLeft w:val="0"/>
              <w:marRight w:val="0"/>
              <w:marTop w:val="0"/>
              <w:marBottom w:val="0"/>
              <w:divBdr>
                <w:top w:val="none" w:sz="0" w:space="0" w:color="auto"/>
                <w:left w:val="none" w:sz="0" w:space="0" w:color="auto"/>
                <w:bottom w:val="none" w:sz="0" w:space="0" w:color="auto"/>
                <w:right w:val="none" w:sz="0" w:space="0" w:color="auto"/>
              </w:divBdr>
            </w:div>
          </w:divsChild>
        </w:div>
        <w:div w:id="1624000938">
          <w:marLeft w:val="0"/>
          <w:marRight w:val="0"/>
          <w:marTop w:val="0"/>
          <w:marBottom w:val="0"/>
          <w:divBdr>
            <w:top w:val="none" w:sz="0" w:space="0" w:color="auto"/>
            <w:left w:val="none" w:sz="0" w:space="0" w:color="auto"/>
            <w:bottom w:val="none" w:sz="0" w:space="0" w:color="auto"/>
            <w:right w:val="none" w:sz="0" w:space="0" w:color="auto"/>
          </w:divBdr>
          <w:divsChild>
            <w:div w:id="1672295930">
              <w:marLeft w:val="0"/>
              <w:marRight w:val="0"/>
              <w:marTop w:val="0"/>
              <w:marBottom w:val="0"/>
              <w:divBdr>
                <w:top w:val="none" w:sz="0" w:space="0" w:color="auto"/>
                <w:left w:val="none" w:sz="0" w:space="0" w:color="auto"/>
                <w:bottom w:val="none" w:sz="0" w:space="0" w:color="auto"/>
                <w:right w:val="none" w:sz="0" w:space="0" w:color="auto"/>
              </w:divBdr>
            </w:div>
          </w:divsChild>
        </w:div>
        <w:div w:id="1627932756">
          <w:marLeft w:val="0"/>
          <w:marRight w:val="0"/>
          <w:marTop w:val="0"/>
          <w:marBottom w:val="0"/>
          <w:divBdr>
            <w:top w:val="none" w:sz="0" w:space="0" w:color="auto"/>
            <w:left w:val="none" w:sz="0" w:space="0" w:color="auto"/>
            <w:bottom w:val="none" w:sz="0" w:space="0" w:color="auto"/>
            <w:right w:val="none" w:sz="0" w:space="0" w:color="auto"/>
          </w:divBdr>
          <w:divsChild>
            <w:div w:id="16346996">
              <w:marLeft w:val="0"/>
              <w:marRight w:val="0"/>
              <w:marTop w:val="0"/>
              <w:marBottom w:val="0"/>
              <w:divBdr>
                <w:top w:val="none" w:sz="0" w:space="0" w:color="auto"/>
                <w:left w:val="none" w:sz="0" w:space="0" w:color="auto"/>
                <w:bottom w:val="none" w:sz="0" w:space="0" w:color="auto"/>
                <w:right w:val="none" w:sz="0" w:space="0" w:color="auto"/>
              </w:divBdr>
            </w:div>
          </w:divsChild>
        </w:div>
        <w:div w:id="1629242025">
          <w:marLeft w:val="0"/>
          <w:marRight w:val="0"/>
          <w:marTop w:val="0"/>
          <w:marBottom w:val="0"/>
          <w:divBdr>
            <w:top w:val="none" w:sz="0" w:space="0" w:color="auto"/>
            <w:left w:val="none" w:sz="0" w:space="0" w:color="auto"/>
            <w:bottom w:val="none" w:sz="0" w:space="0" w:color="auto"/>
            <w:right w:val="none" w:sz="0" w:space="0" w:color="auto"/>
          </w:divBdr>
          <w:divsChild>
            <w:div w:id="1945573183">
              <w:marLeft w:val="0"/>
              <w:marRight w:val="0"/>
              <w:marTop w:val="0"/>
              <w:marBottom w:val="0"/>
              <w:divBdr>
                <w:top w:val="none" w:sz="0" w:space="0" w:color="auto"/>
                <w:left w:val="none" w:sz="0" w:space="0" w:color="auto"/>
                <w:bottom w:val="none" w:sz="0" w:space="0" w:color="auto"/>
                <w:right w:val="none" w:sz="0" w:space="0" w:color="auto"/>
              </w:divBdr>
            </w:div>
          </w:divsChild>
        </w:div>
        <w:div w:id="1639653793">
          <w:marLeft w:val="0"/>
          <w:marRight w:val="0"/>
          <w:marTop w:val="0"/>
          <w:marBottom w:val="0"/>
          <w:divBdr>
            <w:top w:val="none" w:sz="0" w:space="0" w:color="auto"/>
            <w:left w:val="none" w:sz="0" w:space="0" w:color="auto"/>
            <w:bottom w:val="none" w:sz="0" w:space="0" w:color="auto"/>
            <w:right w:val="none" w:sz="0" w:space="0" w:color="auto"/>
          </w:divBdr>
          <w:divsChild>
            <w:div w:id="611981483">
              <w:marLeft w:val="0"/>
              <w:marRight w:val="0"/>
              <w:marTop w:val="0"/>
              <w:marBottom w:val="0"/>
              <w:divBdr>
                <w:top w:val="none" w:sz="0" w:space="0" w:color="auto"/>
                <w:left w:val="none" w:sz="0" w:space="0" w:color="auto"/>
                <w:bottom w:val="none" w:sz="0" w:space="0" w:color="auto"/>
                <w:right w:val="none" w:sz="0" w:space="0" w:color="auto"/>
              </w:divBdr>
            </w:div>
          </w:divsChild>
        </w:div>
        <w:div w:id="1656762849">
          <w:marLeft w:val="0"/>
          <w:marRight w:val="0"/>
          <w:marTop w:val="0"/>
          <w:marBottom w:val="0"/>
          <w:divBdr>
            <w:top w:val="none" w:sz="0" w:space="0" w:color="auto"/>
            <w:left w:val="none" w:sz="0" w:space="0" w:color="auto"/>
            <w:bottom w:val="none" w:sz="0" w:space="0" w:color="auto"/>
            <w:right w:val="none" w:sz="0" w:space="0" w:color="auto"/>
          </w:divBdr>
          <w:divsChild>
            <w:div w:id="1327324839">
              <w:marLeft w:val="0"/>
              <w:marRight w:val="0"/>
              <w:marTop w:val="0"/>
              <w:marBottom w:val="0"/>
              <w:divBdr>
                <w:top w:val="none" w:sz="0" w:space="0" w:color="auto"/>
                <w:left w:val="none" w:sz="0" w:space="0" w:color="auto"/>
                <w:bottom w:val="none" w:sz="0" w:space="0" w:color="auto"/>
                <w:right w:val="none" w:sz="0" w:space="0" w:color="auto"/>
              </w:divBdr>
            </w:div>
          </w:divsChild>
        </w:div>
        <w:div w:id="1660572656">
          <w:marLeft w:val="0"/>
          <w:marRight w:val="0"/>
          <w:marTop w:val="0"/>
          <w:marBottom w:val="0"/>
          <w:divBdr>
            <w:top w:val="none" w:sz="0" w:space="0" w:color="auto"/>
            <w:left w:val="none" w:sz="0" w:space="0" w:color="auto"/>
            <w:bottom w:val="none" w:sz="0" w:space="0" w:color="auto"/>
            <w:right w:val="none" w:sz="0" w:space="0" w:color="auto"/>
          </w:divBdr>
          <w:divsChild>
            <w:div w:id="1689672116">
              <w:marLeft w:val="0"/>
              <w:marRight w:val="0"/>
              <w:marTop w:val="0"/>
              <w:marBottom w:val="0"/>
              <w:divBdr>
                <w:top w:val="none" w:sz="0" w:space="0" w:color="auto"/>
                <w:left w:val="none" w:sz="0" w:space="0" w:color="auto"/>
                <w:bottom w:val="none" w:sz="0" w:space="0" w:color="auto"/>
                <w:right w:val="none" w:sz="0" w:space="0" w:color="auto"/>
              </w:divBdr>
            </w:div>
          </w:divsChild>
        </w:div>
        <w:div w:id="1666779439">
          <w:marLeft w:val="0"/>
          <w:marRight w:val="0"/>
          <w:marTop w:val="0"/>
          <w:marBottom w:val="0"/>
          <w:divBdr>
            <w:top w:val="none" w:sz="0" w:space="0" w:color="auto"/>
            <w:left w:val="none" w:sz="0" w:space="0" w:color="auto"/>
            <w:bottom w:val="none" w:sz="0" w:space="0" w:color="auto"/>
            <w:right w:val="none" w:sz="0" w:space="0" w:color="auto"/>
          </w:divBdr>
          <w:divsChild>
            <w:div w:id="1543011599">
              <w:marLeft w:val="0"/>
              <w:marRight w:val="0"/>
              <w:marTop w:val="0"/>
              <w:marBottom w:val="0"/>
              <w:divBdr>
                <w:top w:val="none" w:sz="0" w:space="0" w:color="auto"/>
                <w:left w:val="none" w:sz="0" w:space="0" w:color="auto"/>
                <w:bottom w:val="none" w:sz="0" w:space="0" w:color="auto"/>
                <w:right w:val="none" w:sz="0" w:space="0" w:color="auto"/>
              </w:divBdr>
            </w:div>
          </w:divsChild>
        </w:div>
        <w:div w:id="1666786060">
          <w:marLeft w:val="0"/>
          <w:marRight w:val="0"/>
          <w:marTop w:val="0"/>
          <w:marBottom w:val="0"/>
          <w:divBdr>
            <w:top w:val="none" w:sz="0" w:space="0" w:color="auto"/>
            <w:left w:val="none" w:sz="0" w:space="0" w:color="auto"/>
            <w:bottom w:val="none" w:sz="0" w:space="0" w:color="auto"/>
            <w:right w:val="none" w:sz="0" w:space="0" w:color="auto"/>
          </w:divBdr>
          <w:divsChild>
            <w:div w:id="1149127337">
              <w:marLeft w:val="0"/>
              <w:marRight w:val="0"/>
              <w:marTop w:val="0"/>
              <w:marBottom w:val="0"/>
              <w:divBdr>
                <w:top w:val="none" w:sz="0" w:space="0" w:color="auto"/>
                <w:left w:val="none" w:sz="0" w:space="0" w:color="auto"/>
                <w:bottom w:val="none" w:sz="0" w:space="0" w:color="auto"/>
                <w:right w:val="none" w:sz="0" w:space="0" w:color="auto"/>
              </w:divBdr>
            </w:div>
          </w:divsChild>
        </w:div>
        <w:div w:id="1667198337">
          <w:marLeft w:val="0"/>
          <w:marRight w:val="0"/>
          <w:marTop w:val="0"/>
          <w:marBottom w:val="0"/>
          <w:divBdr>
            <w:top w:val="none" w:sz="0" w:space="0" w:color="auto"/>
            <w:left w:val="none" w:sz="0" w:space="0" w:color="auto"/>
            <w:bottom w:val="none" w:sz="0" w:space="0" w:color="auto"/>
            <w:right w:val="none" w:sz="0" w:space="0" w:color="auto"/>
          </w:divBdr>
          <w:divsChild>
            <w:div w:id="1918710436">
              <w:marLeft w:val="0"/>
              <w:marRight w:val="0"/>
              <w:marTop w:val="0"/>
              <w:marBottom w:val="0"/>
              <w:divBdr>
                <w:top w:val="none" w:sz="0" w:space="0" w:color="auto"/>
                <w:left w:val="none" w:sz="0" w:space="0" w:color="auto"/>
                <w:bottom w:val="none" w:sz="0" w:space="0" w:color="auto"/>
                <w:right w:val="none" w:sz="0" w:space="0" w:color="auto"/>
              </w:divBdr>
            </w:div>
          </w:divsChild>
        </w:div>
        <w:div w:id="1674338213">
          <w:marLeft w:val="0"/>
          <w:marRight w:val="0"/>
          <w:marTop w:val="0"/>
          <w:marBottom w:val="0"/>
          <w:divBdr>
            <w:top w:val="none" w:sz="0" w:space="0" w:color="auto"/>
            <w:left w:val="none" w:sz="0" w:space="0" w:color="auto"/>
            <w:bottom w:val="none" w:sz="0" w:space="0" w:color="auto"/>
            <w:right w:val="none" w:sz="0" w:space="0" w:color="auto"/>
          </w:divBdr>
          <w:divsChild>
            <w:div w:id="683167342">
              <w:marLeft w:val="0"/>
              <w:marRight w:val="0"/>
              <w:marTop w:val="0"/>
              <w:marBottom w:val="0"/>
              <w:divBdr>
                <w:top w:val="none" w:sz="0" w:space="0" w:color="auto"/>
                <w:left w:val="none" w:sz="0" w:space="0" w:color="auto"/>
                <w:bottom w:val="none" w:sz="0" w:space="0" w:color="auto"/>
                <w:right w:val="none" w:sz="0" w:space="0" w:color="auto"/>
              </w:divBdr>
            </w:div>
          </w:divsChild>
        </w:div>
        <w:div w:id="1687290432">
          <w:marLeft w:val="0"/>
          <w:marRight w:val="0"/>
          <w:marTop w:val="0"/>
          <w:marBottom w:val="0"/>
          <w:divBdr>
            <w:top w:val="none" w:sz="0" w:space="0" w:color="auto"/>
            <w:left w:val="none" w:sz="0" w:space="0" w:color="auto"/>
            <w:bottom w:val="none" w:sz="0" w:space="0" w:color="auto"/>
            <w:right w:val="none" w:sz="0" w:space="0" w:color="auto"/>
          </w:divBdr>
          <w:divsChild>
            <w:div w:id="2070380045">
              <w:marLeft w:val="0"/>
              <w:marRight w:val="0"/>
              <w:marTop w:val="0"/>
              <w:marBottom w:val="0"/>
              <w:divBdr>
                <w:top w:val="none" w:sz="0" w:space="0" w:color="auto"/>
                <w:left w:val="none" w:sz="0" w:space="0" w:color="auto"/>
                <w:bottom w:val="none" w:sz="0" w:space="0" w:color="auto"/>
                <w:right w:val="none" w:sz="0" w:space="0" w:color="auto"/>
              </w:divBdr>
            </w:div>
          </w:divsChild>
        </w:div>
        <w:div w:id="1689677200">
          <w:marLeft w:val="0"/>
          <w:marRight w:val="0"/>
          <w:marTop w:val="0"/>
          <w:marBottom w:val="0"/>
          <w:divBdr>
            <w:top w:val="none" w:sz="0" w:space="0" w:color="auto"/>
            <w:left w:val="none" w:sz="0" w:space="0" w:color="auto"/>
            <w:bottom w:val="none" w:sz="0" w:space="0" w:color="auto"/>
            <w:right w:val="none" w:sz="0" w:space="0" w:color="auto"/>
          </w:divBdr>
          <w:divsChild>
            <w:div w:id="782263969">
              <w:marLeft w:val="0"/>
              <w:marRight w:val="0"/>
              <w:marTop w:val="0"/>
              <w:marBottom w:val="0"/>
              <w:divBdr>
                <w:top w:val="none" w:sz="0" w:space="0" w:color="auto"/>
                <w:left w:val="none" w:sz="0" w:space="0" w:color="auto"/>
                <w:bottom w:val="none" w:sz="0" w:space="0" w:color="auto"/>
                <w:right w:val="none" w:sz="0" w:space="0" w:color="auto"/>
              </w:divBdr>
            </w:div>
          </w:divsChild>
        </w:div>
        <w:div w:id="1690449383">
          <w:marLeft w:val="0"/>
          <w:marRight w:val="0"/>
          <w:marTop w:val="0"/>
          <w:marBottom w:val="0"/>
          <w:divBdr>
            <w:top w:val="none" w:sz="0" w:space="0" w:color="auto"/>
            <w:left w:val="none" w:sz="0" w:space="0" w:color="auto"/>
            <w:bottom w:val="none" w:sz="0" w:space="0" w:color="auto"/>
            <w:right w:val="none" w:sz="0" w:space="0" w:color="auto"/>
          </w:divBdr>
          <w:divsChild>
            <w:div w:id="156187381">
              <w:marLeft w:val="0"/>
              <w:marRight w:val="0"/>
              <w:marTop w:val="0"/>
              <w:marBottom w:val="0"/>
              <w:divBdr>
                <w:top w:val="none" w:sz="0" w:space="0" w:color="auto"/>
                <w:left w:val="none" w:sz="0" w:space="0" w:color="auto"/>
                <w:bottom w:val="none" w:sz="0" w:space="0" w:color="auto"/>
                <w:right w:val="none" w:sz="0" w:space="0" w:color="auto"/>
              </w:divBdr>
            </w:div>
          </w:divsChild>
        </w:div>
        <w:div w:id="1709142159">
          <w:marLeft w:val="0"/>
          <w:marRight w:val="0"/>
          <w:marTop w:val="0"/>
          <w:marBottom w:val="0"/>
          <w:divBdr>
            <w:top w:val="none" w:sz="0" w:space="0" w:color="auto"/>
            <w:left w:val="none" w:sz="0" w:space="0" w:color="auto"/>
            <w:bottom w:val="none" w:sz="0" w:space="0" w:color="auto"/>
            <w:right w:val="none" w:sz="0" w:space="0" w:color="auto"/>
          </w:divBdr>
          <w:divsChild>
            <w:div w:id="529613758">
              <w:marLeft w:val="0"/>
              <w:marRight w:val="0"/>
              <w:marTop w:val="0"/>
              <w:marBottom w:val="0"/>
              <w:divBdr>
                <w:top w:val="none" w:sz="0" w:space="0" w:color="auto"/>
                <w:left w:val="none" w:sz="0" w:space="0" w:color="auto"/>
                <w:bottom w:val="none" w:sz="0" w:space="0" w:color="auto"/>
                <w:right w:val="none" w:sz="0" w:space="0" w:color="auto"/>
              </w:divBdr>
            </w:div>
          </w:divsChild>
        </w:div>
        <w:div w:id="1749108677">
          <w:marLeft w:val="0"/>
          <w:marRight w:val="0"/>
          <w:marTop w:val="0"/>
          <w:marBottom w:val="0"/>
          <w:divBdr>
            <w:top w:val="none" w:sz="0" w:space="0" w:color="auto"/>
            <w:left w:val="none" w:sz="0" w:space="0" w:color="auto"/>
            <w:bottom w:val="none" w:sz="0" w:space="0" w:color="auto"/>
            <w:right w:val="none" w:sz="0" w:space="0" w:color="auto"/>
          </w:divBdr>
          <w:divsChild>
            <w:div w:id="977682145">
              <w:marLeft w:val="0"/>
              <w:marRight w:val="0"/>
              <w:marTop w:val="0"/>
              <w:marBottom w:val="0"/>
              <w:divBdr>
                <w:top w:val="none" w:sz="0" w:space="0" w:color="auto"/>
                <w:left w:val="none" w:sz="0" w:space="0" w:color="auto"/>
                <w:bottom w:val="none" w:sz="0" w:space="0" w:color="auto"/>
                <w:right w:val="none" w:sz="0" w:space="0" w:color="auto"/>
              </w:divBdr>
            </w:div>
          </w:divsChild>
        </w:div>
        <w:div w:id="1756055506">
          <w:marLeft w:val="0"/>
          <w:marRight w:val="0"/>
          <w:marTop w:val="0"/>
          <w:marBottom w:val="0"/>
          <w:divBdr>
            <w:top w:val="none" w:sz="0" w:space="0" w:color="auto"/>
            <w:left w:val="none" w:sz="0" w:space="0" w:color="auto"/>
            <w:bottom w:val="none" w:sz="0" w:space="0" w:color="auto"/>
            <w:right w:val="none" w:sz="0" w:space="0" w:color="auto"/>
          </w:divBdr>
          <w:divsChild>
            <w:div w:id="422578950">
              <w:marLeft w:val="0"/>
              <w:marRight w:val="0"/>
              <w:marTop w:val="0"/>
              <w:marBottom w:val="0"/>
              <w:divBdr>
                <w:top w:val="none" w:sz="0" w:space="0" w:color="auto"/>
                <w:left w:val="none" w:sz="0" w:space="0" w:color="auto"/>
                <w:bottom w:val="none" w:sz="0" w:space="0" w:color="auto"/>
                <w:right w:val="none" w:sz="0" w:space="0" w:color="auto"/>
              </w:divBdr>
            </w:div>
          </w:divsChild>
        </w:div>
        <w:div w:id="1758862112">
          <w:marLeft w:val="0"/>
          <w:marRight w:val="0"/>
          <w:marTop w:val="0"/>
          <w:marBottom w:val="0"/>
          <w:divBdr>
            <w:top w:val="none" w:sz="0" w:space="0" w:color="auto"/>
            <w:left w:val="none" w:sz="0" w:space="0" w:color="auto"/>
            <w:bottom w:val="none" w:sz="0" w:space="0" w:color="auto"/>
            <w:right w:val="none" w:sz="0" w:space="0" w:color="auto"/>
          </w:divBdr>
          <w:divsChild>
            <w:div w:id="1930850198">
              <w:marLeft w:val="0"/>
              <w:marRight w:val="0"/>
              <w:marTop w:val="0"/>
              <w:marBottom w:val="0"/>
              <w:divBdr>
                <w:top w:val="none" w:sz="0" w:space="0" w:color="auto"/>
                <w:left w:val="none" w:sz="0" w:space="0" w:color="auto"/>
                <w:bottom w:val="none" w:sz="0" w:space="0" w:color="auto"/>
                <w:right w:val="none" w:sz="0" w:space="0" w:color="auto"/>
              </w:divBdr>
            </w:div>
          </w:divsChild>
        </w:div>
        <w:div w:id="1762094519">
          <w:marLeft w:val="0"/>
          <w:marRight w:val="0"/>
          <w:marTop w:val="0"/>
          <w:marBottom w:val="0"/>
          <w:divBdr>
            <w:top w:val="none" w:sz="0" w:space="0" w:color="auto"/>
            <w:left w:val="none" w:sz="0" w:space="0" w:color="auto"/>
            <w:bottom w:val="none" w:sz="0" w:space="0" w:color="auto"/>
            <w:right w:val="none" w:sz="0" w:space="0" w:color="auto"/>
          </w:divBdr>
          <w:divsChild>
            <w:div w:id="2094352949">
              <w:marLeft w:val="0"/>
              <w:marRight w:val="0"/>
              <w:marTop w:val="0"/>
              <w:marBottom w:val="0"/>
              <w:divBdr>
                <w:top w:val="none" w:sz="0" w:space="0" w:color="auto"/>
                <w:left w:val="none" w:sz="0" w:space="0" w:color="auto"/>
                <w:bottom w:val="none" w:sz="0" w:space="0" w:color="auto"/>
                <w:right w:val="none" w:sz="0" w:space="0" w:color="auto"/>
              </w:divBdr>
            </w:div>
          </w:divsChild>
        </w:div>
        <w:div w:id="1780685045">
          <w:marLeft w:val="0"/>
          <w:marRight w:val="0"/>
          <w:marTop w:val="0"/>
          <w:marBottom w:val="0"/>
          <w:divBdr>
            <w:top w:val="none" w:sz="0" w:space="0" w:color="auto"/>
            <w:left w:val="none" w:sz="0" w:space="0" w:color="auto"/>
            <w:bottom w:val="none" w:sz="0" w:space="0" w:color="auto"/>
            <w:right w:val="none" w:sz="0" w:space="0" w:color="auto"/>
          </w:divBdr>
          <w:divsChild>
            <w:div w:id="1431899483">
              <w:marLeft w:val="0"/>
              <w:marRight w:val="0"/>
              <w:marTop w:val="0"/>
              <w:marBottom w:val="0"/>
              <w:divBdr>
                <w:top w:val="none" w:sz="0" w:space="0" w:color="auto"/>
                <w:left w:val="none" w:sz="0" w:space="0" w:color="auto"/>
                <w:bottom w:val="none" w:sz="0" w:space="0" w:color="auto"/>
                <w:right w:val="none" w:sz="0" w:space="0" w:color="auto"/>
              </w:divBdr>
            </w:div>
          </w:divsChild>
        </w:div>
        <w:div w:id="1786189207">
          <w:marLeft w:val="0"/>
          <w:marRight w:val="0"/>
          <w:marTop w:val="0"/>
          <w:marBottom w:val="0"/>
          <w:divBdr>
            <w:top w:val="none" w:sz="0" w:space="0" w:color="auto"/>
            <w:left w:val="none" w:sz="0" w:space="0" w:color="auto"/>
            <w:bottom w:val="none" w:sz="0" w:space="0" w:color="auto"/>
            <w:right w:val="none" w:sz="0" w:space="0" w:color="auto"/>
          </w:divBdr>
          <w:divsChild>
            <w:div w:id="569998741">
              <w:marLeft w:val="0"/>
              <w:marRight w:val="0"/>
              <w:marTop w:val="0"/>
              <w:marBottom w:val="0"/>
              <w:divBdr>
                <w:top w:val="none" w:sz="0" w:space="0" w:color="auto"/>
                <w:left w:val="none" w:sz="0" w:space="0" w:color="auto"/>
                <w:bottom w:val="none" w:sz="0" w:space="0" w:color="auto"/>
                <w:right w:val="none" w:sz="0" w:space="0" w:color="auto"/>
              </w:divBdr>
            </w:div>
          </w:divsChild>
        </w:div>
        <w:div w:id="1793792332">
          <w:marLeft w:val="0"/>
          <w:marRight w:val="0"/>
          <w:marTop w:val="0"/>
          <w:marBottom w:val="0"/>
          <w:divBdr>
            <w:top w:val="none" w:sz="0" w:space="0" w:color="auto"/>
            <w:left w:val="none" w:sz="0" w:space="0" w:color="auto"/>
            <w:bottom w:val="none" w:sz="0" w:space="0" w:color="auto"/>
            <w:right w:val="none" w:sz="0" w:space="0" w:color="auto"/>
          </w:divBdr>
          <w:divsChild>
            <w:div w:id="1344892074">
              <w:marLeft w:val="0"/>
              <w:marRight w:val="0"/>
              <w:marTop w:val="0"/>
              <w:marBottom w:val="0"/>
              <w:divBdr>
                <w:top w:val="none" w:sz="0" w:space="0" w:color="auto"/>
                <w:left w:val="none" w:sz="0" w:space="0" w:color="auto"/>
                <w:bottom w:val="none" w:sz="0" w:space="0" w:color="auto"/>
                <w:right w:val="none" w:sz="0" w:space="0" w:color="auto"/>
              </w:divBdr>
            </w:div>
          </w:divsChild>
        </w:div>
        <w:div w:id="1804737779">
          <w:marLeft w:val="0"/>
          <w:marRight w:val="0"/>
          <w:marTop w:val="0"/>
          <w:marBottom w:val="0"/>
          <w:divBdr>
            <w:top w:val="none" w:sz="0" w:space="0" w:color="auto"/>
            <w:left w:val="none" w:sz="0" w:space="0" w:color="auto"/>
            <w:bottom w:val="none" w:sz="0" w:space="0" w:color="auto"/>
            <w:right w:val="none" w:sz="0" w:space="0" w:color="auto"/>
          </w:divBdr>
          <w:divsChild>
            <w:div w:id="1929657404">
              <w:marLeft w:val="0"/>
              <w:marRight w:val="0"/>
              <w:marTop w:val="0"/>
              <w:marBottom w:val="0"/>
              <w:divBdr>
                <w:top w:val="none" w:sz="0" w:space="0" w:color="auto"/>
                <w:left w:val="none" w:sz="0" w:space="0" w:color="auto"/>
                <w:bottom w:val="none" w:sz="0" w:space="0" w:color="auto"/>
                <w:right w:val="none" w:sz="0" w:space="0" w:color="auto"/>
              </w:divBdr>
            </w:div>
          </w:divsChild>
        </w:div>
        <w:div w:id="1831097868">
          <w:marLeft w:val="0"/>
          <w:marRight w:val="0"/>
          <w:marTop w:val="0"/>
          <w:marBottom w:val="0"/>
          <w:divBdr>
            <w:top w:val="none" w:sz="0" w:space="0" w:color="auto"/>
            <w:left w:val="none" w:sz="0" w:space="0" w:color="auto"/>
            <w:bottom w:val="none" w:sz="0" w:space="0" w:color="auto"/>
            <w:right w:val="none" w:sz="0" w:space="0" w:color="auto"/>
          </w:divBdr>
          <w:divsChild>
            <w:div w:id="1978997931">
              <w:marLeft w:val="0"/>
              <w:marRight w:val="0"/>
              <w:marTop w:val="0"/>
              <w:marBottom w:val="0"/>
              <w:divBdr>
                <w:top w:val="none" w:sz="0" w:space="0" w:color="auto"/>
                <w:left w:val="none" w:sz="0" w:space="0" w:color="auto"/>
                <w:bottom w:val="none" w:sz="0" w:space="0" w:color="auto"/>
                <w:right w:val="none" w:sz="0" w:space="0" w:color="auto"/>
              </w:divBdr>
            </w:div>
          </w:divsChild>
        </w:div>
        <w:div w:id="1839691764">
          <w:marLeft w:val="0"/>
          <w:marRight w:val="0"/>
          <w:marTop w:val="0"/>
          <w:marBottom w:val="0"/>
          <w:divBdr>
            <w:top w:val="none" w:sz="0" w:space="0" w:color="auto"/>
            <w:left w:val="none" w:sz="0" w:space="0" w:color="auto"/>
            <w:bottom w:val="none" w:sz="0" w:space="0" w:color="auto"/>
            <w:right w:val="none" w:sz="0" w:space="0" w:color="auto"/>
          </w:divBdr>
          <w:divsChild>
            <w:div w:id="1006135703">
              <w:marLeft w:val="0"/>
              <w:marRight w:val="0"/>
              <w:marTop w:val="0"/>
              <w:marBottom w:val="0"/>
              <w:divBdr>
                <w:top w:val="none" w:sz="0" w:space="0" w:color="auto"/>
                <w:left w:val="none" w:sz="0" w:space="0" w:color="auto"/>
                <w:bottom w:val="none" w:sz="0" w:space="0" w:color="auto"/>
                <w:right w:val="none" w:sz="0" w:space="0" w:color="auto"/>
              </w:divBdr>
            </w:div>
          </w:divsChild>
        </w:div>
        <w:div w:id="1841306499">
          <w:marLeft w:val="0"/>
          <w:marRight w:val="0"/>
          <w:marTop w:val="0"/>
          <w:marBottom w:val="0"/>
          <w:divBdr>
            <w:top w:val="none" w:sz="0" w:space="0" w:color="auto"/>
            <w:left w:val="none" w:sz="0" w:space="0" w:color="auto"/>
            <w:bottom w:val="none" w:sz="0" w:space="0" w:color="auto"/>
            <w:right w:val="none" w:sz="0" w:space="0" w:color="auto"/>
          </w:divBdr>
          <w:divsChild>
            <w:div w:id="1034816556">
              <w:marLeft w:val="0"/>
              <w:marRight w:val="0"/>
              <w:marTop w:val="0"/>
              <w:marBottom w:val="0"/>
              <w:divBdr>
                <w:top w:val="none" w:sz="0" w:space="0" w:color="auto"/>
                <w:left w:val="none" w:sz="0" w:space="0" w:color="auto"/>
                <w:bottom w:val="none" w:sz="0" w:space="0" w:color="auto"/>
                <w:right w:val="none" w:sz="0" w:space="0" w:color="auto"/>
              </w:divBdr>
            </w:div>
          </w:divsChild>
        </w:div>
        <w:div w:id="1858034941">
          <w:marLeft w:val="0"/>
          <w:marRight w:val="0"/>
          <w:marTop w:val="0"/>
          <w:marBottom w:val="0"/>
          <w:divBdr>
            <w:top w:val="none" w:sz="0" w:space="0" w:color="auto"/>
            <w:left w:val="none" w:sz="0" w:space="0" w:color="auto"/>
            <w:bottom w:val="none" w:sz="0" w:space="0" w:color="auto"/>
            <w:right w:val="none" w:sz="0" w:space="0" w:color="auto"/>
          </w:divBdr>
          <w:divsChild>
            <w:div w:id="1816945147">
              <w:marLeft w:val="0"/>
              <w:marRight w:val="0"/>
              <w:marTop w:val="0"/>
              <w:marBottom w:val="0"/>
              <w:divBdr>
                <w:top w:val="none" w:sz="0" w:space="0" w:color="auto"/>
                <w:left w:val="none" w:sz="0" w:space="0" w:color="auto"/>
                <w:bottom w:val="none" w:sz="0" w:space="0" w:color="auto"/>
                <w:right w:val="none" w:sz="0" w:space="0" w:color="auto"/>
              </w:divBdr>
            </w:div>
          </w:divsChild>
        </w:div>
        <w:div w:id="1863586935">
          <w:marLeft w:val="0"/>
          <w:marRight w:val="0"/>
          <w:marTop w:val="0"/>
          <w:marBottom w:val="0"/>
          <w:divBdr>
            <w:top w:val="none" w:sz="0" w:space="0" w:color="auto"/>
            <w:left w:val="none" w:sz="0" w:space="0" w:color="auto"/>
            <w:bottom w:val="none" w:sz="0" w:space="0" w:color="auto"/>
            <w:right w:val="none" w:sz="0" w:space="0" w:color="auto"/>
          </w:divBdr>
          <w:divsChild>
            <w:div w:id="906846424">
              <w:marLeft w:val="0"/>
              <w:marRight w:val="0"/>
              <w:marTop w:val="0"/>
              <w:marBottom w:val="0"/>
              <w:divBdr>
                <w:top w:val="none" w:sz="0" w:space="0" w:color="auto"/>
                <w:left w:val="none" w:sz="0" w:space="0" w:color="auto"/>
                <w:bottom w:val="none" w:sz="0" w:space="0" w:color="auto"/>
                <w:right w:val="none" w:sz="0" w:space="0" w:color="auto"/>
              </w:divBdr>
            </w:div>
          </w:divsChild>
        </w:div>
        <w:div w:id="1864125667">
          <w:marLeft w:val="0"/>
          <w:marRight w:val="0"/>
          <w:marTop w:val="0"/>
          <w:marBottom w:val="0"/>
          <w:divBdr>
            <w:top w:val="none" w:sz="0" w:space="0" w:color="auto"/>
            <w:left w:val="none" w:sz="0" w:space="0" w:color="auto"/>
            <w:bottom w:val="none" w:sz="0" w:space="0" w:color="auto"/>
            <w:right w:val="none" w:sz="0" w:space="0" w:color="auto"/>
          </w:divBdr>
          <w:divsChild>
            <w:div w:id="1944874708">
              <w:marLeft w:val="0"/>
              <w:marRight w:val="0"/>
              <w:marTop w:val="0"/>
              <w:marBottom w:val="0"/>
              <w:divBdr>
                <w:top w:val="none" w:sz="0" w:space="0" w:color="auto"/>
                <w:left w:val="none" w:sz="0" w:space="0" w:color="auto"/>
                <w:bottom w:val="none" w:sz="0" w:space="0" w:color="auto"/>
                <w:right w:val="none" w:sz="0" w:space="0" w:color="auto"/>
              </w:divBdr>
            </w:div>
          </w:divsChild>
        </w:div>
        <w:div w:id="1870291331">
          <w:marLeft w:val="0"/>
          <w:marRight w:val="0"/>
          <w:marTop w:val="0"/>
          <w:marBottom w:val="0"/>
          <w:divBdr>
            <w:top w:val="none" w:sz="0" w:space="0" w:color="auto"/>
            <w:left w:val="none" w:sz="0" w:space="0" w:color="auto"/>
            <w:bottom w:val="none" w:sz="0" w:space="0" w:color="auto"/>
            <w:right w:val="none" w:sz="0" w:space="0" w:color="auto"/>
          </w:divBdr>
          <w:divsChild>
            <w:div w:id="2129739760">
              <w:marLeft w:val="0"/>
              <w:marRight w:val="0"/>
              <w:marTop w:val="0"/>
              <w:marBottom w:val="0"/>
              <w:divBdr>
                <w:top w:val="none" w:sz="0" w:space="0" w:color="auto"/>
                <w:left w:val="none" w:sz="0" w:space="0" w:color="auto"/>
                <w:bottom w:val="none" w:sz="0" w:space="0" w:color="auto"/>
                <w:right w:val="none" w:sz="0" w:space="0" w:color="auto"/>
              </w:divBdr>
            </w:div>
          </w:divsChild>
        </w:div>
        <w:div w:id="1874077066">
          <w:marLeft w:val="0"/>
          <w:marRight w:val="0"/>
          <w:marTop w:val="0"/>
          <w:marBottom w:val="0"/>
          <w:divBdr>
            <w:top w:val="none" w:sz="0" w:space="0" w:color="auto"/>
            <w:left w:val="none" w:sz="0" w:space="0" w:color="auto"/>
            <w:bottom w:val="none" w:sz="0" w:space="0" w:color="auto"/>
            <w:right w:val="none" w:sz="0" w:space="0" w:color="auto"/>
          </w:divBdr>
          <w:divsChild>
            <w:div w:id="1316374736">
              <w:marLeft w:val="0"/>
              <w:marRight w:val="0"/>
              <w:marTop w:val="0"/>
              <w:marBottom w:val="0"/>
              <w:divBdr>
                <w:top w:val="none" w:sz="0" w:space="0" w:color="auto"/>
                <w:left w:val="none" w:sz="0" w:space="0" w:color="auto"/>
                <w:bottom w:val="none" w:sz="0" w:space="0" w:color="auto"/>
                <w:right w:val="none" w:sz="0" w:space="0" w:color="auto"/>
              </w:divBdr>
            </w:div>
          </w:divsChild>
        </w:div>
        <w:div w:id="1880584046">
          <w:marLeft w:val="0"/>
          <w:marRight w:val="0"/>
          <w:marTop w:val="0"/>
          <w:marBottom w:val="0"/>
          <w:divBdr>
            <w:top w:val="none" w:sz="0" w:space="0" w:color="auto"/>
            <w:left w:val="none" w:sz="0" w:space="0" w:color="auto"/>
            <w:bottom w:val="none" w:sz="0" w:space="0" w:color="auto"/>
            <w:right w:val="none" w:sz="0" w:space="0" w:color="auto"/>
          </w:divBdr>
          <w:divsChild>
            <w:div w:id="317274773">
              <w:marLeft w:val="0"/>
              <w:marRight w:val="0"/>
              <w:marTop w:val="0"/>
              <w:marBottom w:val="0"/>
              <w:divBdr>
                <w:top w:val="none" w:sz="0" w:space="0" w:color="auto"/>
                <w:left w:val="none" w:sz="0" w:space="0" w:color="auto"/>
                <w:bottom w:val="none" w:sz="0" w:space="0" w:color="auto"/>
                <w:right w:val="none" w:sz="0" w:space="0" w:color="auto"/>
              </w:divBdr>
            </w:div>
          </w:divsChild>
        </w:div>
        <w:div w:id="1883400327">
          <w:marLeft w:val="0"/>
          <w:marRight w:val="0"/>
          <w:marTop w:val="0"/>
          <w:marBottom w:val="0"/>
          <w:divBdr>
            <w:top w:val="none" w:sz="0" w:space="0" w:color="auto"/>
            <w:left w:val="none" w:sz="0" w:space="0" w:color="auto"/>
            <w:bottom w:val="none" w:sz="0" w:space="0" w:color="auto"/>
            <w:right w:val="none" w:sz="0" w:space="0" w:color="auto"/>
          </w:divBdr>
          <w:divsChild>
            <w:div w:id="20208215">
              <w:marLeft w:val="0"/>
              <w:marRight w:val="0"/>
              <w:marTop w:val="0"/>
              <w:marBottom w:val="0"/>
              <w:divBdr>
                <w:top w:val="none" w:sz="0" w:space="0" w:color="auto"/>
                <w:left w:val="none" w:sz="0" w:space="0" w:color="auto"/>
                <w:bottom w:val="none" w:sz="0" w:space="0" w:color="auto"/>
                <w:right w:val="none" w:sz="0" w:space="0" w:color="auto"/>
              </w:divBdr>
            </w:div>
          </w:divsChild>
        </w:div>
        <w:div w:id="1888377310">
          <w:marLeft w:val="0"/>
          <w:marRight w:val="0"/>
          <w:marTop w:val="0"/>
          <w:marBottom w:val="0"/>
          <w:divBdr>
            <w:top w:val="none" w:sz="0" w:space="0" w:color="auto"/>
            <w:left w:val="none" w:sz="0" w:space="0" w:color="auto"/>
            <w:bottom w:val="none" w:sz="0" w:space="0" w:color="auto"/>
            <w:right w:val="none" w:sz="0" w:space="0" w:color="auto"/>
          </w:divBdr>
          <w:divsChild>
            <w:div w:id="691223793">
              <w:marLeft w:val="0"/>
              <w:marRight w:val="0"/>
              <w:marTop w:val="0"/>
              <w:marBottom w:val="0"/>
              <w:divBdr>
                <w:top w:val="none" w:sz="0" w:space="0" w:color="auto"/>
                <w:left w:val="none" w:sz="0" w:space="0" w:color="auto"/>
                <w:bottom w:val="none" w:sz="0" w:space="0" w:color="auto"/>
                <w:right w:val="none" w:sz="0" w:space="0" w:color="auto"/>
              </w:divBdr>
            </w:div>
          </w:divsChild>
        </w:div>
        <w:div w:id="1897425365">
          <w:marLeft w:val="0"/>
          <w:marRight w:val="0"/>
          <w:marTop w:val="0"/>
          <w:marBottom w:val="0"/>
          <w:divBdr>
            <w:top w:val="none" w:sz="0" w:space="0" w:color="auto"/>
            <w:left w:val="none" w:sz="0" w:space="0" w:color="auto"/>
            <w:bottom w:val="none" w:sz="0" w:space="0" w:color="auto"/>
            <w:right w:val="none" w:sz="0" w:space="0" w:color="auto"/>
          </w:divBdr>
          <w:divsChild>
            <w:div w:id="301694137">
              <w:marLeft w:val="0"/>
              <w:marRight w:val="0"/>
              <w:marTop w:val="0"/>
              <w:marBottom w:val="0"/>
              <w:divBdr>
                <w:top w:val="none" w:sz="0" w:space="0" w:color="auto"/>
                <w:left w:val="none" w:sz="0" w:space="0" w:color="auto"/>
                <w:bottom w:val="none" w:sz="0" w:space="0" w:color="auto"/>
                <w:right w:val="none" w:sz="0" w:space="0" w:color="auto"/>
              </w:divBdr>
            </w:div>
          </w:divsChild>
        </w:div>
        <w:div w:id="1901667091">
          <w:marLeft w:val="0"/>
          <w:marRight w:val="0"/>
          <w:marTop w:val="0"/>
          <w:marBottom w:val="0"/>
          <w:divBdr>
            <w:top w:val="none" w:sz="0" w:space="0" w:color="auto"/>
            <w:left w:val="none" w:sz="0" w:space="0" w:color="auto"/>
            <w:bottom w:val="none" w:sz="0" w:space="0" w:color="auto"/>
            <w:right w:val="none" w:sz="0" w:space="0" w:color="auto"/>
          </w:divBdr>
          <w:divsChild>
            <w:div w:id="1183545549">
              <w:marLeft w:val="0"/>
              <w:marRight w:val="0"/>
              <w:marTop w:val="0"/>
              <w:marBottom w:val="0"/>
              <w:divBdr>
                <w:top w:val="none" w:sz="0" w:space="0" w:color="auto"/>
                <w:left w:val="none" w:sz="0" w:space="0" w:color="auto"/>
                <w:bottom w:val="none" w:sz="0" w:space="0" w:color="auto"/>
                <w:right w:val="none" w:sz="0" w:space="0" w:color="auto"/>
              </w:divBdr>
            </w:div>
          </w:divsChild>
        </w:div>
        <w:div w:id="1903245725">
          <w:marLeft w:val="0"/>
          <w:marRight w:val="0"/>
          <w:marTop w:val="0"/>
          <w:marBottom w:val="0"/>
          <w:divBdr>
            <w:top w:val="none" w:sz="0" w:space="0" w:color="auto"/>
            <w:left w:val="none" w:sz="0" w:space="0" w:color="auto"/>
            <w:bottom w:val="none" w:sz="0" w:space="0" w:color="auto"/>
            <w:right w:val="none" w:sz="0" w:space="0" w:color="auto"/>
          </w:divBdr>
          <w:divsChild>
            <w:div w:id="1450321308">
              <w:marLeft w:val="0"/>
              <w:marRight w:val="0"/>
              <w:marTop w:val="0"/>
              <w:marBottom w:val="0"/>
              <w:divBdr>
                <w:top w:val="none" w:sz="0" w:space="0" w:color="auto"/>
                <w:left w:val="none" w:sz="0" w:space="0" w:color="auto"/>
                <w:bottom w:val="none" w:sz="0" w:space="0" w:color="auto"/>
                <w:right w:val="none" w:sz="0" w:space="0" w:color="auto"/>
              </w:divBdr>
            </w:div>
          </w:divsChild>
        </w:div>
        <w:div w:id="1910261428">
          <w:marLeft w:val="0"/>
          <w:marRight w:val="0"/>
          <w:marTop w:val="0"/>
          <w:marBottom w:val="0"/>
          <w:divBdr>
            <w:top w:val="none" w:sz="0" w:space="0" w:color="auto"/>
            <w:left w:val="none" w:sz="0" w:space="0" w:color="auto"/>
            <w:bottom w:val="none" w:sz="0" w:space="0" w:color="auto"/>
            <w:right w:val="none" w:sz="0" w:space="0" w:color="auto"/>
          </w:divBdr>
          <w:divsChild>
            <w:div w:id="2025549471">
              <w:marLeft w:val="0"/>
              <w:marRight w:val="0"/>
              <w:marTop w:val="0"/>
              <w:marBottom w:val="0"/>
              <w:divBdr>
                <w:top w:val="none" w:sz="0" w:space="0" w:color="auto"/>
                <w:left w:val="none" w:sz="0" w:space="0" w:color="auto"/>
                <w:bottom w:val="none" w:sz="0" w:space="0" w:color="auto"/>
                <w:right w:val="none" w:sz="0" w:space="0" w:color="auto"/>
              </w:divBdr>
            </w:div>
          </w:divsChild>
        </w:div>
        <w:div w:id="1919244342">
          <w:marLeft w:val="0"/>
          <w:marRight w:val="0"/>
          <w:marTop w:val="0"/>
          <w:marBottom w:val="0"/>
          <w:divBdr>
            <w:top w:val="none" w:sz="0" w:space="0" w:color="auto"/>
            <w:left w:val="none" w:sz="0" w:space="0" w:color="auto"/>
            <w:bottom w:val="none" w:sz="0" w:space="0" w:color="auto"/>
            <w:right w:val="none" w:sz="0" w:space="0" w:color="auto"/>
          </w:divBdr>
          <w:divsChild>
            <w:div w:id="1874228338">
              <w:marLeft w:val="0"/>
              <w:marRight w:val="0"/>
              <w:marTop w:val="0"/>
              <w:marBottom w:val="0"/>
              <w:divBdr>
                <w:top w:val="none" w:sz="0" w:space="0" w:color="auto"/>
                <w:left w:val="none" w:sz="0" w:space="0" w:color="auto"/>
                <w:bottom w:val="none" w:sz="0" w:space="0" w:color="auto"/>
                <w:right w:val="none" w:sz="0" w:space="0" w:color="auto"/>
              </w:divBdr>
            </w:div>
          </w:divsChild>
        </w:div>
        <w:div w:id="1920210051">
          <w:marLeft w:val="0"/>
          <w:marRight w:val="0"/>
          <w:marTop w:val="0"/>
          <w:marBottom w:val="0"/>
          <w:divBdr>
            <w:top w:val="none" w:sz="0" w:space="0" w:color="auto"/>
            <w:left w:val="none" w:sz="0" w:space="0" w:color="auto"/>
            <w:bottom w:val="none" w:sz="0" w:space="0" w:color="auto"/>
            <w:right w:val="none" w:sz="0" w:space="0" w:color="auto"/>
          </w:divBdr>
          <w:divsChild>
            <w:div w:id="1474714420">
              <w:marLeft w:val="0"/>
              <w:marRight w:val="0"/>
              <w:marTop w:val="0"/>
              <w:marBottom w:val="0"/>
              <w:divBdr>
                <w:top w:val="none" w:sz="0" w:space="0" w:color="auto"/>
                <w:left w:val="none" w:sz="0" w:space="0" w:color="auto"/>
                <w:bottom w:val="none" w:sz="0" w:space="0" w:color="auto"/>
                <w:right w:val="none" w:sz="0" w:space="0" w:color="auto"/>
              </w:divBdr>
            </w:div>
          </w:divsChild>
        </w:div>
        <w:div w:id="1927225788">
          <w:marLeft w:val="0"/>
          <w:marRight w:val="0"/>
          <w:marTop w:val="0"/>
          <w:marBottom w:val="0"/>
          <w:divBdr>
            <w:top w:val="none" w:sz="0" w:space="0" w:color="auto"/>
            <w:left w:val="none" w:sz="0" w:space="0" w:color="auto"/>
            <w:bottom w:val="none" w:sz="0" w:space="0" w:color="auto"/>
            <w:right w:val="none" w:sz="0" w:space="0" w:color="auto"/>
          </w:divBdr>
          <w:divsChild>
            <w:div w:id="1368598794">
              <w:marLeft w:val="0"/>
              <w:marRight w:val="0"/>
              <w:marTop w:val="0"/>
              <w:marBottom w:val="0"/>
              <w:divBdr>
                <w:top w:val="none" w:sz="0" w:space="0" w:color="auto"/>
                <w:left w:val="none" w:sz="0" w:space="0" w:color="auto"/>
                <w:bottom w:val="none" w:sz="0" w:space="0" w:color="auto"/>
                <w:right w:val="none" w:sz="0" w:space="0" w:color="auto"/>
              </w:divBdr>
            </w:div>
          </w:divsChild>
        </w:div>
        <w:div w:id="1936479658">
          <w:marLeft w:val="0"/>
          <w:marRight w:val="0"/>
          <w:marTop w:val="0"/>
          <w:marBottom w:val="0"/>
          <w:divBdr>
            <w:top w:val="none" w:sz="0" w:space="0" w:color="auto"/>
            <w:left w:val="none" w:sz="0" w:space="0" w:color="auto"/>
            <w:bottom w:val="none" w:sz="0" w:space="0" w:color="auto"/>
            <w:right w:val="none" w:sz="0" w:space="0" w:color="auto"/>
          </w:divBdr>
          <w:divsChild>
            <w:div w:id="1179199834">
              <w:marLeft w:val="0"/>
              <w:marRight w:val="0"/>
              <w:marTop w:val="0"/>
              <w:marBottom w:val="0"/>
              <w:divBdr>
                <w:top w:val="none" w:sz="0" w:space="0" w:color="auto"/>
                <w:left w:val="none" w:sz="0" w:space="0" w:color="auto"/>
                <w:bottom w:val="none" w:sz="0" w:space="0" w:color="auto"/>
                <w:right w:val="none" w:sz="0" w:space="0" w:color="auto"/>
              </w:divBdr>
            </w:div>
          </w:divsChild>
        </w:div>
        <w:div w:id="1946377038">
          <w:marLeft w:val="0"/>
          <w:marRight w:val="0"/>
          <w:marTop w:val="0"/>
          <w:marBottom w:val="0"/>
          <w:divBdr>
            <w:top w:val="none" w:sz="0" w:space="0" w:color="auto"/>
            <w:left w:val="none" w:sz="0" w:space="0" w:color="auto"/>
            <w:bottom w:val="none" w:sz="0" w:space="0" w:color="auto"/>
            <w:right w:val="none" w:sz="0" w:space="0" w:color="auto"/>
          </w:divBdr>
          <w:divsChild>
            <w:div w:id="1106073018">
              <w:marLeft w:val="0"/>
              <w:marRight w:val="0"/>
              <w:marTop w:val="0"/>
              <w:marBottom w:val="0"/>
              <w:divBdr>
                <w:top w:val="none" w:sz="0" w:space="0" w:color="auto"/>
                <w:left w:val="none" w:sz="0" w:space="0" w:color="auto"/>
                <w:bottom w:val="none" w:sz="0" w:space="0" w:color="auto"/>
                <w:right w:val="none" w:sz="0" w:space="0" w:color="auto"/>
              </w:divBdr>
            </w:div>
          </w:divsChild>
        </w:div>
        <w:div w:id="1947156679">
          <w:marLeft w:val="0"/>
          <w:marRight w:val="0"/>
          <w:marTop w:val="0"/>
          <w:marBottom w:val="0"/>
          <w:divBdr>
            <w:top w:val="none" w:sz="0" w:space="0" w:color="auto"/>
            <w:left w:val="none" w:sz="0" w:space="0" w:color="auto"/>
            <w:bottom w:val="none" w:sz="0" w:space="0" w:color="auto"/>
            <w:right w:val="none" w:sz="0" w:space="0" w:color="auto"/>
          </w:divBdr>
          <w:divsChild>
            <w:div w:id="1807698939">
              <w:marLeft w:val="0"/>
              <w:marRight w:val="0"/>
              <w:marTop w:val="0"/>
              <w:marBottom w:val="0"/>
              <w:divBdr>
                <w:top w:val="none" w:sz="0" w:space="0" w:color="auto"/>
                <w:left w:val="none" w:sz="0" w:space="0" w:color="auto"/>
                <w:bottom w:val="none" w:sz="0" w:space="0" w:color="auto"/>
                <w:right w:val="none" w:sz="0" w:space="0" w:color="auto"/>
              </w:divBdr>
            </w:div>
          </w:divsChild>
        </w:div>
        <w:div w:id="1948543809">
          <w:marLeft w:val="0"/>
          <w:marRight w:val="0"/>
          <w:marTop w:val="0"/>
          <w:marBottom w:val="0"/>
          <w:divBdr>
            <w:top w:val="none" w:sz="0" w:space="0" w:color="auto"/>
            <w:left w:val="none" w:sz="0" w:space="0" w:color="auto"/>
            <w:bottom w:val="none" w:sz="0" w:space="0" w:color="auto"/>
            <w:right w:val="none" w:sz="0" w:space="0" w:color="auto"/>
          </w:divBdr>
          <w:divsChild>
            <w:div w:id="1567034098">
              <w:marLeft w:val="0"/>
              <w:marRight w:val="0"/>
              <w:marTop w:val="0"/>
              <w:marBottom w:val="0"/>
              <w:divBdr>
                <w:top w:val="none" w:sz="0" w:space="0" w:color="auto"/>
                <w:left w:val="none" w:sz="0" w:space="0" w:color="auto"/>
                <w:bottom w:val="none" w:sz="0" w:space="0" w:color="auto"/>
                <w:right w:val="none" w:sz="0" w:space="0" w:color="auto"/>
              </w:divBdr>
            </w:div>
          </w:divsChild>
        </w:div>
        <w:div w:id="1957373637">
          <w:marLeft w:val="0"/>
          <w:marRight w:val="0"/>
          <w:marTop w:val="0"/>
          <w:marBottom w:val="0"/>
          <w:divBdr>
            <w:top w:val="none" w:sz="0" w:space="0" w:color="auto"/>
            <w:left w:val="none" w:sz="0" w:space="0" w:color="auto"/>
            <w:bottom w:val="none" w:sz="0" w:space="0" w:color="auto"/>
            <w:right w:val="none" w:sz="0" w:space="0" w:color="auto"/>
          </w:divBdr>
          <w:divsChild>
            <w:div w:id="1967615123">
              <w:marLeft w:val="0"/>
              <w:marRight w:val="0"/>
              <w:marTop w:val="0"/>
              <w:marBottom w:val="0"/>
              <w:divBdr>
                <w:top w:val="none" w:sz="0" w:space="0" w:color="auto"/>
                <w:left w:val="none" w:sz="0" w:space="0" w:color="auto"/>
                <w:bottom w:val="none" w:sz="0" w:space="0" w:color="auto"/>
                <w:right w:val="none" w:sz="0" w:space="0" w:color="auto"/>
              </w:divBdr>
            </w:div>
          </w:divsChild>
        </w:div>
        <w:div w:id="1977684781">
          <w:marLeft w:val="0"/>
          <w:marRight w:val="0"/>
          <w:marTop w:val="0"/>
          <w:marBottom w:val="0"/>
          <w:divBdr>
            <w:top w:val="none" w:sz="0" w:space="0" w:color="auto"/>
            <w:left w:val="none" w:sz="0" w:space="0" w:color="auto"/>
            <w:bottom w:val="none" w:sz="0" w:space="0" w:color="auto"/>
            <w:right w:val="none" w:sz="0" w:space="0" w:color="auto"/>
          </w:divBdr>
          <w:divsChild>
            <w:div w:id="730271014">
              <w:marLeft w:val="0"/>
              <w:marRight w:val="0"/>
              <w:marTop w:val="0"/>
              <w:marBottom w:val="0"/>
              <w:divBdr>
                <w:top w:val="none" w:sz="0" w:space="0" w:color="auto"/>
                <w:left w:val="none" w:sz="0" w:space="0" w:color="auto"/>
                <w:bottom w:val="none" w:sz="0" w:space="0" w:color="auto"/>
                <w:right w:val="none" w:sz="0" w:space="0" w:color="auto"/>
              </w:divBdr>
            </w:div>
          </w:divsChild>
        </w:div>
        <w:div w:id="1978023837">
          <w:marLeft w:val="0"/>
          <w:marRight w:val="0"/>
          <w:marTop w:val="0"/>
          <w:marBottom w:val="0"/>
          <w:divBdr>
            <w:top w:val="none" w:sz="0" w:space="0" w:color="auto"/>
            <w:left w:val="none" w:sz="0" w:space="0" w:color="auto"/>
            <w:bottom w:val="none" w:sz="0" w:space="0" w:color="auto"/>
            <w:right w:val="none" w:sz="0" w:space="0" w:color="auto"/>
          </w:divBdr>
          <w:divsChild>
            <w:div w:id="886181849">
              <w:marLeft w:val="0"/>
              <w:marRight w:val="0"/>
              <w:marTop w:val="0"/>
              <w:marBottom w:val="0"/>
              <w:divBdr>
                <w:top w:val="none" w:sz="0" w:space="0" w:color="auto"/>
                <w:left w:val="none" w:sz="0" w:space="0" w:color="auto"/>
                <w:bottom w:val="none" w:sz="0" w:space="0" w:color="auto"/>
                <w:right w:val="none" w:sz="0" w:space="0" w:color="auto"/>
              </w:divBdr>
            </w:div>
          </w:divsChild>
        </w:div>
        <w:div w:id="1995142812">
          <w:marLeft w:val="0"/>
          <w:marRight w:val="0"/>
          <w:marTop w:val="0"/>
          <w:marBottom w:val="0"/>
          <w:divBdr>
            <w:top w:val="none" w:sz="0" w:space="0" w:color="auto"/>
            <w:left w:val="none" w:sz="0" w:space="0" w:color="auto"/>
            <w:bottom w:val="none" w:sz="0" w:space="0" w:color="auto"/>
            <w:right w:val="none" w:sz="0" w:space="0" w:color="auto"/>
          </w:divBdr>
          <w:divsChild>
            <w:div w:id="232665892">
              <w:marLeft w:val="0"/>
              <w:marRight w:val="0"/>
              <w:marTop w:val="0"/>
              <w:marBottom w:val="0"/>
              <w:divBdr>
                <w:top w:val="none" w:sz="0" w:space="0" w:color="auto"/>
                <w:left w:val="none" w:sz="0" w:space="0" w:color="auto"/>
                <w:bottom w:val="none" w:sz="0" w:space="0" w:color="auto"/>
                <w:right w:val="none" w:sz="0" w:space="0" w:color="auto"/>
              </w:divBdr>
            </w:div>
          </w:divsChild>
        </w:div>
        <w:div w:id="2002929762">
          <w:marLeft w:val="0"/>
          <w:marRight w:val="0"/>
          <w:marTop w:val="0"/>
          <w:marBottom w:val="0"/>
          <w:divBdr>
            <w:top w:val="none" w:sz="0" w:space="0" w:color="auto"/>
            <w:left w:val="none" w:sz="0" w:space="0" w:color="auto"/>
            <w:bottom w:val="none" w:sz="0" w:space="0" w:color="auto"/>
            <w:right w:val="none" w:sz="0" w:space="0" w:color="auto"/>
          </w:divBdr>
          <w:divsChild>
            <w:div w:id="1005329767">
              <w:marLeft w:val="0"/>
              <w:marRight w:val="0"/>
              <w:marTop w:val="0"/>
              <w:marBottom w:val="0"/>
              <w:divBdr>
                <w:top w:val="none" w:sz="0" w:space="0" w:color="auto"/>
                <w:left w:val="none" w:sz="0" w:space="0" w:color="auto"/>
                <w:bottom w:val="none" w:sz="0" w:space="0" w:color="auto"/>
                <w:right w:val="none" w:sz="0" w:space="0" w:color="auto"/>
              </w:divBdr>
            </w:div>
          </w:divsChild>
        </w:div>
        <w:div w:id="2007322172">
          <w:marLeft w:val="0"/>
          <w:marRight w:val="0"/>
          <w:marTop w:val="0"/>
          <w:marBottom w:val="0"/>
          <w:divBdr>
            <w:top w:val="none" w:sz="0" w:space="0" w:color="auto"/>
            <w:left w:val="none" w:sz="0" w:space="0" w:color="auto"/>
            <w:bottom w:val="none" w:sz="0" w:space="0" w:color="auto"/>
            <w:right w:val="none" w:sz="0" w:space="0" w:color="auto"/>
          </w:divBdr>
          <w:divsChild>
            <w:div w:id="2117168636">
              <w:marLeft w:val="0"/>
              <w:marRight w:val="0"/>
              <w:marTop w:val="0"/>
              <w:marBottom w:val="0"/>
              <w:divBdr>
                <w:top w:val="none" w:sz="0" w:space="0" w:color="auto"/>
                <w:left w:val="none" w:sz="0" w:space="0" w:color="auto"/>
                <w:bottom w:val="none" w:sz="0" w:space="0" w:color="auto"/>
                <w:right w:val="none" w:sz="0" w:space="0" w:color="auto"/>
              </w:divBdr>
            </w:div>
          </w:divsChild>
        </w:div>
        <w:div w:id="2010910613">
          <w:marLeft w:val="0"/>
          <w:marRight w:val="0"/>
          <w:marTop w:val="0"/>
          <w:marBottom w:val="0"/>
          <w:divBdr>
            <w:top w:val="none" w:sz="0" w:space="0" w:color="auto"/>
            <w:left w:val="none" w:sz="0" w:space="0" w:color="auto"/>
            <w:bottom w:val="none" w:sz="0" w:space="0" w:color="auto"/>
            <w:right w:val="none" w:sz="0" w:space="0" w:color="auto"/>
          </w:divBdr>
          <w:divsChild>
            <w:div w:id="1486432639">
              <w:marLeft w:val="0"/>
              <w:marRight w:val="0"/>
              <w:marTop w:val="0"/>
              <w:marBottom w:val="0"/>
              <w:divBdr>
                <w:top w:val="none" w:sz="0" w:space="0" w:color="auto"/>
                <w:left w:val="none" w:sz="0" w:space="0" w:color="auto"/>
                <w:bottom w:val="none" w:sz="0" w:space="0" w:color="auto"/>
                <w:right w:val="none" w:sz="0" w:space="0" w:color="auto"/>
              </w:divBdr>
            </w:div>
          </w:divsChild>
        </w:div>
        <w:div w:id="2017264993">
          <w:marLeft w:val="0"/>
          <w:marRight w:val="0"/>
          <w:marTop w:val="0"/>
          <w:marBottom w:val="0"/>
          <w:divBdr>
            <w:top w:val="none" w:sz="0" w:space="0" w:color="auto"/>
            <w:left w:val="none" w:sz="0" w:space="0" w:color="auto"/>
            <w:bottom w:val="none" w:sz="0" w:space="0" w:color="auto"/>
            <w:right w:val="none" w:sz="0" w:space="0" w:color="auto"/>
          </w:divBdr>
          <w:divsChild>
            <w:div w:id="2098282941">
              <w:marLeft w:val="0"/>
              <w:marRight w:val="0"/>
              <w:marTop w:val="0"/>
              <w:marBottom w:val="0"/>
              <w:divBdr>
                <w:top w:val="none" w:sz="0" w:space="0" w:color="auto"/>
                <w:left w:val="none" w:sz="0" w:space="0" w:color="auto"/>
                <w:bottom w:val="none" w:sz="0" w:space="0" w:color="auto"/>
                <w:right w:val="none" w:sz="0" w:space="0" w:color="auto"/>
              </w:divBdr>
            </w:div>
          </w:divsChild>
        </w:div>
        <w:div w:id="2023972272">
          <w:marLeft w:val="0"/>
          <w:marRight w:val="0"/>
          <w:marTop w:val="0"/>
          <w:marBottom w:val="0"/>
          <w:divBdr>
            <w:top w:val="none" w:sz="0" w:space="0" w:color="auto"/>
            <w:left w:val="none" w:sz="0" w:space="0" w:color="auto"/>
            <w:bottom w:val="none" w:sz="0" w:space="0" w:color="auto"/>
            <w:right w:val="none" w:sz="0" w:space="0" w:color="auto"/>
          </w:divBdr>
          <w:divsChild>
            <w:div w:id="446967401">
              <w:marLeft w:val="0"/>
              <w:marRight w:val="0"/>
              <w:marTop w:val="0"/>
              <w:marBottom w:val="0"/>
              <w:divBdr>
                <w:top w:val="none" w:sz="0" w:space="0" w:color="auto"/>
                <w:left w:val="none" w:sz="0" w:space="0" w:color="auto"/>
                <w:bottom w:val="none" w:sz="0" w:space="0" w:color="auto"/>
                <w:right w:val="none" w:sz="0" w:space="0" w:color="auto"/>
              </w:divBdr>
            </w:div>
          </w:divsChild>
        </w:div>
        <w:div w:id="2024166383">
          <w:marLeft w:val="0"/>
          <w:marRight w:val="0"/>
          <w:marTop w:val="0"/>
          <w:marBottom w:val="0"/>
          <w:divBdr>
            <w:top w:val="none" w:sz="0" w:space="0" w:color="auto"/>
            <w:left w:val="none" w:sz="0" w:space="0" w:color="auto"/>
            <w:bottom w:val="none" w:sz="0" w:space="0" w:color="auto"/>
            <w:right w:val="none" w:sz="0" w:space="0" w:color="auto"/>
          </w:divBdr>
          <w:divsChild>
            <w:div w:id="1000620530">
              <w:marLeft w:val="0"/>
              <w:marRight w:val="0"/>
              <w:marTop w:val="0"/>
              <w:marBottom w:val="0"/>
              <w:divBdr>
                <w:top w:val="none" w:sz="0" w:space="0" w:color="auto"/>
                <w:left w:val="none" w:sz="0" w:space="0" w:color="auto"/>
                <w:bottom w:val="none" w:sz="0" w:space="0" w:color="auto"/>
                <w:right w:val="none" w:sz="0" w:space="0" w:color="auto"/>
              </w:divBdr>
            </w:div>
          </w:divsChild>
        </w:div>
        <w:div w:id="2035958626">
          <w:marLeft w:val="0"/>
          <w:marRight w:val="0"/>
          <w:marTop w:val="0"/>
          <w:marBottom w:val="0"/>
          <w:divBdr>
            <w:top w:val="none" w:sz="0" w:space="0" w:color="auto"/>
            <w:left w:val="none" w:sz="0" w:space="0" w:color="auto"/>
            <w:bottom w:val="none" w:sz="0" w:space="0" w:color="auto"/>
            <w:right w:val="none" w:sz="0" w:space="0" w:color="auto"/>
          </w:divBdr>
          <w:divsChild>
            <w:div w:id="1176461682">
              <w:marLeft w:val="0"/>
              <w:marRight w:val="0"/>
              <w:marTop w:val="0"/>
              <w:marBottom w:val="0"/>
              <w:divBdr>
                <w:top w:val="none" w:sz="0" w:space="0" w:color="auto"/>
                <w:left w:val="none" w:sz="0" w:space="0" w:color="auto"/>
                <w:bottom w:val="none" w:sz="0" w:space="0" w:color="auto"/>
                <w:right w:val="none" w:sz="0" w:space="0" w:color="auto"/>
              </w:divBdr>
            </w:div>
          </w:divsChild>
        </w:div>
        <w:div w:id="2038000600">
          <w:marLeft w:val="0"/>
          <w:marRight w:val="0"/>
          <w:marTop w:val="0"/>
          <w:marBottom w:val="0"/>
          <w:divBdr>
            <w:top w:val="none" w:sz="0" w:space="0" w:color="auto"/>
            <w:left w:val="none" w:sz="0" w:space="0" w:color="auto"/>
            <w:bottom w:val="none" w:sz="0" w:space="0" w:color="auto"/>
            <w:right w:val="none" w:sz="0" w:space="0" w:color="auto"/>
          </w:divBdr>
          <w:divsChild>
            <w:div w:id="584459310">
              <w:marLeft w:val="0"/>
              <w:marRight w:val="0"/>
              <w:marTop w:val="0"/>
              <w:marBottom w:val="0"/>
              <w:divBdr>
                <w:top w:val="none" w:sz="0" w:space="0" w:color="auto"/>
                <w:left w:val="none" w:sz="0" w:space="0" w:color="auto"/>
                <w:bottom w:val="none" w:sz="0" w:space="0" w:color="auto"/>
                <w:right w:val="none" w:sz="0" w:space="0" w:color="auto"/>
              </w:divBdr>
            </w:div>
          </w:divsChild>
        </w:div>
        <w:div w:id="2045860702">
          <w:marLeft w:val="0"/>
          <w:marRight w:val="0"/>
          <w:marTop w:val="0"/>
          <w:marBottom w:val="0"/>
          <w:divBdr>
            <w:top w:val="none" w:sz="0" w:space="0" w:color="auto"/>
            <w:left w:val="none" w:sz="0" w:space="0" w:color="auto"/>
            <w:bottom w:val="none" w:sz="0" w:space="0" w:color="auto"/>
            <w:right w:val="none" w:sz="0" w:space="0" w:color="auto"/>
          </w:divBdr>
          <w:divsChild>
            <w:div w:id="1241713378">
              <w:marLeft w:val="0"/>
              <w:marRight w:val="0"/>
              <w:marTop w:val="0"/>
              <w:marBottom w:val="0"/>
              <w:divBdr>
                <w:top w:val="none" w:sz="0" w:space="0" w:color="auto"/>
                <w:left w:val="none" w:sz="0" w:space="0" w:color="auto"/>
                <w:bottom w:val="none" w:sz="0" w:space="0" w:color="auto"/>
                <w:right w:val="none" w:sz="0" w:space="0" w:color="auto"/>
              </w:divBdr>
            </w:div>
          </w:divsChild>
        </w:div>
        <w:div w:id="2049378132">
          <w:marLeft w:val="0"/>
          <w:marRight w:val="0"/>
          <w:marTop w:val="0"/>
          <w:marBottom w:val="0"/>
          <w:divBdr>
            <w:top w:val="none" w:sz="0" w:space="0" w:color="auto"/>
            <w:left w:val="none" w:sz="0" w:space="0" w:color="auto"/>
            <w:bottom w:val="none" w:sz="0" w:space="0" w:color="auto"/>
            <w:right w:val="none" w:sz="0" w:space="0" w:color="auto"/>
          </w:divBdr>
          <w:divsChild>
            <w:div w:id="1146976201">
              <w:marLeft w:val="0"/>
              <w:marRight w:val="0"/>
              <w:marTop w:val="0"/>
              <w:marBottom w:val="0"/>
              <w:divBdr>
                <w:top w:val="none" w:sz="0" w:space="0" w:color="auto"/>
                <w:left w:val="none" w:sz="0" w:space="0" w:color="auto"/>
                <w:bottom w:val="none" w:sz="0" w:space="0" w:color="auto"/>
                <w:right w:val="none" w:sz="0" w:space="0" w:color="auto"/>
              </w:divBdr>
            </w:div>
          </w:divsChild>
        </w:div>
        <w:div w:id="2056616375">
          <w:marLeft w:val="0"/>
          <w:marRight w:val="0"/>
          <w:marTop w:val="0"/>
          <w:marBottom w:val="0"/>
          <w:divBdr>
            <w:top w:val="none" w:sz="0" w:space="0" w:color="auto"/>
            <w:left w:val="none" w:sz="0" w:space="0" w:color="auto"/>
            <w:bottom w:val="none" w:sz="0" w:space="0" w:color="auto"/>
            <w:right w:val="none" w:sz="0" w:space="0" w:color="auto"/>
          </w:divBdr>
          <w:divsChild>
            <w:div w:id="1488089976">
              <w:marLeft w:val="0"/>
              <w:marRight w:val="0"/>
              <w:marTop w:val="0"/>
              <w:marBottom w:val="0"/>
              <w:divBdr>
                <w:top w:val="none" w:sz="0" w:space="0" w:color="auto"/>
                <w:left w:val="none" w:sz="0" w:space="0" w:color="auto"/>
                <w:bottom w:val="none" w:sz="0" w:space="0" w:color="auto"/>
                <w:right w:val="none" w:sz="0" w:space="0" w:color="auto"/>
              </w:divBdr>
            </w:div>
          </w:divsChild>
        </w:div>
        <w:div w:id="2064209217">
          <w:marLeft w:val="0"/>
          <w:marRight w:val="0"/>
          <w:marTop w:val="0"/>
          <w:marBottom w:val="0"/>
          <w:divBdr>
            <w:top w:val="none" w:sz="0" w:space="0" w:color="auto"/>
            <w:left w:val="none" w:sz="0" w:space="0" w:color="auto"/>
            <w:bottom w:val="none" w:sz="0" w:space="0" w:color="auto"/>
            <w:right w:val="none" w:sz="0" w:space="0" w:color="auto"/>
          </w:divBdr>
          <w:divsChild>
            <w:div w:id="1505392815">
              <w:marLeft w:val="0"/>
              <w:marRight w:val="0"/>
              <w:marTop w:val="0"/>
              <w:marBottom w:val="0"/>
              <w:divBdr>
                <w:top w:val="none" w:sz="0" w:space="0" w:color="auto"/>
                <w:left w:val="none" w:sz="0" w:space="0" w:color="auto"/>
                <w:bottom w:val="none" w:sz="0" w:space="0" w:color="auto"/>
                <w:right w:val="none" w:sz="0" w:space="0" w:color="auto"/>
              </w:divBdr>
            </w:div>
          </w:divsChild>
        </w:div>
        <w:div w:id="2066219775">
          <w:marLeft w:val="0"/>
          <w:marRight w:val="0"/>
          <w:marTop w:val="0"/>
          <w:marBottom w:val="0"/>
          <w:divBdr>
            <w:top w:val="none" w:sz="0" w:space="0" w:color="auto"/>
            <w:left w:val="none" w:sz="0" w:space="0" w:color="auto"/>
            <w:bottom w:val="none" w:sz="0" w:space="0" w:color="auto"/>
            <w:right w:val="none" w:sz="0" w:space="0" w:color="auto"/>
          </w:divBdr>
          <w:divsChild>
            <w:div w:id="1704820605">
              <w:marLeft w:val="0"/>
              <w:marRight w:val="0"/>
              <w:marTop w:val="0"/>
              <w:marBottom w:val="0"/>
              <w:divBdr>
                <w:top w:val="none" w:sz="0" w:space="0" w:color="auto"/>
                <w:left w:val="none" w:sz="0" w:space="0" w:color="auto"/>
                <w:bottom w:val="none" w:sz="0" w:space="0" w:color="auto"/>
                <w:right w:val="none" w:sz="0" w:space="0" w:color="auto"/>
              </w:divBdr>
            </w:div>
          </w:divsChild>
        </w:div>
        <w:div w:id="2067295117">
          <w:marLeft w:val="0"/>
          <w:marRight w:val="0"/>
          <w:marTop w:val="0"/>
          <w:marBottom w:val="0"/>
          <w:divBdr>
            <w:top w:val="none" w:sz="0" w:space="0" w:color="auto"/>
            <w:left w:val="none" w:sz="0" w:space="0" w:color="auto"/>
            <w:bottom w:val="none" w:sz="0" w:space="0" w:color="auto"/>
            <w:right w:val="none" w:sz="0" w:space="0" w:color="auto"/>
          </w:divBdr>
          <w:divsChild>
            <w:div w:id="494953359">
              <w:marLeft w:val="0"/>
              <w:marRight w:val="0"/>
              <w:marTop w:val="0"/>
              <w:marBottom w:val="0"/>
              <w:divBdr>
                <w:top w:val="none" w:sz="0" w:space="0" w:color="auto"/>
                <w:left w:val="none" w:sz="0" w:space="0" w:color="auto"/>
                <w:bottom w:val="none" w:sz="0" w:space="0" w:color="auto"/>
                <w:right w:val="none" w:sz="0" w:space="0" w:color="auto"/>
              </w:divBdr>
            </w:div>
          </w:divsChild>
        </w:div>
        <w:div w:id="2084208306">
          <w:marLeft w:val="0"/>
          <w:marRight w:val="0"/>
          <w:marTop w:val="0"/>
          <w:marBottom w:val="0"/>
          <w:divBdr>
            <w:top w:val="none" w:sz="0" w:space="0" w:color="auto"/>
            <w:left w:val="none" w:sz="0" w:space="0" w:color="auto"/>
            <w:bottom w:val="none" w:sz="0" w:space="0" w:color="auto"/>
            <w:right w:val="none" w:sz="0" w:space="0" w:color="auto"/>
          </w:divBdr>
          <w:divsChild>
            <w:div w:id="931746151">
              <w:marLeft w:val="0"/>
              <w:marRight w:val="0"/>
              <w:marTop w:val="0"/>
              <w:marBottom w:val="0"/>
              <w:divBdr>
                <w:top w:val="none" w:sz="0" w:space="0" w:color="auto"/>
                <w:left w:val="none" w:sz="0" w:space="0" w:color="auto"/>
                <w:bottom w:val="none" w:sz="0" w:space="0" w:color="auto"/>
                <w:right w:val="none" w:sz="0" w:space="0" w:color="auto"/>
              </w:divBdr>
            </w:div>
          </w:divsChild>
        </w:div>
        <w:div w:id="2113939874">
          <w:marLeft w:val="0"/>
          <w:marRight w:val="0"/>
          <w:marTop w:val="0"/>
          <w:marBottom w:val="0"/>
          <w:divBdr>
            <w:top w:val="none" w:sz="0" w:space="0" w:color="auto"/>
            <w:left w:val="none" w:sz="0" w:space="0" w:color="auto"/>
            <w:bottom w:val="none" w:sz="0" w:space="0" w:color="auto"/>
            <w:right w:val="none" w:sz="0" w:space="0" w:color="auto"/>
          </w:divBdr>
          <w:divsChild>
            <w:div w:id="502866669">
              <w:marLeft w:val="0"/>
              <w:marRight w:val="0"/>
              <w:marTop w:val="0"/>
              <w:marBottom w:val="0"/>
              <w:divBdr>
                <w:top w:val="none" w:sz="0" w:space="0" w:color="auto"/>
                <w:left w:val="none" w:sz="0" w:space="0" w:color="auto"/>
                <w:bottom w:val="none" w:sz="0" w:space="0" w:color="auto"/>
                <w:right w:val="none" w:sz="0" w:space="0" w:color="auto"/>
              </w:divBdr>
            </w:div>
          </w:divsChild>
        </w:div>
        <w:div w:id="2116242047">
          <w:marLeft w:val="0"/>
          <w:marRight w:val="0"/>
          <w:marTop w:val="0"/>
          <w:marBottom w:val="0"/>
          <w:divBdr>
            <w:top w:val="none" w:sz="0" w:space="0" w:color="auto"/>
            <w:left w:val="none" w:sz="0" w:space="0" w:color="auto"/>
            <w:bottom w:val="none" w:sz="0" w:space="0" w:color="auto"/>
            <w:right w:val="none" w:sz="0" w:space="0" w:color="auto"/>
          </w:divBdr>
          <w:divsChild>
            <w:div w:id="167985013">
              <w:marLeft w:val="0"/>
              <w:marRight w:val="0"/>
              <w:marTop w:val="0"/>
              <w:marBottom w:val="0"/>
              <w:divBdr>
                <w:top w:val="none" w:sz="0" w:space="0" w:color="auto"/>
                <w:left w:val="none" w:sz="0" w:space="0" w:color="auto"/>
                <w:bottom w:val="none" w:sz="0" w:space="0" w:color="auto"/>
                <w:right w:val="none" w:sz="0" w:space="0" w:color="auto"/>
              </w:divBdr>
            </w:div>
          </w:divsChild>
        </w:div>
        <w:div w:id="2117753558">
          <w:marLeft w:val="0"/>
          <w:marRight w:val="0"/>
          <w:marTop w:val="0"/>
          <w:marBottom w:val="0"/>
          <w:divBdr>
            <w:top w:val="none" w:sz="0" w:space="0" w:color="auto"/>
            <w:left w:val="none" w:sz="0" w:space="0" w:color="auto"/>
            <w:bottom w:val="none" w:sz="0" w:space="0" w:color="auto"/>
            <w:right w:val="none" w:sz="0" w:space="0" w:color="auto"/>
          </w:divBdr>
          <w:divsChild>
            <w:div w:id="1992168986">
              <w:marLeft w:val="0"/>
              <w:marRight w:val="0"/>
              <w:marTop w:val="0"/>
              <w:marBottom w:val="0"/>
              <w:divBdr>
                <w:top w:val="none" w:sz="0" w:space="0" w:color="auto"/>
                <w:left w:val="none" w:sz="0" w:space="0" w:color="auto"/>
                <w:bottom w:val="none" w:sz="0" w:space="0" w:color="auto"/>
                <w:right w:val="none" w:sz="0" w:space="0" w:color="auto"/>
              </w:divBdr>
            </w:div>
          </w:divsChild>
        </w:div>
        <w:div w:id="2137485164">
          <w:marLeft w:val="0"/>
          <w:marRight w:val="0"/>
          <w:marTop w:val="0"/>
          <w:marBottom w:val="0"/>
          <w:divBdr>
            <w:top w:val="none" w:sz="0" w:space="0" w:color="auto"/>
            <w:left w:val="none" w:sz="0" w:space="0" w:color="auto"/>
            <w:bottom w:val="none" w:sz="0" w:space="0" w:color="auto"/>
            <w:right w:val="none" w:sz="0" w:space="0" w:color="auto"/>
          </w:divBdr>
          <w:divsChild>
            <w:div w:id="145903711">
              <w:marLeft w:val="0"/>
              <w:marRight w:val="0"/>
              <w:marTop w:val="0"/>
              <w:marBottom w:val="0"/>
              <w:divBdr>
                <w:top w:val="none" w:sz="0" w:space="0" w:color="auto"/>
                <w:left w:val="none" w:sz="0" w:space="0" w:color="auto"/>
                <w:bottom w:val="none" w:sz="0" w:space="0" w:color="auto"/>
                <w:right w:val="none" w:sz="0" w:space="0" w:color="auto"/>
              </w:divBdr>
            </w:div>
          </w:divsChild>
        </w:div>
        <w:div w:id="2137553785">
          <w:marLeft w:val="0"/>
          <w:marRight w:val="0"/>
          <w:marTop w:val="0"/>
          <w:marBottom w:val="0"/>
          <w:divBdr>
            <w:top w:val="none" w:sz="0" w:space="0" w:color="auto"/>
            <w:left w:val="none" w:sz="0" w:space="0" w:color="auto"/>
            <w:bottom w:val="none" w:sz="0" w:space="0" w:color="auto"/>
            <w:right w:val="none" w:sz="0" w:space="0" w:color="auto"/>
          </w:divBdr>
          <w:divsChild>
            <w:div w:id="171770386">
              <w:marLeft w:val="0"/>
              <w:marRight w:val="0"/>
              <w:marTop w:val="0"/>
              <w:marBottom w:val="0"/>
              <w:divBdr>
                <w:top w:val="none" w:sz="0" w:space="0" w:color="auto"/>
                <w:left w:val="none" w:sz="0" w:space="0" w:color="auto"/>
                <w:bottom w:val="none" w:sz="0" w:space="0" w:color="auto"/>
                <w:right w:val="none" w:sz="0" w:space="0" w:color="auto"/>
              </w:divBdr>
            </w:div>
          </w:divsChild>
        </w:div>
        <w:div w:id="2139451668">
          <w:marLeft w:val="0"/>
          <w:marRight w:val="0"/>
          <w:marTop w:val="0"/>
          <w:marBottom w:val="0"/>
          <w:divBdr>
            <w:top w:val="none" w:sz="0" w:space="0" w:color="auto"/>
            <w:left w:val="none" w:sz="0" w:space="0" w:color="auto"/>
            <w:bottom w:val="none" w:sz="0" w:space="0" w:color="auto"/>
            <w:right w:val="none" w:sz="0" w:space="0" w:color="auto"/>
          </w:divBdr>
          <w:divsChild>
            <w:div w:id="8321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0429">
      <w:bodyDiv w:val="1"/>
      <w:marLeft w:val="0"/>
      <w:marRight w:val="0"/>
      <w:marTop w:val="0"/>
      <w:marBottom w:val="0"/>
      <w:divBdr>
        <w:top w:val="none" w:sz="0" w:space="0" w:color="auto"/>
        <w:left w:val="none" w:sz="0" w:space="0" w:color="auto"/>
        <w:bottom w:val="none" w:sz="0" w:space="0" w:color="auto"/>
        <w:right w:val="none" w:sz="0" w:space="0" w:color="auto"/>
      </w:divBdr>
    </w:div>
    <w:div w:id="1971476999">
      <w:bodyDiv w:val="1"/>
      <w:marLeft w:val="0"/>
      <w:marRight w:val="0"/>
      <w:marTop w:val="0"/>
      <w:marBottom w:val="0"/>
      <w:divBdr>
        <w:top w:val="none" w:sz="0" w:space="0" w:color="auto"/>
        <w:left w:val="none" w:sz="0" w:space="0" w:color="auto"/>
        <w:bottom w:val="none" w:sz="0" w:space="0" w:color="auto"/>
        <w:right w:val="none" w:sz="0" w:space="0" w:color="auto"/>
      </w:divBdr>
    </w:div>
    <w:div w:id="1987197679">
      <w:bodyDiv w:val="1"/>
      <w:marLeft w:val="0"/>
      <w:marRight w:val="0"/>
      <w:marTop w:val="0"/>
      <w:marBottom w:val="0"/>
      <w:divBdr>
        <w:top w:val="none" w:sz="0" w:space="0" w:color="auto"/>
        <w:left w:val="none" w:sz="0" w:space="0" w:color="auto"/>
        <w:bottom w:val="none" w:sz="0" w:space="0" w:color="auto"/>
        <w:right w:val="none" w:sz="0" w:space="0" w:color="auto"/>
      </w:divBdr>
    </w:div>
    <w:div w:id="2003315333">
      <w:bodyDiv w:val="1"/>
      <w:marLeft w:val="0"/>
      <w:marRight w:val="0"/>
      <w:marTop w:val="0"/>
      <w:marBottom w:val="0"/>
      <w:divBdr>
        <w:top w:val="none" w:sz="0" w:space="0" w:color="auto"/>
        <w:left w:val="none" w:sz="0" w:space="0" w:color="auto"/>
        <w:bottom w:val="none" w:sz="0" w:space="0" w:color="auto"/>
        <w:right w:val="none" w:sz="0" w:space="0" w:color="auto"/>
      </w:divBdr>
    </w:div>
    <w:div w:id="2035812025">
      <w:bodyDiv w:val="1"/>
      <w:marLeft w:val="0"/>
      <w:marRight w:val="0"/>
      <w:marTop w:val="0"/>
      <w:marBottom w:val="0"/>
      <w:divBdr>
        <w:top w:val="none" w:sz="0" w:space="0" w:color="auto"/>
        <w:left w:val="none" w:sz="0" w:space="0" w:color="auto"/>
        <w:bottom w:val="none" w:sz="0" w:space="0" w:color="auto"/>
        <w:right w:val="none" w:sz="0" w:space="0" w:color="auto"/>
      </w:divBdr>
    </w:div>
    <w:div w:id="2043939968">
      <w:bodyDiv w:val="1"/>
      <w:marLeft w:val="0"/>
      <w:marRight w:val="0"/>
      <w:marTop w:val="0"/>
      <w:marBottom w:val="0"/>
      <w:divBdr>
        <w:top w:val="none" w:sz="0" w:space="0" w:color="auto"/>
        <w:left w:val="none" w:sz="0" w:space="0" w:color="auto"/>
        <w:bottom w:val="none" w:sz="0" w:space="0" w:color="auto"/>
        <w:right w:val="none" w:sz="0" w:space="0" w:color="auto"/>
      </w:divBdr>
    </w:div>
    <w:div w:id="2046175964">
      <w:bodyDiv w:val="1"/>
      <w:marLeft w:val="0"/>
      <w:marRight w:val="0"/>
      <w:marTop w:val="0"/>
      <w:marBottom w:val="0"/>
      <w:divBdr>
        <w:top w:val="none" w:sz="0" w:space="0" w:color="auto"/>
        <w:left w:val="none" w:sz="0" w:space="0" w:color="auto"/>
        <w:bottom w:val="none" w:sz="0" w:space="0" w:color="auto"/>
        <w:right w:val="none" w:sz="0" w:space="0" w:color="auto"/>
      </w:divBdr>
    </w:div>
    <w:div w:id="2097436494">
      <w:bodyDiv w:val="1"/>
      <w:marLeft w:val="0"/>
      <w:marRight w:val="0"/>
      <w:marTop w:val="0"/>
      <w:marBottom w:val="0"/>
      <w:divBdr>
        <w:top w:val="none" w:sz="0" w:space="0" w:color="auto"/>
        <w:left w:val="none" w:sz="0" w:space="0" w:color="auto"/>
        <w:bottom w:val="none" w:sz="0" w:space="0" w:color="auto"/>
        <w:right w:val="none" w:sz="0" w:space="0" w:color="auto"/>
      </w:divBdr>
    </w:div>
    <w:div w:id="2118599627">
      <w:bodyDiv w:val="1"/>
      <w:marLeft w:val="0"/>
      <w:marRight w:val="0"/>
      <w:marTop w:val="0"/>
      <w:marBottom w:val="0"/>
      <w:divBdr>
        <w:top w:val="none" w:sz="0" w:space="0" w:color="auto"/>
        <w:left w:val="none" w:sz="0" w:space="0" w:color="auto"/>
        <w:bottom w:val="none" w:sz="0" w:space="0" w:color="auto"/>
        <w:right w:val="none" w:sz="0" w:space="0" w:color="auto"/>
      </w:divBdr>
    </w:div>
    <w:div w:id="213294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gwc.gov.au/reviews-reports" TargetMode="External"/><Relationship Id="rId18" Type="http://schemas.openxmlformats.org/officeDocument/2006/relationships/footer" Target="footer2.xml"/><Relationship Id="rId26" Type="http://schemas.openxmlformats.org/officeDocument/2006/relationships/hyperlink" Target="https://www.igwc.gov.au/sites/default/files/2023-08/lgwc-strategic-plan-2023-2026.pdf" TargetMode="External"/><Relationship Id="rId39" Type="http://schemas.openxmlformats.org/officeDocument/2006/relationships/hyperlink" Target="https://www.igwc.gov.au/sites/default/files/2023-10/sdl-compliance-framework.pdf" TargetMode="External"/><Relationship Id="rId21" Type="http://schemas.openxmlformats.org/officeDocument/2006/relationships/hyperlink" Target="https://www.igwc.gov.au/sites/default/files/2023-10/sdl-compliance-framework.pdf" TargetMode="External"/><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0.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pyright@dcceew.gov.au" TargetMode="Externa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hyperlink" Target="https://www.mdba.gov.au/sites/default/files/publications/Northern-basin-review.pdf" TargetMode="External"/><Relationship Id="rId40" Type="http://schemas.openxmlformats.org/officeDocument/2006/relationships/hyperlink" Target="https://www.mdba.gov.au/water-use/water-environment/water-recovery/progress-water-recovery"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image" Target="media/image9.png"/><Relationship Id="rId36" Type="http://schemas.openxmlformats.org/officeDocument/2006/relationships/hyperlink" Target="https://www.mdba.gov.au/sites/default/files/publications/sustainable-diversion-limit-sdl-accounting-and-reporting-framework-2025.pdf"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2.png"/><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tact@igwc.gov.au" TargetMode="External"/><Relationship Id="rId22" Type="http://schemas.openxmlformats.org/officeDocument/2006/relationships/image" Target="media/image5.jpe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image" Target="media/image14.png"/><Relationship Id="rId38" Type="http://schemas.openxmlformats.org/officeDocument/2006/relationships/hyperlink" Target="https://www.mdba.gov.au/water-management/basin-plan-review/early-insights-pap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Internal%20briefing\Internal_general_briefing_template.dotx" TargetMode="External"/></Relationships>
</file>

<file path=word/theme/theme1.xml><?xml version="1.0" encoding="utf-8"?>
<a:theme xmlns:a="http://schemas.openxmlformats.org/drawingml/2006/main" name="Office Theme">
  <a:themeElements>
    <a:clrScheme name="IGWC">
      <a:dk1>
        <a:srgbClr val="4C6968"/>
      </a:dk1>
      <a:lt1>
        <a:srgbClr val="BCD8E3"/>
      </a:lt1>
      <a:dk2>
        <a:srgbClr val="48555E"/>
      </a:dk2>
      <a:lt2>
        <a:srgbClr val="E7E6E6"/>
      </a:lt2>
      <a:accent1>
        <a:srgbClr val="4C6968"/>
      </a:accent1>
      <a:accent2>
        <a:srgbClr val="48545E"/>
      </a:accent2>
      <a:accent3>
        <a:srgbClr val="BCD7E2"/>
      </a:accent3>
      <a:accent4>
        <a:srgbClr val="6E8C81"/>
      </a:accent4>
      <a:accent5>
        <a:srgbClr val="F0C88A"/>
      </a:accent5>
      <a:accent6>
        <a:srgbClr val="CE9282"/>
      </a:accent6>
      <a:hlink>
        <a:srgbClr val="48545E"/>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8" ma:contentTypeDescription="Create a new document." ma:contentTypeScope="" ma:versionID="13109cb31dd92b74e63b1d20e6c8c267">
  <xsd:schema xmlns:xsd="http://www.w3.org/2001/XMLSchema" xmlns:xs="http://www.w3.org/2001/XMLSchema" xmlns:p="http://schemas.microsoft.com/office/2006/metadata/properties" xmlns:ns1="http://schemas.microsoft.com/sharepoint/v3" xmlns:ns2="05ae9dfb-8234-4dee-b010-b18fc1d24d34" xmlns:ns3="3831e8a4-9d05-4fa9-b62b-4dc281877bbf" xmlns:ns4="d81c2681-db7b-4a56-9abd-a3238a78f6b2" xmlns:ns5="a95247a4-6a6b-40fb-87b6-0fb2f012c536" targetNamespace="http://schemas.microsoft.com/office/2006/metadata/properties" ma:root="true" ma:fieldsID="7dd7e6a93b09a358419718ed97135cae" ns1:_="" ns2:_="" ns3:_="" ns4:_="" ns5:_="">
    <xsd:import namespace="http://schemas.microsoft.com/sharepoint/v3"/>
    <xsd:import namespace="05ae9dfb-8234-4dee-b010-b18fc1d24d34"/>
    <xsd:import namespace="3831e8a4-9d05-4fa9-b62b-4dc281877bbf"/>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Status" minOccurs="0"/>
                <xsd:element ref="ns2:MediaServiceSearchProperties" minOccurs="0"/>
                <xsd:element ref="ns2:_Flow_SignoffStatus" minOccurs="0"/>
                <xsd:element ref="ns4:lcf76f155ced4ddcb4097134ff3c332f" minOccurs="0"/>
                <xsd:element ref="ns5:TaxCatchAll" minOccurs="0"/>
                <xsd:element ref="ns1:_ip_UnifiedCompliancePolicyProperties" minOccurs="0"/>
                <xsd:element ref="ns1:_ip_UnifiedCompliancePolicyUIAction" minOccurs="0"/>
                <xsd:element ref="ns4:MediaServiceBillingMetadata"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ae9dfb-8234-4dee-b010-b18fc1d24d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Status" ma:index="21" nillable="true" ma:displayName="Status" ma:format="Dropdown" ma:internalName="Status">
      <xsd:simpleType>
        <xsd:restriction base="dms:Choice">
          <xsd:enumeration value="Draft"/>
          <xsd:enumeration value="Review"/>
          <xsd:enumeration value="Final"/>
          <xsd:enumeration value="Superceded"/>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Flow_SignoffStatus" ma:index="23"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31e8a4-9d05-4fa9-b62b-4dc281877b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6f1e8d87-cb05-4ed3-912f-16d9fbb01894}"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3831e8a4-9d05-4fa9-b62b-4dc281877bbf">
      <UserInfo>
        <DisplayName/>
        <AccountId xsi:nil="true"/>
        <AccountType/>
      </UserInfo>
    </SharedWithUsers>
    <Status xmlns="05ae9dfb-8234-4dee-b010-b18fc1d24d34" xsi:nil="true"/>
    <_Flow_SignoffStatus xmlns="05ae9dfb-8234-4dee-b010-b18fc1d24d34" xsi:nil="true"/>
    <TaxCatchAll xmlns="a95247a4-6a6b-40fb-87b6-0fb2f012c536" xsi:nil="true"/>
    <lcf76f155ced4ddcb4097134ff3c332f xmlns="d81c2681-db7b-4a56-9abd-a3238a78f6b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6609E1B-4919-4FD3-87BE-89FAB9D73657}">
  <ds:schemaRefs>
    <ds:schemaRef ds:uri="http://schemas.openxmlformats.org/officeDocument/2006/bibliography"/>
  </ds:schemaRefs>
</ds:datastoreItem>
</file>

<file path=customXml/itemProps2.xml><?xml version="1.0" encoding="utf-8"?>
<ds:datastoreItem xmlns:ds="http://schemas.openxmlformats.org/officeDocument/2006/customXml" ds:itemID="{2B56CC1B-A069-4102-829E-43DE784A6B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ae9dfb-8234-4dee-b010-b18fc1d24d34"/>
    <ds:schemaRef ds:uri="3831e8a4-9d05-4fa9-b62b-4dc281877bbf"/>
    <ds:schemaRef ds:uri="d81c2681-db7b-4a56-9abd-a3238a78f6b2"/>
    <ds:schemaRef ds:uri="a95247a4-6a6b-40fb-87b6-0fb2f012c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2DCAED-B2DF-49A8-B8DD-527AE46FAB82}">
  <ds:schemaRefs>
    <ds:schemaRef ds:uri="http://schemas.microsoft.com/sharepoint/v3/contenttype/forms"/>
  </ds:schemaRefs>
</ds:datastoreItem>
</file>

<file path=customXml/itemProps4.xml><?xml version="1.0" encoding="utf-8"?>
<ds:datastoreItem xmlns:ds="http://schemas.openxmlformats.org/officeDocument/2006/customXml" ds:itemID="{9AB82AF9-DE64-4CBD-AC58-65CFBFEF2CBA}">
  <ds:schemaRefs>
    <ds:schemaRef ds:uri="http://schemas.microsoft.com/office/2006/metadata/properties"/>
    <ds:schemaRef ds:uri="http://schemas.microsoft.com/office/infopath/2007/PartnerControls"/>
    <ds:schemaRef ds:uri="3831e8a4-9d05-4fa9-b62b-4dc281877bbf"/>
    <ds:schemaRef ds:uri="05ae9dfb-8234-4dee-b010-b18fc1d24d34"/>
    <ds:schemaRef ds:uri="a95247a4-6a6b-40fb-87b6-0fb2f012c536"/>
    <ds:schemaRef ds:uri="d81c2681-db7b-4a56-9abd-a3238a78f6b2"/>
    <ds:schemaRef ds:uri="http://schemas.microsoft.com/sharepoint/v3"/>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Internal_general_briefing_template</Template>
  <TotalTime>294</TotalTime>
  <Pages>1</Pages>
  <Words>10528</Words>
  <Characters>60013</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Sustainable Diversion Limit Compliance Report for 2023-2024</vt:lpstr>
    </vt:vector>
  </TitlesOfParts>
  <Manager/>
  <Company/>
  <LinksUpToDate>false</LinksUpToDate>
  <CharactersWithSpaces>70401</CharactersWithSpaces>
  <SharedDoc>false</SharedDoc>
  <HLinks>
    <vt:vector size="258" baseType="variant">
      <vt:variant>
        <vt:i4>3735671</vt:i4>
      </vt:variant>
      <vt:variant>
        <vt:i4>255</vt:i4>
      </vt:variant>
      <vt:variant>
        <vt:i4>0</vt:i4>
      </vt:variant>
      <vt:variant>
        <vt:i4>5</vt:i4>
      </vt:variant>
      <vt:variant>
        <vt:lpwstr>https://www.mdba.gov.au/water-use/water-environment/water-recovery/progress-water-recovery</vt:lpwstr>
      </vt:variant>
      <vt:variant>
        <vt:lpwstr/>
      </vt:variant>
      <vt:variant>
        <vt:i4>852053</vt:i4>
      </vt:variant>
      <vt:variant>
        <vt:i4>252</vt:i4>
      </vt:variant>
      <vt:variant>
        <vt:i4>0</vt:i4>
      </vt:variant>
      <vt:variant>
        <vt:i4>5</vt:i4>
      </vt:variant>
      <vt:variant>
        <vt:lpwstr>https://www.igwc.gov.au/sites/default/files/2023-10/sdl-compliance-framework.pdf</vt:lpwstr>
      </vt:variant>
      <vt:variant>
        <vt:lpwstr/>
      </vt:variant>
      <vt:variant>
        <vt:i4>3735609</vt:i4>
      </vt:variant>
      <vt:variant>
        <vt:i4>249</vt:i4>
      </vt:variant>
      <vt:variant>
        <vt:i4>0</vt:i4>
      </vt:variant>
      <vt:variant>
        <vt:i4>5</vt:i4>
      </vt:variant>
      <vt:variant>
        <vt:lpwstr>https://www.mdba.gov.au/water-management/basin-plan-review/early-insights-paper</vt:lpwstr>
      </vt:variant>
      <vt:variant>
        <vt:lpwstr/>
      </vt:variant>
      <vt:variant>
        <vt:i4>2359341</vt:i4>
      </vt:variant>
      <vt:variant>
        <vt:i4>246</vt:i4>
      </vt:variant>
      <vt:variant>
        <vt:i4>0</vt:i4>
      </vt:variant>
      <vt:variant>
        <vt:i4>5</vt:i4>
      </vt:variant>
      <vt:variant>
        <vt:lpwstr>https://www.mdba.gov.au/sites/default/files/publications/Northern-basin-review.pdf</vt:lpwstr>
      </vt:variant>
      <vt:variant>
        <vt:lpwstr/>
      </vt:variant>
      <vt:variant>
        <vt:i4>5767235</vt:i4>
      </vt:variant>
      <vt:variant>
        <vt:i4>243</vt:i4>
      </vt:variant>
      <vt:variant>
        <vt:i4>0</vt:i4>
      </vt:variant>
      <vt:variant>
        <vt:i4>5</vt:i4>
      </vt:variant>
      <vt:variant>
        <vt:lpwstr>https://www.mdba.gov.au/sites/default/files/publications/sustainable-diversion-limit-sdl-accounting-and-reporting-framework-2025.pdf</vt:lpwstr>
      </vt:variant>
      <vt:variant>
        <vt:lpwstr/>
      </vt:variant>
      <vt:variant>
        <vt:i4>4718596</vt:i4>
      </vt:variant>
      <vt:variant>
        <vt:i4>213</vt:i4>
      </vt:variant>
      <vt:variant>
        <vt:i4>0</vt:i4>
      </vt:variant>
      <vt:variant>
        <vt:i4>5</vt:i4>
      </vt:variant>
      <vt:variant>
        <vt:lpwstr>https://www.igwc.gov.au/sites/default/files/2023-08/lgwc-strategic-plan-2023-2026.pdf</vt:lpwstr>
      </vt:variant>
      <vt:variant>
        <vt:lpwstr/>
      </vt:variant>
      <vt:variant>
        <vt:i4>852053</vt:i4>
      </vt:variant>
      <vt:variant>
        <vt:i4>204</vt:i4>
      </vt:variant>
      <vt:variant>
        <vt:i4>0</vt:i4>
      </vt:variant>
      <vt:variant>
        <vt:i4>5</vt:i4>
      </vt:variant>
      <vt:variant>
        <vt:lpwstr>https://www.igwc.gov.au/sites/default/files/2023-10/sdl-compliance-framework.pdf</vt:lpwstr>
      </vt:variant>
      <vt:variant>
        <vt:lpwstr/>
      </vt:variant>
      <vt:variant>
        <vt:i4>1179710</vt:i4>
      </vt:variant>
      <vt:variant>
        <vt:i4>197</vt:i4>
      </vt:variant>
      <vt:variant>
        <vt:i4>0</vt:i4>
      </vt:variant>
      <vt:variant>
        <vt:i4>5</vt:i4>
      </vt:variant>
      <vt:variant>
        <vt:lpwstr/>
      </vt:variant>
      <vt:variant>
        <vt:lpwstr>_Toc203485745</vt:lpwstr>
      </vt:variant>
      <vt:variant>
        <vt:i4>1179710</vt:i4>
      </vt:variant>
      <vt:variant>
        <vt:i4>191</vt:i4>
      </vt:variant>
      <vt:variant>
        <vt:i4>0</vt:i4>
      </vt:variant>
      <vt:variant>
        <vt:i4>5</vt:i4>
      </vt:variant>
      <vt:variant>
        <vt:lpwstr/>
      </vt:variant>
      <vt:variant>
        <vt:lpwstr>_Toc203485744</vt:lpwstr>
      </vt:variant>
      <vt:variant>
        <vt:i4>1179710</vt:i4>
      </vt:variant>
      <vt:variant>
        <vt:i4>185</vt:i4>
      </vt:variant>
      <vt:variant>
        <vt:i4>0</vt:i4>
      </vt:variant>
      <vt:variant>
        <vt:i4>5</vt:i4>
      </vt:variant>
      <vt:variant>
        <vt:lpwstr/>
      </vt:variant>
      <vt:variant>
        <vt:lpwstr>_Toc203485743</vt:lpwstr>
      </vt:variant>
      <vt:variant>
        <vt:i4>1179710</vt:i4>
      </vt:variant>
      <vt:variant>
        <vt:i4>179</vt:i4>
      </vt:variant>
      <vt:variant>
        <vt:i4>0</vt:i4>
      </vt:variant>
      <vt:variant>
        <vt:i4>5</vt:i4>
      </vt:variant>
      <vt:variant>
        <vt:lpwstr/>
      </vt:variant>
      <vt:variant>
        <vt:lpwstr>_Toc203485742</vt:lpwstr>
      </vt:variant>
      <vt:variant>
        <vt:i4>1179710</vt:i4>
      </vt:variant>
      <vt:variant>
        <vt:i4>173</vt:i4>
      </vt:variant>
      <vt:variant>
        <vt:i4>0</vt:i4>
      </vt:variant>
      <vt:variant>
        <vt:i4>5</vt:i4>
      </vt:variant>
      <vt:variant>
        <vt:lpwstr/>
      </vt:variant>
      <vt:variant>
        <vt:lpwstr>_Toc203485741</vt:lpwstr>
      </vt:variant>
      <vt:variant>
        <vt:i4>1179710</vt:i4>
      </vt:variant>
      <vt:variant>
        <vt:i4>167</vt:i4>
      </vt:variant>
      <vt:variant>
        <vt:i4>0</vt:i4>
      </vt:variant>
      <vt:variant>
        <vt:i4>5</vt:i4>
      </vt:variant>
      <vt:variant>
        <vt:lpwstr/>
      </vt:variant>
      <vt:variant>
        <vt:lpwstr>_Toc203485740</vt:lpwstr>
      </vt:variant>
      <vt:variant>
        <vt:i4>1376318</vt:i4>
      </vt:variant>
      <vt:variant>
        <vt:i4>161</vt:i4>
      </vt:variant>
      <vt:variant>
        <vt:i4>0</vt:i4>
      </vt:variant>
      <vt:variant>
        <vt:i4>5</vt:i4>
      </vt:variant>
      <vt:variant>
        <vt:lpwstr/>
      </vt:variant>
      <vt:variant>
        <vt:lpwstr>_Toc203485739</vt:lpwstr>
      </vt:variant>
      <vt:variant>
        <vt:i4>1376318</vt:i4>
      </vt:variant>
      <vt:variant>
        <vt:i4>155</vt:i4>
      </vt:variant>
      <vt:variant>
        <vt:i4>0</vt:i4>
      </vt:variant>
      <vt:variant>
        <vt:i4>5</vt:i4>
      </vt:variant>
      <vt:variant>
        <vt:lpwstr/>
      </vt:variant>
      <vt:variant>
        <vt:lpwstr>_Toc203485738</vt:lpwstr>
      </vt:variant>
      <vt:variant>
        <vt:i4>1376318</vt:i4>
      </vt:variant>
      <vt:variant>
        <vt:i4>149</vt:i4>
      </vt:variant>
      <vt:variant>
        <vt:i4>0</vt:i4>
      </vt:variant>
      <vt:variant>
        <vt:i4>5</vt:i4>
      </vt:variant>
      <vt:variant>
        <vt:lpwstr/>
      </vt:variant>
      <vt:variant>
        <vt:lpwstr>_Toc203485737</vt:lpwstr>
      </vt:variant>
      <vt:variant>
        <vt:i4>1376318</vt:i4>
      </vt:variant>
      <vt:variant>
        <vt:i4>143</vt:i4>
      </vt:variant>
      <vt:variant>
        <vt:i4>0</vt:i4>
      </vt:variant>
      <vt:variant>
        <vt:i4>5</vt:i4>
      </vt:variant>
      <vt:variant>
        <vt:lpwstr/>
      </vt:variant>
      <vt:variant>
        <vt:lpwstr>_Toc203485736</vt:lpwstr>
      </vt:variant>
      <vt:variant>
        <vt:i4>1376318</vt:i4>
      </vt:variant>
      <vt:variant>
        <vt:i4>137</vt:i4>
      </vt:variant>
      <vt:variant>
        <vt:i4>0</vt:i4>
      </vt:variant>
      <vt:variant>
        <vt:i4>5</vt:i4>
      </vt:variant>
      <vt:variant>
        <vt:lpwstr/>
      </vt:variant>
      <vt:variant>
        <vt:lpwstr>_Toc203485735</vt:lpwstr>
      </vt:variant>
      <vt:variant>
        <vt:i4>1376318</vt:i4>
      </vt:variant>
      <vt:variant>
        <vt:i4>131</vt:i4>
      </vt:variant>
      <vt:variant>
        <vt:i4>0</vt:i4>
      </vt:variant>
      <vt:variant>
        <vt:i4>5</vt:i4>
      </vt:variant>
      <vt:variant>
        <vt:lpwstr/>
      </vt:variant>
      <vt:variant>
        <vt:lpwstr>_Toc203485734</vt:lpwstr>
      </vt:variant>
      <vt:variant>
        <vt:i4>1376318</vt:i4>
      </vt:variant>
      <vt:variant>
        <vt:i4>125</vt:i4>
      </vt:variant>
      <vt:variant>
        <vt:i4>0</vt:i4>
      </vt:variant>
      <vt:variant>
        <vt:i4>5</vt:i4>
      </vt:variant>
      <vt:variant>
        <vt:lpwstr/>
      </vt:variant>
      <vt:variant>
        <vt:lpwstr>_Toc203485733</vt:lpwstr>
      </vt:variant>
      <vt:variant>
        <vt:i4>1376318</vt:i4>
      </vt:variant>
      <vt:variant>
        <vt:i4>119</vt:i4>
      </vt:variant>
      <vt:variant>
        <vt:i4>0</vt:i4>
      </vt:variant>
      <vt:variant>
        <vt:i4>5</vt:i4>
      </vt:variant>
      <vt:variant>
        <vt:lpwstr/>
      </vt:variant>
      <vt:variant>
        <vt:lpwstr>_Toc203485732</vt:lpwstr>
      </vt:variant>
      <vt:variant>
        <vt:i4>1376318</vt:i4>
      </vt:variant>
      <vt:variant>
        <vt:i4>113</vt:i4>
      </vt:variant>
      <vt:variant>
        <vt:i4>0</vt:i4>
      </vt:variant>
      <vt:variant>
        <vt:i4>5</vt:i4>
      </vt:variant>
      <vt:variant>
        <vt:lpwstr/>
      </vt:variant>
      <vt:variant>
        <vt:lpwstr>_Toc203485731</vt:lpwstr>
      </vt:variant>
      <vt:variant>
        <vt:i4>1376318</vt:i4>
      </vt:variant>
      <vt:variant>
        <vt:i4>107</vt:i4>
      </vt:variant>
      <vt:variant>
        <vt:i4>0</vt:i4>
      </vt:variant>
      <vt:variant>
        <vt:i4>5</vt:i4>
      </vt:variant>
      <vt:variant>
        <vt:lpwstr/>
      </vt:variant>
      <vt:variant>
        <vt:lpwstr>_Toc203485730</vt:lpwstr>
      </vt:variant>
      <vt:variant>
        <vt:i4>1310782</vt:i4>
      </vt:variant>
      <vt:variant>
        <vt:i4>101</vt:i4>
      </vt:variant>
      <vt:variant>
        <vt:i4>0</vt:i4>
      </vt:variant>
      <vt:variant>
        <vt:i4>5</vt:i4>
      </vt:variant>
      <vt:variant>
        <vt:lpwstr/>
      </vt:variant>
      <vt:variant>
        <vt:lpwstr>_Toc203485729</vt:lpwstr>
      </vt:variant>
      <vt:variant>
        <vt:i4>1310782</vt:i4>
      </vt:variant>
      <vt:variant>
        <vt:i4>95</vt:i4>
      </vt:variant>
      <vt:variant>
        <vt:i4>0</vt:i4>
      </vt:variant>
      <vt:variant>
        <vt:i4>5</vt:i4>
      </vt:variant>
      <vt:variant>
        <vt:lpwstr/>
      </vt:variant>
      <vt:variant>
        <vt:lpwstr>_Toc203485728</vt:lpwstr>
      </vt:variant>
      <vt:variant>
        <vt:i4>1310782</vt:i4>
      </vt:variant>
      <vt:variant>
        <vt:i4>89</vt:i4>
      </vt:variant>
      <vt:variant>
        <vt:i4>0</vt:i4>
      </vt:variant>
      <vt:variant>
        <vt:i4>5</vt:i4>
      </vt:variant>
      <vt:variant>
        <vt:lpwstr/>
      </vt:variant>
      <vt:variant>
        <vt:lpwstr>_Toc203485727</vt:lpwstr>
      </vt:variant>
      <vt:variant>
        <vt:i4>1310782</vt:i4>
      </vt:variant>
      <vt:variant>
        <vt:i4>83</vt:i4>
      </vt:variant>
      <vt:variant>
        <vt:i4>0</vt:i4>
      </vt:variant>
      <vt:variant>
        <vt:i4>5</vt:i4>
      </vt:variant>
      <vt:variant>
        <vt:lpwstr/>
      </vt:variant>
      <vt:variant>
        <vt:lpwstr>_Toc203485726</vt:lpwstr>
      </vt:variant>
      <vt:variant>
        <vt:i4>1310782</vt:i4>
      </vt:variant>
      <vt:variant>
        <vt:i4>77</vt:i4>
      </vt:variant>
      <vt:variant>
        <vt:i4>0</vt:i4>
      </vt:variant>
      <vt:variant>
        <vt:i4>5</vt:i4>
      </vt:variant>
      <vt:variant>
        <vt:lpwstr/>
      </vt:variant>
      <vt:variant>
        <vt:lpwstr>_Toc203485725</vt:lpwstr>
      </vt:variant>
      <vt:variant>
        <vt:i4>1310782</vt:i4>
      </vt:variant>
      <vt:variant>
        <vt:i4>71</vt:i4>
      </vt:variant>
      <vt:variant>
        <vt:i4>0</vt:i4>
      </vt:variant>
      <vt:variant>
        <vt:i4>5</vt:i4>
      </vt:variant>
      <vt:variant>
        <vt:lpwstr/>
      </vt:variant>
      <vt:variant>
        <vt:lpwstr>_Toc203485724</vt:lpwstr>
      </vt:variant>
      <vt:variant>
        <vt:i4>1310782</vt:i4>
      </vt:variant>
      <vt:variant>
        <vt:i4>65</vt:i4>
      </vt:variant>
      <vt:variant>
        <vt:i4>0</vt:i4>
      </vt:variant>
      <vt:variant>
        <vt:i4>5</vt:i4>
      </vt:variant>
      <vt:variant>
        <vt:lpwstr/>
      </vt:variant>
      <vt:variant>
        <vt:lpwstr>_Toc203485723</vt:lpwstr>
      </vt:variant>
      <vt:variant>
        <vt:i4>1310782</vt:i4>
      </vt:variant>
      <vt:variant>
        <vt:i4>59</vt:i4>
      </vt:variant>
      <vt:variant>
        <vt:i4>0</vt:i4>
      </vt:variant>
      <vt:variant>
        <vt:i4>5</vt:i4>
      </vt:variant>
      <vt:variant>
        <vt:lpwstr/>
      </vt:variant>
      <vt:variant>
        <vt:lpwstr>_Toc203485722</vt:lpwstr>
      </vt:variant>
      <vt:variant>
        <vt:i4>1310782</vt:i4>
      </vt:variant>
      <vt:variant>
        <vt:i4>53</vt:i4>
      </vt:variant>
      <vt:variant>
        <vt:i4>0</vt:i4>
      </vt:variant>
      <vt:variant>
        <vt:i4>5</vt:i4>
      </vt:variant>
      <vt:variant>
        <vt:lpwstr/>
      </vt:variant>
      <vt:variant>
        <vt:lpwstr>_Toc203485721</vt:lpwstr>
      </vt:variant>
      <vt:variant>
        <vt:i4>1310782</vt:i4>
      </vt:variant>
      <vt:variant>
        <vt:i4>47</vt:i4>
      </vt:variant>
      <vt:variant>
        <vt:i4>0</vt:i4>
      </vt:variant>
      <vt:variant>
        <vt:i4>5</vt:i4>
      </vt:variant>
      <vt:variant>
        <vt:lpwstr/>
      </vt:variant>
      <vt:variant>
        <vt:lpwstr>_Toc203485720</vt:lpwstr>
      </vt:variant>
      <vt:variant>
        <vt:i4>1507390</vt:i4>
      </vt:variant>
      <vt:variant>
        <vt:i4>41</vt:i4>
      </vt:variant>
      <vt:variant>
        <vt:i4>0</vt:i4>
      </vt:variant>
      <vt:variant>
        <vt:i4>5</vt:i4>
      </vt:variant>
      <vt:variant>
        <vt:lpwstr/>
      </vt:variant>
      <vt:variant>
        <vt:lpwstr>_Toc203485719</vt:lpwstr>
      </vt:variant>
      <vt:variant>
        <vt:i4>1507390</vt:i4>
      </vt:variant>
      <vt:variant>
        <vt:i4>35</vt:i4>
      </vt:variant>
      <vt:variant>
        <vt:i4>0</vt:i4>
      </vt:variant>
      <vt:variant>
        <vt:i4>5</vt:i4>
      </vt:variant>
      <vt:variant>
        <vt:lpwstr/>
      </vt:variant>
      <vt:variant>
        <vt:lpwstr>_Toc203485718</vt:lpwstr>
      </vt:variant>
      <vt:variant>
        <vt:i4>1507390</vt:i4>
      </vt:variant>
      <vt:variant>
        <vt:i4>29</vt:i4>
      </vt:variant>
      <vt:variant>
        <vt:i4>0</vt:i4>
      </vt:variant>
      <vt:variant>
        <vt:i4>5</vt:i4>
      </vt:variant>
      <vt:variant>
        <vt:lpwstr/>
      </vt:variant>
      <vt:variant>
        <vt:lpwstr>_Toc203485717</vt:lpwstr>
      </vt:variant>
      <vt:variant>
        <vt:i4>1507390</vt:i4>
      </vt:variant>
      <vt:variant>
        <vt:i4>23</vt:i4>
      </vt:variant>
      <vt:variant>
        <vt:i4>0</vt:i4>
      </vt:variant>
      <vt:variant>
        <vt:i4>5</vt:i4>
      </vt:variant>
      <vt:variant>
        <vt:lpwstr/>
      </vt:variant>
      <vt:variant>
        <vt:lpwstr>_Toc203485716</vt:lpwstr>
      </vt:variant>
      <vt:variant>
        <vt:i4>1507390</vt:i4>
      </vt:variant>
      <vt:variant>
        <vt:i4>17</vt:i4>
      </vt:variant>
      <vt:variant>
        <vt:i4>0</vt:i4>
      </vt:variant>
      <vt:variant>
        <vt:i4>5</vt:i4>
      </vt:variant>
      <vt:variant>
        <vt:lpwstr/>
      </vt:variant>
      <vt:variant>
        <vt:lpwstr>_Toc203485715</vt:lpwstr>
      </vt:variant>
      <vt:variant>
        <vt:i4>1507390</vt:i4>
      </vt:variant>
      <vt:variant>
        <vt:i4>11</vt:i4>
      </vt:variant>
      <vt:variant>
        <vt:i4>0</vt:i4>
      </vt:variant>
      <vt:variant>
        <vt:i4>5</vt:i4>
      </vt:variant>
      <vt:variant>
        <vt:lpwstr/>
      </vt:variant>
      <vt:variant>
        <vt:lpwstr>_Toc203485714</vt:lpwstr>
      </vt:variant>
      <vt:variant>
        <vt:i4>8257542</vt:i4>
      </vt:variant>
      <vt:variant>
        <vt:i4>6</vt:i4>
      </vt:variant>
      <vt:variant>
        <vt:i4>0</vt:i4>
      </vt:variant>
      <vt:variant>
        <vt:i4>5</vt:i4>
      </vt:variant>
      <vt:variant>
        <vt:lpwstr>mailto:contact@igwc.gov.au</vt:lpwstr>
      </vt:variant>
      <vt:variant>
        <vt:lpwstr/>
      </vt:variant>
      <vt:variant>
        <vt:i4>3866662</vt:i4>
      </vt:variant>
      <vt:variant>
        <vt:i4>3</vt:i4>
      </vt:variant>
      <vt:variant>
        <vt:i4>0</vt:i4>
      </vt:variant>
      <vt:variant>
        <vt:i4>5</vt:i4>
      </vt:variant>
      <vt:variant>
        <vt:lpwstr>https://www.igwc.gov.au/reviews-reports</vt:lpwstr>
      </vt:variant>
      <vt:variant>
        <vt:lpwstr/>
      </vt:variant>
      <vt:variant>
        <vt:i4>6815772</vt:i4>
      </vt:variant>
      <vt:variant>
        <vt:i4>0</vt:i4>
      </vt:variant>
      <vt:variant>
        <vt:i4>0</vt:i4>
      </vt:variant>
      <vt:variant>
        <vt:i4>5</vt:i4>
      </vt:variant>
      <vt:variant>
        <vt:lpwstr>mailto:copyright@dcceew.gov.au</vt:lpwstr>
      </vt:variant>
      <vt:variant>
        <vt:lpwstr/>
      </vt:variant>
      <vt:variant>
        <vt:i4>1638474</vt:i4>
      </vt:variant>
      <vt:variant>
        <vt:i4>0</vt:i4>
      </vt:variant>
      <vt:variant>
        <vt:i4>0</vt:i4>
      </vt:variant>
      <vt:variant>
        <vt:i4>5</vt:i4>
      </vt:variant>
      <vt:variant>
        <vt:lpwstr>https://www.dcceew.gov.au/sites/default/files/documents/water-entitlement-market-prices-may-2025.pdf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Sustainable Diversion Limit Compliance Report for 2023-2024</dc:title>
  <dc:subject/>
  <dc:creator>Inspector-General of Water Compliance</dc:creator>
  <cp:keywords/>
  <dc:description/>
  <cp:lastModifiedBy>Wendy PHAM</cp:lastModifiedBy>
  <cp:revision>52</cp:revision>
  <cp:lastPrinted>2021-12-26T23:45:00Z</cp:lastPrinted>
  <dcterms:created xsi:type="dcterms:W3CDTF">2025-07-15T11:39:00Z</dcterms:created>
  <dcterms:modified xsi:type="dcterms:W3CDTF">2025-08-17T22:07:00Z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MediaServiceImageTags">
    <vt:lpwstr/>
  </property>
  <property fmtid="{D5CDD505-2E9C-101B-9397-08002B2CF9AE}" pid="4" name="ClassificationContentMarkingHeaderShapeIds">
    <vt:lpwstr>758a12ee,60403ae,5d88050a,6f01d98,3197e26e,72184c07</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b839042,7f2f6199,57e0cef,6726d42,7d0c0b71,44d453c</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ies>
</file>