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DBDB" w14:textId="5F9B611B" w:rsidR="00426F6B" w:rsidRDefault="00426F6B" w:rsidP="00473F5B">
      <w:pPr>
        <w:pStyle w:val="Title"/>
      </w:pPr>
      <w:r w:rsidRPr="003A6733">
        <w:rPr>
          <w:noProof/>
        </w:rPr>
        <w:drawing>
          <wp:anchor distT="0" distB="0" distL="114300" distR="114300" simplePos="0" relativeHeight="251659264" behindDoc="1" locked="0" layoutInCell="1" allowOverlap="1" wp14:anchorId="1E46554B" wp14:editId="7C8B0F9B">
            <wp:simplePos x="0" y="0"/>
            <wp:positionH relativeFrom="page">
              <wp:align>left</wp:align>
            </wp:positionH>
            <wp:positionV relativeFrom="paragraph">
              <wp:posOffset>-932180</wp:posOffset>
            </wp:positionV>
            <wp:extent cx="7597588" cy="10751549"/>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7588" cy="1075154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81DBC61" wp14:editId="7DE2A989">
            <wp:simplePos x="0" y="0"/>
            <wp:positionH relativeFrom="page">
              <wp:posOffset>647700</wp:posOffset>
            </wp:positionH>
            <wp:positionV relativeFrom="page">
              <wp:posOffset>533400</wp:posOffset>
            </wp:positionV>
            <wp:extent cx="3600450" cy="1040130"/>
            <wp:effectExtent l="0" t="0" r="0" b="0"/>
            <wp:wrapNone/>
            <wp:docPr id="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3">
                      <a:extLst>
                        <a:ext uri="{C183D7F6-B498-43B3-948B-1728B52AA6E4}">
                          <adec:decorative xmlns:adec="http://schemas.microsoft.com/office/drawing/2017/decorative" val="1"/>
                        </a:ext>
                      </a:extLst>
                    </pic:cNvPr>
                    <pic:cNvPicPr>
                      <a:picLocks/>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00450"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BA5F2" w14:textId="1753FB13" w:rsidR="00426F6B" w:rsidRDefault="00426F6B" w:rsidP="00473F5B">
      <w:pPr>
        <w:pStyle w:val="Title"/>
      </w:pPr>
    </w:p>
    <w:p w14:paraId="6469031D" w14:textId="1C8941F3" w:rsidR="00426F6B" w:rsidRDefault="00426F6B" w:rsidP="00473F5B">
      <w:pPr>
        <w:pStyle w:val="Title"/>
      </w:pPr>
    </w:p>
    <w:p w14:paraId="1C4D8D10" w14:textId="76621664" w:rsidR="00426F6B" w:rsidRDefault="00426F6B" w:rsidP="00473F5B">
      <w:pPr>
        <w:pStyle w:val="Title"/>
      </w:pPr>
    </w:p>
    <w:p w14:paraId="4672C73F" w14:textId="4D017C59" w:rsidR="00473F5B" w:rsidRDefault="003D7111" w:rsidP="00473F5B">
      <w:pPr>
        <w:pStyle w:val="Title"/>
      </w:pPr>
      <w:r>
        <w:t>Murray</w:t>
      </w:r>
      <w:r w:rsidR="00BA7A3B">
        <w:t>-</w:t>
      </w:r>
      <w:r>
        <w:t xml:space="preserve">Darling Basin </w:t>
      </w:r>
      <w:r w:rsidR="00426F6B">
        <w:t>M</w:t>
      </w:r>
      <w:r w:rsidR="002A72E0">
        <w:t>etering Report Card</w:t>
      </w:r>
    </w:p>
    <w:p w14:paraId="6568BD23" w14:textId="711678CD" w:rsidR="00473F5B" w:rsidRDefault="00BA7A3B" w:rsidP="00E56ACF">
      <w:pPr>
        <w:pStyle w:val="Subtitle"/>
      </w:pPr>
      <w:r>
        <w:t xml:space="preserve">01 July </w:t>
      </w:r>
      <w:r w:rsidR="002A72E0">
        <w:t>20</w:t>
      </w:r>
      <w:r w:rsidR="00842CE9">
        <w:t xml:space="preserve">23 </w:t>
      </w:r>
      <w:r>
        <w:t>–</w:t>
      </w:r>
      <w:r w:rsidR="00842CE9">
        <w:t xml:space="preserve"> </w:t>
      </w:r>
      <w:r>
        <w:t xml:space="preserve">30 June </w:t>
      </w:r>
      <w:r w:rsidR="00842CE9">
        <w:t>2024</w:t>
      </w:r>
    </w:p>
    <w:p w14:paraId="723B916E" w14:textId="7FFFE061" w:rsidR="00473F5B" w:rsidRPr="007E0897" w:rsidRDefault="00BA7A3B" w:rsidP="00E56ACF">
      <w:pPr>
        <w:pStyle w:val="Author"/>
        <w:rPr>
          <w:b/>
          <w:bCs/>
          <w:sz w:val="24"/>
          <w:szCs w:val="28"/>
        </w:rPr>
      </w:pPr>
      <w:r w:rsidRPr="007E0897">
        <w:rPr>
          <w:b/>
          <w:bCs/>
          <w:sz w:val="24"/>
          <w:szCs w:val="28"/>
        </w:rPr>
        <w:t xml:space="preserve">Data as </w:t>
      </w:r>
      <w:proofErr w:type="gramStart"/>
      <w:r w:rsidRPr="007E0897">
        <w:rPr>
          <w:b/>
          <w:bCs/>
          <w:sz w:val="24"/>
          <w:szCs w:val="28"/>
        </w:rPr>
        <w:t>at</w:t>
      </w:r>
      <w:proofErr w:type="gramEnd"/>
      <w:r w:rsidRPr="007E0897">
        <w:rPr>
          <w:b/>
          <w:bCs/>
          <w:sz w:val="24"/>
          <w:szCs w:val="28"/>
        </w:rPr>
        <w:t xml:space="preserve"> 30 June 2024</w:t>
      </w:r>
    </w:p>
    <w:p w14:paraId="07FC3C62" w14:textId="1A99C961" w:rsidR="00473F5B" w:rsidRDefault="00473F5B">
      <w:pPr>
        <w:spacing w:after="0"/>
        <w:rPr>
          <w:b/>
          <w:color w:val="FFFFFF"/>
          <w:sz w:val="60"/>
          <w:szCs w:val="24"/>
        </w:rPr>
      </w:pPr>
      <w:r>
        <w:br w:type="page"/>
      </w:r>
    </w:p>
    <w:p w14:paraId="4044C11E" w14:textId="28B08E86" w:rsidR="00C118DE" w:rsidRPr="00452256" w:rsidRDefault="00C118DE" w:rsidP="00C118DE">
      <w:pPr>
        <w:rPr>
          <w:szCs w:val="20"/>
        </w:rPr>
      </w:pPr>
      <w:r w:rsidRPr="00452256">
        <w:rPr>
          <w:szCs w:val="20"/>
        </w:rPr>
        <w:lastRenderedPageBreak/>
        <w:t>© Commonwealth of Australia 202</w:t>
      </w:r>
      <w:r w:rsidR="00842CE9">
        <w:rPr>
          <w:szCs w:val="20"/>
        </w:rPr>
        <w:t>5</w:t>
      </w:r>
    </w:p>
    <w:p w14:paraId="28B179DA" w14:textId="77777777" w:rsidR="00C118DE" w:rsidRPr="00452256" w:rsidRDefault="00C118DE" w:rsidP="00C118DE">
      <w:pPr>
        <w:rPr>
          <w:rStyle w:val="Strong"/>
          <w:szCs w:val="20"/>
        </w:rPr>
      </w:pPr>
      <w:r w:rsidRPr="00452256">
        <w:rPr>
          <w:rStyle w:val="Strong"/>
          <w:szCs w:val="20"/>
        </w:rPr>
        <w:t>Ownership of intellectual property rights</w:t>
      </w:r>
    </w:p>
    <w:p w14:paraId="3B9C6235" w14:textId="77777777" w:rsidR="00C118DE" w:rsidRPr="00452256" w:rsidRDefault="00C118DE" w:rsidP="00C118DE">
      <w:pPr>
        <w:rPr>
          <w:szCs w:val="20"/>
        </w:rPr>
      </w:pPr>
      <w:r w:rsidRPr="00452256">
        <w:rPr>
          <w:szCs w:val="20"/>
        </w:rPr>
        <w:t>Unless otherwise noted, copyright (and any other intellectual property rights) in this publication is owned by the Commonwealth of Australia (referred to as the Commonwealth).</w:t>
      </w:r>
    </w:p>
    <w:p w14:paraId="79706610" w14:textId="77777777" w:rsidR="00C118DE" w:rsidRPr="00452256" w:rsidRDefault="00C118DE" w:rsidP="00C118DE">
      <w:pPr>
        <w:rPr>
          <w:rStyle w:val="Strong"/>
          <w:szCs w:val="20"/>
        </w:rPr>
      </w:pPr>
      <w:r w:rsidRPr="00452256">
        <w:rPr>
          <w:rStyle w:val="Strong"/>
          <w:szCs w:val="20"/>
        </w:rPr>
        <w:t xml:space="preserve">Creative Commons licence </w:t>
      </w:r>
    </w:p>
    <w:p w14:paraId="680879B5" w14:textId="77777777" w:rsidR="00C118DE" w:rsidRPr="00452256" w:rsidRDefault="00C118DE" w:rsidP="00C118DE">
      <w:pPr>
        <w:rPr>
          <w:szCs w:val="20"/>
        </w:rPr>
      </w:pPr>
      <w:r w:rsidRPr="00452256">
        <w:rPr>
          <w:szCs w:val="20"/>
        </w:rPr>
        <w:t xml:space="preserve">All material in this publication is licensed under a Creative Commons Attribution 4.0 International Licence, except for content supplied by third parties, logos and the Commonwealth Coat of Arms. </w:t>
      </w:r>
    </w:p>
    <w:p w14:paraId="2832055F" w14:textId="77777777" w:rsidR="00C118DE" w:rsidRPr="00452256" w:rsidRDefault="00C118DE" w:rsidP="00C118DE">
      <w:pPr>
        <w:rPr>
          <w:szCs w:val="20"/>
        </w:rPr>
      </w:pPr>
      <w:r w:rsidRPr="00452256">
        <w:rPr>
          <w:szCs w:val="20"/>
        </w:rPr>
        <w:t xml:space="preserve">Inquiries about the licence and any use of this document should be emailed to </w:t>
      </w:r>
      <w:hyperlink r:id="rId13" w:history="1">
        <w:r w:rsidRPr="00452256">
          <w:rPr>
            <w:rStyle w:val="Hyperlink"/>
            <w:szCs w:val="20"/>
          </w:rPr>
          <w:t>copyright@dcceew.gov.au</w:t>
        </w:r>
      </w:hyperlink>
      <w:r w:rsidRPr="00452256">
        <w:rPr>
          <w:szCs w:val="20"/>
        </w:rPr>
        <w:t>.</w:t>
      </w:r>
    </w:p>
    <w:p w14:paraId="2204E794" w14:textId="77777777" w:rsidR="00C118DE" w:rsidRPr="00452256" w:rsidRDefault="00C118DE" w:rsidP="00C118DE">
      <w:pPr>
        <w:rPr>
          <w:szCs w:val="20"/>
        </w:rPr>
      </w:pPr>
      <w:r w:rsidRPr="00452256">
        <w:rPr>
          <w:noProof/>
          <w:szCs w:val="20"/>
          <w:lang w:eastAsia="en-AU"/>
        </w:rPr>
        <w:drawing>
          <wp:inline distT="0" distB="0" distL="0" distR="0" wp14:anchorId="05DB0953" wp14:editId="3F0175E4">
            <wp:extent cx="724535" cy="25527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134D8FB" w14:textId="77777777" w:rsidR="00C118DE" w:rsidRPr="00452256" w:rsidRDefault="00C118DE" w:rsidP="00C118DE">
      <w:pPr>
        <w:rPr>
          <w:rStyle w:val="Strong"/>
          <w:szCs w:val="20"/>
        </w:rPr>
      </w:pPr>
      <w:r w:rsidRPr="00452256">
        <w:rPr>
          <w:rStyle w:val="Strong"/>
          <w:szCs w:val="20"/>
        </w:rPr>
        <w:t>Cataloguing data</w:t>
      </w:r>
    </w:p>
    <w:p w14:paraId="5374E236" w14:textId="7EC719DA" w:rsidR="00C118DE" w:rsidRPr="003A304E" w:rsidRDefault="00C118DE" w:rsidP="00C118DE">
      <w:pPr>
        <w:rPr>
          <w:szCs w:val="20"/>
        </w:rPr>
      </w:pPr>
      <w:r w:rsidRPr="00452256">
        <w:rPr>
          <w:szCs w:val="20"/>
        </w:rPr>
        <w:t>This publication (and any material sourced from it) should be attributed as: Inspector-General of Water Compliance 202</w:t>
      </w:r>
      <w:r w:rsidR="00842CE9" w:rsidRPr="003A304E">
        <w:rPr>
          <w:szCs w:val="20"/>
        </w:rPr>
        <w:t>5</w:t>
      </w:r>
      <w:r w:rsidRPr="003A304E">
        <w:rPr>
          <w:szCs w:val="20"/>
        </w:rPr>
        <w:t xml:space="preserve">, </w:t>
      </w:r>
      <w:r w:rsidR="00842CE9" w:rsidRPr="003A304E">
        <w:rPr>
          <w:rStyle w:val="Emphasis"/>
          <w:szCs w:val="20"/>
        </w:rPr>
        <w:t>Metering Report Card 2023 - 2024</w:t>
      </w:r>
      <w:r w:rsidRPr="003A304E">
        <w:rPr>
          <w:szCs w:val="20"/>
        </w:rPr>
        <w:t xml:space="preserve">, the Australian Government, Canberra, </w:t>
      </w:r>
      <w:r w:rsidR="00842CE9" w:rsidRPr="003A304E">
        <w:rPr>
          <w:szCs w:val="20"/>
        </w:rPr>
        <w:t>September</w:t>
      </w:r>
      <w:r w:rsidRPr="003A304E">
        <w:rPr>
          <w:szCs w:val="20"/>
        </w:rPr>
        <w:t xml:space="preserve"> 202</w:t>
      </w:r>
      <w:r w:rsidR="00842CE9" w:rsidRPr="003A304E">
        <w:rPr>
          <w:szCs w:val="20"/>
        </w:rPr>
        <w:t>5</w:t>
      </w:r>
      <w:r w:rsidRPr="003A304E">
        <w:rPr>
          <w:szCs w:val="20"/>
        </w:rPr>
        <w:t>. CC BY 4.0.</w:t>
      </w:r>
    </w:p>
    <w:p w14:paraId="461700F7" w14:textId="1AFA6183" w:rsidR="00C118DE" w:rsidRPr="00724B0B" w:rsidRDefault="00C118DE" w:rsidP="00C118DE">
      <w:pPr>
        <w:rPr>
          <w:rStyle w:val="Hyperlink"/>
          <w:color w:val="auto"/>
          <w:u w:val="none"/>
        </w:rPr>
      </w:pPr>
      <w:r w:rsidRPr="003A304E">
        <w:rPr>
          <w:szCs w:val="20"/>
        </w:rPr>
        <w:t xml:space="preserve">This publication is available </w:t>
      </w:r>
      <w:proofErr w:type="gramStart"/>
      <w:r w:rsidRPr="003A304E">
        <w:rPr>
          <w:szCs w:val="20"/>
        </w:rPr>
        <w:t xml:space="preserve">at </w:t>
      </w:r>
      <w:r w:rsidR="00724B0B" w:rsidRPr="00724B0B">
        <w:t>:</w:t>
      </w:r>
      <w:proofErr w:type="gramEnd"/>
      <w:r w:rsidR="00724B0B" w:rsidRPr="00724B0B">
        <w:t xml:space="preserve"> </w:t>
      </w:r>
      <w:hyperlink r:id="rId15" w:history="1">
        <w:r w:rsidR="00724B0B" w:rsidRPr="00724B0B">
          <w:rPr>
            <w:rStyle w:val="Hyperlink"/>
          </w:rPr>
          <w:t>https://www.igwc.gov.au/what-we-do/reviews-and-reports</w:t>
        </w:r>
      </w:hyperlink>
    </w:p>
    <w:p w14:paraId="7B8CEB47" w14:textId="77777777" w:rsidR="00C118DE" w:rsidRPr="00452256" w:rsidRDefault="00C118DE" w:rsidP="00C118DE">
      <w:pPr>
        <w:rPr>
          <w:szCs w:val="20"/>
        </w:rPr>
      </w:pPr>
      <w:r w:rsidRPr="00452256">
        <w:rPr>
          <w:szCs w:val="20"/>
        </w:rPr>
        <w:t>Inspector-General of Water Compliance</w:t>
      </w:r>
      <w:r w:rsidRPr="00452256">
        <w:rPr>
          <w:szCs w:val="20"/>
        </w:rPr>
        <w:br/>
        <w:t>GPO Box 3090 Canberra ACT 2601</w:t>
      </w:r>
    </w:p>
    <w:p w14:paraId="682B040B" w14:textId="77777777" w:rsidR="00C118DE" w:rsidRPr="00452256" w:rsidRDefault="00C118DE" w:rsidP="00C118DE">
      <w:pPr>
        <w:rPr>
          <w:rStyle w:val="Strong"/>
          <w:szCs w:val="20"/>
        </w:rPr>
      </w:pPr>
      <w:r w:rsidRPr="00452256">
        <w:rPr>
          <w:rStyle w:val="Strong"/>
          <w:szCs w:val="20"/>
        </w:rPr>
        <w:t>Disclaimer</w:t>
      </w:r>
    </w:p>
    <w:p w14:paraId="55470092" w14:textId="77777777" w:rsidR="00C118DE" w:rsidRPr="00452256" w:rsidRDefault="00C118DE" w:rsidP="00C118DE">
      <w:pPr>
        <w:rPr>
          <w:szCs w:val="20"/>
        </w:rPr>
      </w:pPr>
      <w:r w:rsidRPr="00452256">
        <w:rPr>
          <w:szCs w:val="20"/>
        </w:rPr>
        <w:t>The Australian Government represented by the Inspector-General of Water Compliance, has exercised due care and skill in preparing and compiling the information and data in this publication. Notwithstanding, the Inspector-General of Water Compliance, the Australian Government’s employees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1FEDD46E" w14:textId="77777777" w:rsidR="00C118DE" w:rsidRPr="00452256" w:rsidRDefault="00C118DE" w:rsidP="00C118DE">
      <w:pPr>
        <w:rPr>
          <w:rStyle w:val="Strong"/>
          <w:szCs w:val="20"/>
        </w:rPr>
      </w:pPr>
      <w:r w:rsidRPr="00452256">
        <w:rPr>
          <w:rStyle w:val="Strong"/>
          <w:szCs w:val="20"/>
        </w:rPr>
        <w:t>Acknowledgement of the Traditional Owners of the Murray–Darling Basin</w:t>
      </w:r>
    </w:p>
    <w:p w14:paraId="45B7AE50" w14:textId="77777777" w:rsidR="00537A12" w:rsidRPr="00537A12" w:rsidRDefault="00537A12" w:rsidP="00537A12">
      <w:pPr>
        <w:rPr>
          <w:szCs w:val="20"/>
        </w:rPr>
      </w:pPr>
      <w:r w:rsidRPr="00537A12">
        <w:t>We pay our respects to the Traditional Owners and their Nations of the Murray-Darling Basin. We acknowledge their deep cultural, social, environmental, spiritual and economic connection to their lands and waters.</w:t>
      </w:r>
    </w:p>
    <w:p w14:paraId="4EC63EA8" w14:textId="77777777" w:rsidR="00537A12" w:rsidRPr="00537A12" w:rsidRDefault="00537A12" w:rsidP="00537A12">
      <w:r w:rsidRPr="00537A12">
        <w:t xml:space="preserve">Aboriginal people should be aware that this publication may contain images, names or quotations of deceased persons. </w:t>
      </w:r>
    </w:p>
    <w:p w14:paraId="10795F39" w14:textId="77777777" w:rsidR="00C118DE" w:rsidRPr="00452256" w:rsidRDefault="00C118DE" w:rsidP="00C118DE">
      <w:pPr>
        <w:rPr>
          <w:rStyle w:val="Strong"/>
          <w:szCs w:val="20"/>
        </w:rPr>
      </w:pPr>
      <w:r w:rsidRPr="00452256">
        <w:rPr>
          <w:rStyle w:val="Strong"/>
          <w:szCs w:val="20"/>
        </w:rPr>
        <w:t>Accessibility</w:t>
      </w:r>
    </w:p>
    <w:p w14:paraId="1B46CAB4" w14:textId="6E89D490" w:rsidR="00C118DE" w:rsidRDefault="00C118DE" w:rsidP="00C118DE">
      <w:pPr>
        <w:rPr>
          <w:szCs w:val="20"/>
        </w:rPr>
      </w:pPr>
      <w:r w:rsidRPr="00452256">
        <w:rPr>
          <w:szCs w:val="20"/>
        </w:rPr>
        <w:t>The document and information is available in accessible formats. On some occasions the highly technical nature of the document means that we cannot make some sections fully accessible. If you encounter accessibility problems or the document is in a format that you cannot access, please contact us</w:t>
      </w:r>
      <w:r w:rsidR="002E7966">
        <w:rPr>
          <w:szCs w:val="20"/>
        </w:rPr>
        <w:t xml:space="preserve"> at </w:t>
      </w:r>
      <w:hyperlink r:id="rId16" w:history="1">
        <w:r w:rsidR="002E7966" w:rsidRPr="00574A02">
          <w:rPr>
            <w:rStyle w:val="Hyperlink"/>
            <w:szCs w:val="20"/>
          </w:rPr>
          <w:t>contact@igwc.gov.au</w:t>
        </w:r>
      </w:hyperlink>
      <w:r w:rsidR="002E7966">
        <w:rPr>
          <w:szCs w:val="20"/>
        </w:rPr>
        <w:t xml:space="preserve">. </w:t>
      </w:r>
    </w:p>
    <w:p w14:paraId="3481D538" w14:textId="01C53F82" w:rsidR="00473F5B" w:rsidRDefault="00473F5B" w:rsidP="006318A8">
      <w:r>
        <w:br w:type="page"/>
      </w:r>
    </w:p>
    <w:p w14:paraId="4F9069DE" w14:textId="77777777" w:rsidR="00080C7A" w:rsidRDefault="00080C7A" w:rsidP="00080C7A">
      <w:pPr>
        <w:pStyle w:val="Heading1"/>
        <w:rPr>
          <w:lang w:val="en-US"/>
        </w:rPr>
      </w:pPr>
      <w:r>
        <w:rPr>
          <w:lang w:val="en-US"/>
        </w:rPr>
        <w:lastRenderedPageBreak/>
        <w:t>Glossary</w:t>
      </w:r>
    </w:p>
    <w:p w14:paraId="723A4FA0" w14:textId="77777777" w:rsidR="00080C7A" w:rsidRPr="004C21A4" w:rsidRDefault="00080C7A" w:rsidP="00080C7A">
      <w:pPr>
        <w:rPr>
          <w:lang w:val="en-US"/>
        </w:rPr>
      </w:pPr>
      <w:r w:rsidRPr="004C21A4">
        <w:rPr>
          <w:b/>
          <w:bCs/>
          <w:lang w:val="en-US"/>
        </w:rPr>
        <w:t>Accurate</w:t>
      </w:r>
      <w:r w:rsidRPr="004C21A4">
        <w:rPr>
          <w:lang w:val="en-US"/>
        </w:rPr>
        <w:t xml:space="preserve"> Up to +/-5% MPE in-situ operation as per Compliance Compact and MAF2 requirements.</w:t>
      </w:r>
    </w:p>
    <w:p w14:paraId="420D8F22" w14:textId="77777777" w:rsidR="00080C7A" w:rsidRPr="004C21A4" w:rsidRDefault="00080C7A" w:rsidP="00080C7A">
      <w:pPr>
        <w:rPr>
          <w:lang w:val="en-US"/>
        </w:rPr>
      </w:pPr>
      <w:r w:rsidRPr="004C21A4">
        <w:rPr>
          <w:b/>
          <w:bCs/>
          <w:lang w:val="en-US"/>
        </w:rPr>
        <w:t xml:space="preserve">All other </w:t>
      </w:r>
      <w:proofErr w:type="gramStart"/>
      <w:r w:rsidRPr="004C21A4">
        <w:rPr>
          <w:b/>
          <w:bCs/>
          <w:lang w:val="en-US"/>
        </w:rPr>
        <w:t>meters</w:t>
      </w:r>
      <w:proofErr w:type="gramEnd"/>
      <w:r w:rsidRPr="004C21A4">
        <w:rPr>
          <w:lang w:val="en-US"/>
        </w:rPr>
        <w:t xml:space="preserve"> A category used in the metering accuracy and meter count metrics. This category represents non-urban meters that are not AS4747-compliant or grandfathered and includes meters that require upgrading, meters that are exempt from metering standards (such as a meter for domestic and stock use) or meters with other exemptions as defined under the relevant Basin State policy.</w:t>
      </w:r>
    </w:p>
    <w:p w14:paraId="1D38D54F" w14:textId="77777777" w:rsidR="00080C7A" w:rsidRPr="0031082C" w:rsidRDefault="00080C7A" w:rsidP="00080C7A">
      <w:pPr>
        <w:rPr>
          <w:b/>
          <w:bCs/>
          <w:lang w:val="en-US"/>
        </w:rPr>
      </w:pPr>
      <w:r w:rsidRPr="0031082C">
        <w:rPr>
          <w:b/>
          <w:bCs/>
          <w:lang w:val="en-US"/>
        </w:rPr>
        <w:t xml:space="preserve">AS4747-compliant </w:t>
      </w:r>
      <w:r>
        <w:rPr>
          <w:b/>
          <w:bCs/>
          <w:lang w:val="en-US"/>
        </w:rPr>
        <w:t xml:space="preserve">meter </w:t>
      </w:r>
      <w:r w:rsidRPr="004C21A4">
        <w:rPr>
          <w:lang w:val="en-US"/>
        </w:rPr>
        <w:t>A non-urban water meter that has met the requirements of AS4747 and has been</w:t>
      </w:r>
      <w:r>
        <w:rPr>
          <w:b/>
          <w:bCs/>
          <w:lang w:val="en-US"/>
        </w:rPr>
        <w:t xml:space="preserve"> </w:t>
      </w:r>
      <w:r w:rsidRPr="004C21A4">
        <w:rPr>
          <w:lang w:val="en-US"/>
        </w:rPr>
        <w:t xml:space="preserve">issued with a Pattern Approval certificate. </w:t>
      </w:r>
    </w:p>
    <w:p w14:paraId="285BF5E4" w14:textId="77777777" w:rsidR="00080C7A" w:rsidRPr="0031082C" w:rsidRDefault="00080C7A" w:rsidP="00080C7A">
      <w:pPr>
        <w:rPr>
          <w:b/>
          <w:bCs/>
          <w:lang w:val="en-US"/>
        </w:rPr>
      </w:pPr>
      <w:r w:rsidRPr="0031082C">
        <w:rPr>
          <w:b/>
          <w:bCs/>
          <w:lang w:val="en-US"/>
        </w:rPr>
        <w:t>Australian Standard</w:t>
      </w:r>
      <w:r>
        <w:rPr>
          <w:b/>
          <w:bCs/>
          <w:lang w:val="en-US"/>
        </w:rPr>
        <w:t xml:space="preserve"> </w:t>
      </w:r>
      <w:r w:rsidRPr="0031082C">
        <w:rPr>
          <w:b/>
          <w:bCs/>
          <w:lang w:val="en-US"/>
        </w:rPr>
        <w:t>4747</w:t>
      </w:r>
      <w:r>
        <w:rPr>
          <w:b/>
          <w:bCs/>
          <w:lang w:val="en-US"/>
        </w:rPr>
        <w:t>-2025</w:t>
      </w:r>
      <w:r w:rsidRPr="0031082C">
        <w:rPr>
          <w:b/>
          <w:bCs/>
          <w:lang w:val="en-US"/>
        </w:rPr>
        <w:t xml:space="preserve"> (AS4747)</w:t>
      </w:r>
      <w:r>
        <w:rPr>
          <w:b/>
          <w:bCs/>
          <w:lang w:val="en-US"/>
        </w:rPr>
        <w:t xml:space="preserve"> </w:t>
      </w:r>
      <w:r w:rsidRPr="004C21A4">
        <w:rPr>
          <w:lang w:val="en-US"/>
        </w:rPr>
        <w:t>The Australian standard which covers meters for non-urban water supply, and by</w:t>
      </w:r>
      <w:r>
        <w:rPr>
          <w:b/>
          <w:bCs/>
          <w:lang w:val="en-US"/>
        </w:rPr>
        <w:t xml:space="preserve"> </w:t>
      </w:r>
      <w:r w:rsidRPr="004C21A4">
        <w:rPr>
          <w:lang w:val="en-US"/>
        </w:rPr>
        <w:t>which said meters are tested and Pattern Approved.</w:t>
      </w:r>
      <w:r>
        <w:rPr>
          <w:lang w:val="en-US"/>
        </w:rPr>
        <w:t xml:space="preserve"> This standard was updated in June 2025 with the revision currently in force.</w:t>
      </w:r>
    </w:p>
    <w:p w14:paraId="6AF4FC86" w14:textId="77777777" w:rsidR="00080C7A" w:rsidRPr="0031082C" w:rsidRDefault="00080C7A" w:rsidP="00080C7A">
      <w:pPr>
        <w:rPr>
          <w:b/>
          <w:bCs/>
          <w:lang w:val="en-US"/>
        </w:rPr>
      </w:pPr>
      <w:r w:rsidRPr="0031082C">
        <w:rPr>
          <w:b/>
          <w:bCs/>
          <w:lang w:val="en-US"/>
        </w:rPr>
        <w:t>Certified Person;</w:t>
      </w:r>
      <w:r>
        <w:rPr>
          <w:b/>
          <w:bCs/>
          <w:lang w:val="en-US"/>
        </w:rPr>
        <w:t xml:space="preserve"> </w:t>
      </w:r>
      <w:r w:rsidRPr="0031082C">
        <w:rPr>
          <w:b/>
          <w:bCs/>
          <w:lang w:val="en-US"/>
        </w:rPr>
        <w:t>Certified Meter Installer</w:t>
      </w:r>
      <w:r>
        <w:rPr>
          <w:b/>
          <w:bCs/>
          <w:lang w:val="en-US"/>
        </w:rPr>
        <w:t xml:space="preserve"> </w:t>
      </w:r>
      <w:r w:rsidRPr="004C21A4">
        <w:rPr>
          <w:lang w:val="en-US"/>
        </w:rPr>
        <w:t xml:space="preserve">A person certified by an accredited </w:t>
      </w:r>
      <w:proofErr w:type="spellStart"/>
      <w:r w:rsidRPr="004C21A4">
        <w:rPr>
          <w:lang w:val="en-US"/>
        </w:rPr>
        <w:t>organisation</w:t>
      </w:r>
      <w:proofErr w:type="spellEnd"/>
      <w:r w:rsidRPr="004C21A4">
        <w:rPr>
          <w:lang w:val="en-US"/>
        </w:rPr>
        <w:t xml:space="preserve"> to undertake meter installation, maintenance and validation activities in accordance with codified industry practices and Australian Standards.</w:t>
      </w:r>
    </w:p>
    <w:p w14:paraId="53889292" w14:textId="77777777" w:rsidR="00080C7A" w:rsidRPr="0031082C" w:rsidRDefault="00080C7A" w:rsidP="00080C7A">
      <w:pPr>
        <w:rPr>
          <w:b/>
          <w:bCs/>
          <w:lang w:val="en-US"/>
        </w:rPr>
      </w:pPr>
      <w:r w:rsidRPr="0031082C">
        <w:rPr>
          <w:b/>
          <w:bCs/>
          <w:lang w:val="en-US"/>
        </w:rPr>
        <w:t>Closed Conduit meters</w:t>
      </w:r>
      <w:r>
        <w:rPr>
          <w:b/>
          <w:bCs/>
          <w:lang w:val="en-US"/>
        </w:rPr>
        <w:t xml:space="preserve"> </w:t>
      </w:r>
      <w:proofErr w:type="spellStart"/>
      <w:r w:rsidRPr="004C21A4">
        <w:rPr>
          <w:lang w:val="en-US"/>
        </w:rPr>
        <w:t>Meters</w:t>
      </w:r>
      <w:proofErr w:type="spellEnd"/>
      <w:r w:rsidRPr="004C21A4">
        <w:rPr>
          <w:lang w:val="en-US"/>
        </w:rPr>
        <w:t xml:space="preserve"> intended for the metering of water in full flowing pipes.</w:t>
      </w:r>
    </w:p>
    <w:p w14:paraId="396BC87A" w14:textId="77777777" w:rsidR="00080C7A" w:rsidRPr="004C21A4" w:rsidRDefault="00080C7A" w:rsidP="00080C7A">
      <w:pPr>
        <w:rPr>
          <w:lang w:val="en-US"/>
        </w:rPr>
      </w:pPr>
      <w:r w:rsidRPr="0031082C">
        <w:rPr>
          <w:b/>
          <w:bCs/>
          <w:lang w:val="en-US"/>
        </w:rPr>
        <w:t xml:space="preserve">Entitlement </w:t>
      </w:r>
      <w:r w:rsidRPr="004C21A4">
        <w:rPr>
          <w:lang w:val="en-US"/>
        </w:rPr>
        <w:t xml:space="preserve">The amount of water </w:t>
      </w:r>
      <w:proofErr w:type="spellStart"/>
      <w:r w:rsidRPr="004C21A4">
        <w:rPr>
          <w:lang w:val="en-US"/>
        </w:rPr>
        <w:t>authorised</w:t>
      </w:r>
      <w:proofErr w:type="spellEnd"/>
      <w:r w:rsidRPr="004C21A4">
        <w:rPr>
          <w:lang w:val="en-US"/>
        </w:rPr>
        <w:t xml:space="preserve"> </w:t>
      </w:r>
      <w:proofErr w:type="gramStart"/>
      <w:r w:rsidRPr="004C21A4">
        <w:rPr>
          <w:lang w:val="en-US"/>
        </w:rPr>
        <w:t>to</w:t>
      </w:r>
      <w:proofErr w:type="gramEnd"/>
      <w:r w:rsidRPr="004C21A4">
        <w:rPr>
          <w:lang w:val="en-US"/>
        </w:rPr>
        <w:t xml:space="preserve"> be taken and used by an irrigator or water authority, up to a certain volume of water in a year.</w:t>
      </w:r>
    </w:p>
    <w:p w14:paraId="76F6B733" w14:textId="77777777" w:rsidR="00080C7A" w:rsidRPr="0031082C" w:rsidRDefault="00080C7A" w:rsidP="00080C7A">
      <w:pPr>
        <w:rPr>
          <w:b/>
          <w:bCs/>
          <w:lang w:val="en-US"/>
        </w:rPr>
      </w:pPr>
      <w:r w:rsidRPr="0031082C">
        <w:rPr>
          <w:b/>
          <w:bCs/>
          <w:lang w:val="en-US"/>
        </w:rPr>
        <w:t>Floodplain harvesting/Overland flow take</w:t>
      </w:r>
      <w:r>
        <w:rPr>
          <w:b/>
          <w:bCs/>
          <w:lang w:val="en-US"/>
        </w:rPr>
        <w:t xml:space="preserve"> </w:t>
      </w:r>
      <w:r w:rsidRPr="004C21A4">
        <w:rPr>
          <w:lang w:val="en-US"/>
        </w:rPr>
        <w:t xml:space="preserve">A form of take prevalent in New South Wales and Queensland. It </w:t>
      </w:r>
      <w:proofErr w:type="gramStart"/>
      <w:r w:rsidRPr="004C21A4">
        <w:rPr>
          <w:lang w:val="en-US"/>
        </w:rPr>
        <w:t>involves the take of</w:t>
      </w:r>
      <w:proofErr w:type="gramEnd"/>
      <w:r w:rsidRPr="004C21A4">
        <w:rPr>
          <w:lang w:val="en-US"/>
        </w:rPr>
        <w:t xml:space="preserve"> </w:t>
      </w:r>
      <w:r w:rsidRPr="00DE7835">
        <w:rPr>
          <w:lang w:val="en-US"/>
        </w:rPr>
        <w:t>water</w:t>
      </w:r>
      <w:r w:rsidRPr="004C21A4">
        <w:rPr>
          <w:lang w:val="en-US"/>
        </w:rPr>
        <w:t xml:space="preserve"> from floodplain areas, normally using purpose-built structures for capturing </w:t>
      </w:r>
      <w:r w:rsidRPr="00DE7835">
        <w:rPr>
          <w:lang w:val="en-US"/>
        </w:rPr>
        <w:t>water</w:t>
      </w:r>
      <w:r w:rsidRPr="004C21A4">
        <w:rPr>
          <w:lang w:val="en-US"/>
        </w:rPr>
        <w:t xml:space="preserve">. </w:t>
      </w:r>
      <w:proofErr w:type="gramStart"/>
      <w:r w:rsidRPr="004C21A4">
        <w:rPr>
          <w:lang w:val="en-US"/>
        </w:rPr>
        <w:t>Generally</w:t>
      </w:r>
      <w:proofErr w:type="gramEnd"/>
      <w:r w:rsidRPr="004C21A4">
        <w:rPr>
          <w:lang w:val="en-US"/>
        </w:rPr>
        <w:t xml:space="preserve"> occurs after periods of heavy rain.</w:t>
      </w:r>
    </w:p>
    <w:p w14:paraId="71DF1948" w14:textId="77777777" w:rsidR="00080C7A" w:rsidRPr="0031082C" w:rsidRDefault="00080C7A" w:rsidP="00080C7A">
      <w:pPr>
        <w:rPr>
          <w:b/>
          <w:bCs/>
          <w:lang w:val="en-US"/>
        </w:rPr>
      </w:pPr>
      <w:r w:rsidRPr="0031082C">
        <w:rPr>
          <w:b/>
          <w:bCs/>
          <w:lang w:val="en-US"/>
        </w:rPr>
        <w:t>Grandfathered or Contemporary meter</w:t>
      </w:r>
      <w:r>
        <w:rPr>
          <w:b/>
          <w:bCs/>
          <w:lang w:val="en-US"/>
        </w:rPr>
        <w:t xml:space="preserve"> </w:t>
      </w:r>
      <w:r w:rsidRPr="004C21A4">
        <w:rPr>
          <w:lang w:val="en-US"/>
        </w:rPr>
        <w:t xml:space="preserve">A meter that is not pattern-approved but has been approved for continued use with </w:t>
      </w:r>
      <w:r>
        <w:rPr>
          <w:lang w:val="en-US"/>
        </w:rPr>
        <w:t>compliance</w:t>
      </w:r>
      <w:r w:rsidRPr="004C21A4">
        <w:rPr>
          <w:lang w:val="en-US"/>
        </w:rPr>
        <w:t xml:space="preserve"> processes in effect to ensure ongoing accuracy. The state regulator must</w:t>
      </w:r>
      <w:r>
        <w:rPr>
          <w:lang w:val="en-US"/>
        </w:rPr>
        <w:t xml:space="preserve"> </w:t>
      </w:r>
      <w:r w:rsidRPr="004C21A4">
        <w:rPr>
          <w:lang w:val="en-US"/>
        </w:rPr>
        <w:t xml:space="preserve">have an acceptable level of confidence that grandfathered meters have a ±5% accuracy range and have a manufacturer’s certificate of accuracy of ±2.5% and has been installed to manufacturer’s specifications. Full details may be found in chapter 11.1 of the MAF2. Please note the acceptance of grandfathered meters varies across jurisdictions, resulting in different definitions of grandfathered/contemporary meters across the Basin. </w:t>
      </w:r>
    </w:p>
    <w:p w14:paraId="16D9E5CE" w14:textId="77777777" w:rsidR="00080C7A" w:rsidRPr="004C21A4" w:rsidRDefault="00080C7A" w:rsidP="00080C7A">
      <w:pPr>
        <w:rPr>
          <w:lang w:val="en-US"/>
        </w:rPr>
      </w:pPr>
      <w:r w:rsidRPr="0031082C">
        <w:rPr>
          <w:b/>
          <w:bCs/>
          <w:lang w:val="en-US"/>
        </w:rPr>
        <w:t>Murray–Darling Basin Compliance Compact (Compliance Compact)</w:t>
      </w:r>
      <w:r w:rsidRPr="004C21A4">
        <w:rPr>
          <w:lang w:val="en-US"/>
        </w:rPr>
        <w:t xml:space="preserve"> The 2018 agreement between the Australian Government and the Murray-Darling Basin States, setting priorities and obligations on the governments for water compliance effort and for the integrity of Murray–Darling Basin water management.</w:t>
      </w:r>
    </w:p>
    <w:p w14:paraId="4051D30C" w14:textId="0C7051FD" w:rsidR="00080C7A" w:rsidRPr="0031082C" w:rsidRDefault="00080C7A" w:rsidP="00080C7A">
      <w:pPr>
        <w:rPr>
          <w:b/>
          <w:bCs/>
          <w:lang w:val="en-US"/>
        </w:rPr>
      </w:pPr>
      <w:r w:rsidRPr="0031082C">
        <w:rPr>
          <w:b/>
          <w:bCs/>
          <w:lang w:val="en-US"/>
        </w:rPr>
        <w:t>Metrological Assurance Framework 2 (MAF2)</w:t>
      </w:r>
      <w:r>
        <w:rPr>
          <w:b/>
          <w:bCs/>
          <w:lang w:val="en-US"/>
        </w:rPr>
        <w:t xml:space="preserve"> </w:t>
      </w:r>
      <w:r w:rsidRPr="004C21A4">
        <w:rPr>
          <w:lang w:val="en-US"/>
        </w:rPr>
        <w:t xml:space="preserve">Rules and guidance for the use and regulation of non-urban water meters </w:t>
      </w:r>
      <w:hyperlink r:id="rId17" w:history="1">
        <w:r w:rsidR="00DC2FC7" w:rsidRPr="007463DB">
          <w:rPr>
            <w:rStyle w:val="Hyperlink"/>
            <w:lang w:val="en-US"/>
          </w:rPr>
          <w:t>https://www.agriculture.gov.au/sites/default/files/documents/metrological-assurance-framework-2.pdf</w:t>
        </w:r>
      </w:hyperlink>
    </w:p>
    <w:p w14:paraId="7DBB0957" w14:textId="547626DB" w:rsidR="007463DB" w:rsidRDefault="00080C7A" w:rsidP="007463DB">
      <w:pPr>
        <w:rPr>
          <w:lang w:val="en-US"/>
        </w:rPr>
      </w:pPr>
      <w:r w:rsidRPr="00751D64">
        <w:rPr>
          <w:b/>
          <w:bCs/>
          <w:lang w:val="en-US"/>
        </w:rPr>
        <w:t>Meterable take</w:t>
      </w:r>
      <w:r w:rsidRPr="004C21A4">
        <w:rPr>
          <w:lang w:val="en-US"/>
        </w:rPr>
        <w:t xml:space="preserve"> Licensed water take, as defined at clause 7 of the best practice guidelines for minimum metering thresholds as agreed by Basin States. Note – exemptions are defined in Clause 8. See: </w:t>
      </w:r>
      <w:hyperlink r:id="rId18" w:history="1">
        <w:r w:rsidR="007463DB" w:rsidRPr="00920503">
          <w:rPr>
            <w:rStyle w:val="Hyperlink"/>
            <w:lang w:val="en-US"/>
          </w:rPr>
          <w:t>https://www.agriculture.gov.au/sites/default/files/documents/metrological-assurance-framework-2.pdf</w:t>
        </w:r>
      </w:hyperlink>
      <w:r w:rsidR="007463DB" w:rsidRPr="007463DB">
        <w:rPr>
          <w:lang w:val="en-US"/>
        </w:rPr>
        <w:t xml:space="preserve"> </w:t>
      </w:r>
    </w:p>
    <w:p w14:paraId="0A9A9EA7" w14:textId="14D4068A" w:rsidR="00080C7A" w:rsidRPr="00920503" w:rsidRDefault="00080C7A" w:rsidP="00080C7A">
      <w:pPr>
        <w:rPr>
          <w:b/>
          <w:bCs/>
          <w:lang w:val="en-US"/>
        </w:rPr>
      </w:pPr>
      <w:r w:rsidRPr="0031082C">
        <w:rPr>
          <w:b/>
          <w:bCs/>
          <w:lang w:val="en-US"/>
        </w:rPr>
        <w:lastRenderedPageBreak/>
        <w:t>National Measurement Institute (NMI)</w:t>
      </w:r>
      <w:r w:rsidR="00920503">
        <w:rPr>
          <w:b/>
          <w:bCs/>
          <w:lang w:val="en-US"/>
        </w:rPr>
        <w:t xml:space="preserve"> </w:t>
      </w:r>
      <w:r w:rsidRPr="004C21A4">
        <w:rPr>
          <w:lang w:val="en-US"/>
        </w:rPr>
        <w:t>The National Measurement Institute (NMI) is Australia’s peak measurement body responsible for biological, chemical, legal and physical measurement.</w:t>
      </w:r>
    </w:p>
    <w:p w14:paraId="68C52829" w14:textId="77777777" w:rsidR="00080C7A" w:rsidRDefault="00080C7A" w:rsidP="00080C7A">
      <w:pPr>
        <w:rPr>
          <w:lang w:val="en-US"/>
        </w:rPr>
      </w:pPr>
      <w:r w:rsidRPr="0031082C">
        <w:rPr>
          <w:b/>
          <w:bCs/>
          <w:lang w:val="en-US"/>
        </w:rPr>
        <w:t>Open-Channel meters</w:t>
      </w:r>
      <w:r>
        <w:rPr>
          <w:b/>
          <w:bCs/>
          <w:lang w:val="en-US"/>
        </w:rPr>
        <w:t xml:space="preserve"> </w:t>
      </w:r>
      <w:proofErr w:type="spellStart"/>
      <w:r w:rsidRPr="004C21A4">
        <w:rPr>
          <w:lang w:val="en-US"/>
        </w:rPr>
        <w:t>Meters</w:t>
      </w:r>
      <w:proofErr w:type="spellEnd"/>
      <w:r w:rsidRPr="004C21A4">
        <w:rPr>
          <w:lang w:val="en-US"/>
        </w:rPr>
        <w:t xml:space="preserve"> intended for the metering of water in open channels and partially filled pipes.</w:t>
      </w:r>
    </w:p>
    <w:p w14:paraId="6EA28F46" w14:textId="77777777" w:rsidR="00080C7A" w:rsidRPr="0031082C" w:rsidRDefault="00080C7A" w:rsidP="00080C7A">
      <w:pPr>
        <w:rPr>
          <w:b/>
          <w:bCs/>
          <w:lang w:val="en-US"/>
        </w:rPr>
      </w:pPr>
      <w:r w:rsidRPr="0031082C">
        <w:rPr>
          <w:b/>
          <w:bCs/>
          <w:lang w:val="en-US"/>
        </w:rPr>
        <w:t>Pattern Approval</w:t>
      </w:r>
      <w:r w:rsidRPr="004C21A4">
        <w:rPr>
          <w:lang w:val="en-US"/>
        </w:rPr>
        <w:t xml:space="preserve"> Evaluation of a design of a measuring instrument (such as a water meter) by an impartial body which examines the pattern of an instrument against a set of national or international metrological specifications, which determine whether an instrument manufactured in accordance with that design </w:t>
      </w:r>
      <w:proofErr w:type="gramStart"/>
      <w:r w:rsidRPr="004C21A4">
        <w:rPr>
          <w:lang w:val="en-US"/>
        </w:rPr>
        <w:t>is capable of retaining</w:t>
      </w:r>
      <w:proofErr w:type="gramEnd"/>
      <w:r w:rsidRPr="004C21A4">
        <w:rPr>
          <w:lang w:val="en-US"/>
        </w:rPr>
        <w:t xml:space="preserve"> its calibration over a range of conditions.</w:t>
      </w:r>
    </w:p>
    <w:p w14:paraId="6D5F5D39" w14:textId="77777777" w:rsidR="00080C7A" w:rsidRPr="0031082C" w:rsidRDefault="00080C7A" w:rsidP="00080C7A">
      <w:pPr>
        <w:rPr>
          <w:b/>
          <w:bCs/>
          <w:lang w:val="en-US"/>
        </w:rPr>
      </w:pPr>
      <w:r w:rsidRPr="0031082C">
        <w:rPr>
          <w:b/>
          <w:bCs/>
          <w:lang w:val="en-US"/>
        </w:rPr>
        <w:t>Pattern approval certificate</w:t>
      </w:r>
      <w:r>
        <w:rPr>
          <w:b/>
          <w:bCs/>
          <w:lang w:val="en-US"/>
        </w:rPr>
        <w:t xml:space="preserve"> </w:t>
      </w:r>
      <w:r w:rsidRPr="004C21A4">
        <w:rPr>
          <w:lang w:val="en-US"/>
        </w:rPr>
        <w:t>A certificate, published by the NMI, which describes the design (including type and size) of the meter, which is Pattern Approved, and any conditions for the installation, maintenance and use of the meter.</w:t>
      </w:r>
    </w:p>
    <w:p w14:paraId="7E884A04" w14:textId="77777777" w:rsidR="00080C7A" w:rsidRDefault="00080C7A" w:rsidP="00080C7A">
      <w:pPr>
        <w:rPr>
          <w:lang w:val="en-US"/>
        </w:rPr>
      </w:pPr>
      <w:r w:rsidRPr="5FF4AFC2">
        <w:rPr>
          <w:b/>
          <w:bCs/>
          <w:lang w:val="en-US"/>
        </w:rPr>
        <w:t>Telemetry</w:t>
      </w:r>
      <w:r w:rsidRPr="5FF4AFC2">
        <w:rPr>
          <w:lang w:val="en-US"/>
        </w:rPr>
        <w:t xml:space="preserve"> Involves automatically recording data and sending it electronically from the meter to another place for monitoring and analysis</w:t>
      </w:r>
    </w:p>
    <w:p w14:paraId="3ED5B571" w14:textId="77777777" w:rsidR="00080C7A" w:rsidRDefault="00080C7A" w:rsidP="00080C7A">
      <w:pPr>
        <w:rPr>
          <w:lang w:val="en-US"/>
        </w:rPr>
      </w:pPr>
    </w:p>
    <w:p w14:paraId="09F70C2A" w14:textId="77777777" w:rsidR="00080C7A" w:rsidRDefault="00080C7A" w:rsidP="00080C7A">
      <w:pPr>
        <w:rPr>
          <w:lang w:val="en-US"/>
        </w:rPr>
      </w:pPr>
    </w:p>
    <w:p w14:paraId="6F1BBE82" w14:textId="77777777" w:rsidR="00080C7A" w:rsidRDefault="00080C7A" w:rsidP="00080C7A">
      <w:pPr>
        <w:rPr>
          <w:lang w:val="en-US"/>
        </w:rPr>
      </w:pPr>
    </w:p>
    <w:p w14:paraId="3F462CA5" w14:textId="77777777" w:rsidR="00080C7A" w:rsidRDefault="00080C7A" w:rsidP="00080C7A">
      <w:pPr>
        <w:rPr>
          <w:lang w:val="en-US"/>
        </w:rPr>
      </w:pPr>
    </w:p>
    <w:p w14:paraId="5D994D6B" w14:textId="77777777" w:rsidR="00080C7A" w:rsidRDefault="00080C7A" w:rsidP="00080C7A">
      <w:pPr>
        <w:rPr>
          <w:lang w:val="en-US"/>
        </w:rPr>
      </w:pPr>
    </w:p>
    <w:p w14:paraId="60DDEA73" w14:textId="77777777" w:rsidR="00080C7A" w:rsidRDefault="00080C7A" w:rsidP="00080C7A">
      <w:pPr>
        <w:rPr>
          <w:lang w:val="en-US"/>
        </w:rPr>
      </w:pPr>
    </w:p>
    <w:p w14:paraId="66CA1316" w14:textId="77777777" w:rsidR="00080C7A" w:rsidRDefault="00080C7A" w:rsidP="00080C7A">
      <w:pPr>
        <w:rPr>
          <w:lang w:val="en-US"/>
        </w:rPr>
      </w:pPr>
    </w:p>
    <w:p w14:paraId="684C0CA2" w14:textId="77777777" w:rsidR="00080C7A" w:rsidRDefault="00080C7A" w:rsidP="00080C7A">
      <w:pPr>
        <w:rPr>
          <w:lang w:val="en-US"/>
        </w:rPr>
      </w:pPr>
    </w:p>
    <w:p w14:paraId="7ADDB6F7" w14:textId="77777777" w:rsidR="00080C7A" w:rsidRDefault="00080C7A" w:rsidP="00080C7A">
      <w:pPr>
        <w:rPr>
          <w:lang w:val="en-US"/>
        </w:rPr>
      </w:pPr>
    </w:p>
    <w:p w14:paraId="57FAF9B2" w14:textId="77777777" w:rsidR="00080C7A" w:rsidRDefault="00080C7A" w:rsidP="00080C7A">
      <w:pPr>
        <w:rPr>
          <w:lang w:val="en-US"/>
        </w:rPr>
      </w:pPr>
    </w:p>
    <w:p w14:paraId="7A81BE32" w14:textId="77777777" w:rsidR="00080C7A" w:rsidRDefault="00080C7A" w:rsidP="00080C7A">
      <w:pPr>
        <w:rPr>
          <w:lang w:val="en-US"/>
        </w:rPr>
      </w:pPr>
    </w:p>
    <w:p w14:paraId="3875EFAF" w14:textId="77777777" w:rsidR="00080C7A" w:rsidRDefault="00080C7A" w:rsidP="00080C7A">
      <w:pPr>
        <w:rPr>
          <w:lang w:val="en-US"/>
        </w:rPr>
      </w:pPr>
    </w:p>
    <w:p w14:paraId="7D03D87A" w14:textId="77777777" w:rsidR="00080C7A" w:rsidRDefault="00080C7A" w:rsidP="00080C7A">
      <w:pPr>
        <w:rPr>
          <w:lang w:val="en-US"/>
        </w:rPr>
      </w:pPr>
    </w:p>
    <w:p w14:paraId="40460AE1" w14:textId="77777777" w:rsidR="00080C7A" w:rsidRDefault="00080C7A" w:rsidP="00080C7A">
      <w:pPr>
        <w:rPr>
          <w:lang w:val="en-US"/>
        </w:rPr>
      </w:pPr>
    </w:p>
    <w:p w14:paraId="0580B720" w14:textId="77777777" w:rsidR="00080C7A" w:rsidRDefault="00080C7A" w:rsidP="00080C7A">
      <w:pPr>
        <w:rPr>
          <w:lang w:val="en-US"/>
        </w:rPr>
      </w:pPr>
    </w:p>
    <w:p w14:paraId="6A8D7355" w14:textId="77777777" w:rsidR="00080C7A" w:rsidRDefault="00080C7A" w:rsidP="00080C7A">
      <w:pPr>
        <w:rPr>
          <w:lang w:val="en-US"/>
        </w:rPr>
      </w:pPr>
    </w:p>
    <w:p w14:paraId="2668AE17" w14:textId="77777777" w:rsidR="00080C7A" w:rsidRDefault="00080C7A" w:rsidP="00080C7A">
      <w:pPr>
        <w:rPr>
          <w:lang w:val="en-US"/>
        </w:rPr>
      </w:pPr>
    </w:p>
    <w:p w14:paraId="1D44F178" w14:textId="77777777" w:rsidR="00080C7A" w:rsidRDefault="00080C7A" w:rsidP="00080C7A">
      <w:pPr>
        <w:rPr>
          <w:lang w:val="en-US"/>
        </w:rPr>
      </w:pPr>
    </w:p>
    <w:p w14:paraId="351D5A9D" w14:textId="77777777" w:rsidR="00080C7A" w:rsidRDefault="00080C7A" w:rsidP="00080C7A">
      <w:pPr>
        <w:rPr>
          <w:lang w:val="en-US"/>
        </w:rPr>
      </w:pPr>
    </w:p>
    <w:p w14:paraId="636DA9AF" w14:textId="77777777" w:rsidR="00080C7A" w:rsidRDefault="00080C7A" w:rsidP="00080C7A">
      <w:pPr>
        <w:rPr>
          <w:lang w:val="en-US"/>
        </w:rPr>
      </w:pPr>
    </w:p>
    <w:p w14:paraId="01CA4F09" w14:textId="5FC9B9E6" w:rsidR="008B442A" w:rsidRDefault="008B442A" w:rsidP="008B442A">
      <w:pPr>
        <w:pStyle w:val="Heading3"/>
      </w:pPr>
      <w:r>
        <w:lastRenderedPageBreak/>
        <w:t>Murray-Darling Basin Metering Report Card</w:t>
      </w:r>
    </w:p>
    <w:p w14:paraId="4946D061" w14:textId="77777777" w:rsidR="008B442A" w:rsidRPr="002128B4" w:rsidRDefault="008B442A" w:rsidP="008B442A">
      <w:pPr>
        <w:pStyle w:val="Heading3"/>
      </w:pPr>
      <w:r>
        <w:t>Floodplain Harvesting</w:t>
      </w:r>
    </w:p>
    <w:p w14:paraId="3CB4F75A" w14:textId="77777777" w:rsidR="008B442A" w:rsidRPr="00023CF4" w:rsidRDefault="008B442A" w:rsidP="008B442A">
      <w:pPr>
        <w:pStyle w:val="Heading3"/>
        <w:rPr>
          <w:b w:val="0"/>
          <w:bCs/>
          <w:sz w:val="22"/>
        </w:rPr>
      </w:pPr>
      <w:r w:rsidRPr="00023CF4">
        <w:rPr>
          <w:b w:val="0"/>
          <w:bCs/>
          <w:sz w:val="22"/>
        </w:rPr>
        <w:t>1 July 2023 – 30 June 2024</w:t>
      </w:r>
    </w:p>
    <w:p w14:paraId="05820793" w14:textId="77777777" w:rsidR="008B442A" w:rsidRDefault="008B442A" w:rsidP="008B442A">
      <w:pPr>
        <w:rPr>
          <w:lang w:val="en-US"/>
        </w:rPr>
      </w:pPr>
      <w:r w:rsidRPr="53D51760">
        <w:rPr>
          <w:lang w:val="en-US"/>
        </w:rPr>
        <w:t>Floodplain harvesting (FPH) licensing and measurement is progressing unevenly across New South Wales and Queensland</w:t>
      </w:r>
      <w:r>
        <w:rPr>
          <w:lang w:val="en-US"/>
        </w:rPr>
        <w:t>, with rates of licensing greatly exceeding rates of metering</w:t>
      </w:r>
      <w:r w:rsidRPr="53D51760">
        <w:rPr>
          <w:lang w:val="en-US"/>
        </w:rPr>
        <w:t xml:space="preserve">. In New South Wales, full licensing is in place across most northern catchments, </w:t>
      </w:r>
      <w:proofErr w:type="gramStart"/>
      <w:r w:rsidRPr="53D51760">
        <w:rPr>
          <w:lang w:val="en-US"/>
        </w:rPr>
        <w:t>with the exception of</w:t>
      </w:r>
      <w:proofErr w:type="gramEnd"/>
      <w:r w:rsidRPr="53D51760">
        <w:rPr>
          <w:lang w:val="en-US"/>
        </w:rPr>
        <w:t xml:space="preserve"> the Namoi </w:t>
      </w:r>
      <w:r>
        <w:rPr>
          <w:lang w:val="en-US"/>
        </w:rPr>
        <w:t>where licensing is in the process of being implemented.</w:t>
      </w:r>
      <w:r w:rsidRPr="53D51760">
        <w:rPr>
          <w:lang w:val="en-US"/>
        </w:rPr>
        <w:t xml:space="preserve"> For Queensland, full licensing has been implemented in the Lower Balonne and parts of the Border Rivers and Moonie catchments.</w:t>
      </w:r>
    </w:p>
    <w:p w14:paraId="686937A4" w14:textId="77777777" w:rsidR="008B442A" w:rsidRDefault="008B442A" w:rsidP="008B442A">
      <w:r>
        <w:rPr>
          <w:lang w:val="en-US"/>
        </w:rPr>
        <w:t xml:space="preserve">Metering has not kept pace with licensing. </w:t>
      </w:r>
      <w:r w:rsidRPr="005A00CF">
        <w:t xml:space="preserve">76% of </w:t>
      </w:r>
      <w:r>
        <w:t>FPH</w:t>
      </w:r>
      <w:r w:rsidRPr="005A00CF">
        <w:t xml:space="preserve"> take </w:t>
      </w:r>
      <w:r>
        <w:t xml:space="preserve">is </w:t>
      </w:r>
      <w:r w:rsidRPr="005A00CF">
        <w:t xml:space="preserve">licensed in New South Wales and 47% in Queensland. However, only 13% of </w:t>
      </w:r>
      <w:r>
        <w:t>FPH</w:t>
      </w:r>
      <w:r w:rsidRPr="005A00CF">
        <w:t xml:space="preserve"> take in Queensland is metered, and </w:t>
      </w:r>
      <w:r>
        <w:t>an estimated</w:t>
      </w:r>
      <w:r w:rsidRPr="005A00CF">
        <w:t xml:space="preserve"> </w:t>
      </w:r>
      <w:r>
        <w:t>23.8</w:t>
      </w:r>
      <w:r w:rsidRPr="005A00CF">
        <w:t xml:space="preserve">% of </w:t>
      </w:r>
      <w:r>
        <w:t>FPH</w:t>
      </w:r>
      <w:r w:rsidRPr="005A00CF">
        <w:t xml:space="preserve"> storage</w:t>
      </w:r>
      <w:r>
        <w:t>s</w:t>
      </w:r>
      <w:r w:rsidRPr="005A00CF">
        <w:t xml:space="preserve"> in New South Wales </w:t>
      </w:r>
      <w:r>
        <w:t>are</w:t>
      </w:r>
      <w:r w:rsidRPr="005A00CF">
        <w:t xml:space="preserve"> equipped with meters</w:t>
      </w:r>
      <w:r>
        <w:rPr>
          <w:lang w:val="en-US"/>
        </w:rPr>
        <w:t xml:space="preserve">. </w:t>
      </w:r>
      <w:r w:rsidRPr="005131FD">
        <w:t xml:space="preserve">The imbalance between licensing and metering raises serious </w:t>
      </w:r>
      <w:r>
        <w:t>questions</w:t>
      </w:r>
      <w:r w:rsidRPr="005131FD">
        <w:t xml:space="preserve"> about the risks New South Wales and Queensland are taking by </w:t>
      </w:r>
      <w:r>
        <w:t>rolling out</w:t>
      </w:r>
      <w:r w:rsidRPr="005131FD">
        <w:t xml:space="preserve"> </w:t>
      </w:r>
      <w:r>
        <w:t>FPH licensing</w:t>
      </w:r>
      <w:r w:rsidRPr="005131FD">
        <w:t xml:space="preserve"> without comprehensive metering</w:t>
      </w:r>
      <w:r>
        <w:t xml:space="preserve"> already</w:t>
      </w:r>
      <w:r w:rsidRPr="005131FD">
        <w:t xml:space="preserve"> in place.</w:t>
      </w:r>
      <w:r>
        <w:t xml:space="preserve"> </w:t>
      </w:r>
      <w:r w:rsidRPr="53D51760">
        <w:rPr>
          <w:lang w:val="en-US"/>
        </w:rPr>
        <w:t>Most concerning is the absence of a clear pathway or timeline to complete the rollout of licensing and on-ground measurement</w:t>
      </w:r>
      <w:r>
        <w:t>.</w:t>
      </w:r>
    </w:p>
    <w:p w14:paraId="6AD4E231" w14:textId="77777777" w:rsidR="008F36D0" w:rsidRDefault="008F36D0" w:rsidP="008B442A"/>
    <w:p w14:paraId="20D0DE7E" w14:textId="77777777" w:rsidR="008F36D0" w:rsidRDefault="008F36D0" w:rsidP="008B442A"/>
    <w:p w14:paraId="40806D30" w14:textId="77777777" w:rsidR="008F36D0" w:rsidRDefault="008F36D0" w:rsidP="008B442A"/>
    <w:p w14:paraId="33BA64AE" w14:textId="77777777" w:rsidR="008F36D0" w:rsidRDefault="008F36D0" w:rsidP="008B442A"/>
    <w:p w14:paraId="14A1807E" w14:textId="77777777" w:rsidR="008F36D0" w:rsidRDefault="008F36D0" w:rsidP="008B442A"/>
    <w:p w14:paraId="1556DA47" w14:textId="77777777" w:rsidR="008F36D0" w:rsidRDefault="008F36D0" w:rsidP="008B442A"/>
    <w:p w14:paraId="6F908E62" w14:textId="77777777" w:rsidR="008F36D0" w:rsidRDefault="008F36D0" w:rsidP="008B442A"/>
    <w:p w14:paraId="50CF40EF" w14:textId="77777777" w:rsidR="008F36D0" w:rsidRDefault="008F36D0" w:rsidP="008B442A"/>
    <w:p w14:paraId="6A906759" w14:textId="77777777" w:rsidR="008F36D0" w:rsidRDefault="008F36D0" w:rsidP="008B442A"/>
    <w:p w14:paraId="7C895A72" w14:textId="77777777" w:rsidR="008F36D0" w:rsidRDefault="008F36D0" w:rsidP="008B442A"/>
    <w:p w14:paraId="434E5524" w14:textId="77777777" w:rsidR="008F36D0" w:rsidRDefault="008F36D0" w:rsidP="008B442A"/>
    <w:p w14:paraId="3D5D7685" w14:textId="77777777" w:rsidR="008F36D0" w:rsidRDefault="008F36D0" w:rsidP="008B442A"/>
    <w:p w14:paraId="0A6212C5" w14:textId="77777777" w:rsidR="008F36D0" w:rsidRDefault="008F36D0" w:rsidP="008B442A"/>
    <w:p w14:paraId="3A89EA24" w14:textId="77777777" w:rsidR="008F36D0" w:rsidRDefault="008F36D0" w:rsidP="008B442A"/>
    <w:p w14:paraId="056279C9" w14:textId="77777777" w:rsidR="008F36D0" w:rsidRDefault="008F36D0" w:rsidP="008B442A"/>
    <w:p w14:paraId="0B4C101F" w14:textId="77777777" w:rsidR="008F36D0" w:rsidRDefault="008F36D0" w:rsidP="008B442A"/>
    <w:p w14:paraId="78E97985" w14:textId="77777777" w:rsidR="008F36D0" w:rsidRDefault="008F36D0" w:rsidP="008B442A"/>
    <w:p w14:paraId="6DBFC852" w14:textId="77777777" w:rsidR="008F36D0" w:rsidRDefault="008F36D0" w:rsidP="008B442A"/>
    <w:p w14:paraId="0FAA8F38" w14:textId="77777777" w:rsidR="008F36D0" w:rsidRDefault="008F36D0" w:rsidP="008B442A"/>
    <w:p w14:paraId="7FB165BD" w14:textId="77777777" w:rsidR="003A235E" w:rsidRDefault="003A235E" w:rsidP="003A235E">
      <w:pPr>
        <w:pStyle w:val="Heading3"/>
      </w:pPr>
      <w:r>
        <w:lastRenderedPageBreak/>
        <w:t>Murray-Darling Basin Floodplain Harvesting New South Wales Metering Report Card</w:t>
      </w:r>
    </w:p>
    <w:p w14:paraId="53990044" w14:textId="77777777" w:rsidR="003A235E" w:rsidRDefault="003A235E" w:rsidP="003A235E">
      <w:pPr>
        <w:pStyle w:val="Heading3"/>
        <w:rPr>
          <w:b w:val="0"/>
          <w:bCs/>
          <w:sz w:val="22"/>
        </w:rPr>
      </w:pPr>
      <w:r w:rsidRPr="00D50A97">
        <w:rPr>
          <w:b w:val="0"/>
          <w:bCs/>
          <w:sz w:val="22"/>
        </w:rPr>
        <w:t xml:space="preserve">1 July 2023 – 30 June 2024. </w:t>
      </w:r>
    </w:p>
    <w:p w14:paraId="4AED6B79" w14:textId="77777777" w:rsidR="006A21B8" w:rsidRDefault="006A21B8" w:rsidP="006A21B8"/>
    <w:p w14:paraId="0127A980" w14:textId="1A8F236C" w:rsidR="006A21B8" w:rsidRPr="00201CB4" w:rsidRDefault="00201CB4" w:rsidP="00201CB4">
      <w:pPr>
        <w:pStyle w:val="TableHeading"/>
        <w:rPr>
          <w:b/>
          <w:bCs/>
          <w:w w:val="110"/>
        </w:rPr>
      </w:pPr>
      <w:r>
        <w:tab/>
      </w:r>
      <w:r w:rsidRPr="00BE74BB">
        <w:rPr>
          <w:b/>
          <w:bCs/>
        </w:rPr>
        <w:t xml:space="preserve">Table </w:t>
      </w:r>
      <w:r>
        <w:rPr>
          <w:b/>
          <w:bCs/>
        </w:rPr>
        <w:t>1</w:t>
      </w:r>
      <w:r w:rsidRPr="00BE74BB">
        <w:rPr>
          <w:b/>
          <w:bCs/>
        </w:rPr>
        <w:t xml:space="preserve">. </w:t>
      </w:r>
      <w:r>
        <w:rPr>
          <w:b/>
          <w:bCs/>
          <w:w w:val="110"/>
        </w:rPr>
        <w:t>New South Wales Floodplain Metrics</w:t>
      </w:r>
    </w:p>
    <w:tbl>
      <w:tblPr>
        <w:tblStyle w:val="TableGridLight"/>
        <w:tblW w:w="7995" w:type="dxa"/>
        <w:jc w:val="center"/>
        <w:tblLook w:val="04A0" w:firstRow="1" w:lastRow="0" w:firstColumn="1" w:lastColumn="0" w:noHBand="0" w:noVBand="1"/>
      </w:tblPr>
      <w:tblGrid>
        <w:gridCol w:w="1678"/>
        <w:gridCol w:w="1790"/>
        <w:gridCol w:w="2125"/>
        <w:gridCol w:w="2402"/>
      </w:tblGrid>
      <w:tr w:rsidR="00544258" w14:paraId="53E77EA6" w14:textId="036BE2CD" w:rsidTr="00544258">
        <w:trPr>
          <w:cnfStyle w:val="100000000000" w:firstRow="1" w:lastRow="0" w:firstColumn="0" w:lastColumn="0" w:oddVBand="0" w:evenVBand="0" w:oddHBand="0" w:evenHBand="0" w:firstRowFirstColumn="0" w:firstRowLastColumn="0" w:lastRowFirstColumn="0" w:lastRowLastColumn="0"/>
          <w:trHeight w:val="633"/>
          <w:jc w:val="center"/>
        </w:trPr>
        <w:tc>
          <w:tcPr>
            <w:tcW w:w="1678" w:type="dxa"/>
          </w:tcPr>
          <w:p w14:paraId="3C48B32A" w14:textId="77777777" w:rsidR="00544258" w:rsidRDefault="00544258" w:rsidP="009A381D">
            <w:pPr>
              <w:pStyle w:val="TableText"/>
            </w:pPr>
          </w:p>
        </w:tc>
        <w:tc>
          <w:tcPr>
            <w:tcW w:w="1790" w:type="dxa"/>
          </w:tcPr>
          <w:p w14:paraId="4C0E1ADD" w14:textId="77777777" w:rsidR="00544258" w:rsidRDefault="00544258" w:rsidP="009A381D">
            <w:pPr>
              <w:pStyle w:val="TableHeader"/>
              <w:rPr>
                <w:w w:val="115"/>
              </w:rPr>
            </w:pPr>
            <w:r>
              <w:rPr>
                <w:w w:val="115"/>
              </w:rPr>
              <w:t>Volume of floodplain take</w:t>
            </w:r>
          </w:p>
        </w:tc>
        <w:tc>
          <w:tcPr>
            <w:tcW w:w="2125" w:type="dxa"/>
          </w:tcPr>
          <w:p w14:paraId="54296A7F" w14:textId="77777777" w:rsidR="00544258" w:rsidRDefault="00544258" w:rsidP="009A381D">
            <w:pPr>
              <w:pStyle w:val="TableHeader"/>
              <w:rPr>
                <w:w w:val="115"/>
              </w:rPr>
            </w:pPr>
            <w:r w:rsidRPr="009045AB">
              <w:rPr>
                <w:w w:val="110"/>
                <w:szCs w:val="12"/>
              </w:rPr>
              <w:t>Percentage of floodplain take that is licensed</w:t>
            </w:r>
          </w:p>
        </w:tc>
        <w:tc>
          <w:tcPr>
            <w:tcW w:w="2402" w:type="dxa"/>
          </w:tcPr>
          <w:p w14:paraId="0ECF5076" w14:textId="77777777" w:rsidR="002C44BC" w:rsidRPr="00B54FE6" w:rsidRDefault="002C44BC" w:rsidP="002C44BC">
            <w:pPr>
              <w:pStyle w:val="Heading3"/>
              <w:rPr>
                <w:color w:val="FFFFFF"/>
                <w:sz w:val="20"/>
                <w:szCs w:val="20"/>
              </w:rPr>
            </w:pPr>
            <w:r w:rsidRPr="00B54FE6">
              <w:rPr>
                <w:color w:val="FFFFFF"/>
                <w:sz w:val="20"/>
                <w:szCs w:val="20"/>
              </w:rPr>
              <w:t>Percentage of licensed floodplain storages with meters</w:t>
            </w:r>
          </w:p>
          <w:p w14:paraId="5CE89395" w14:textId="77777777" w:rsidR="00544258" w:rsidRPr="002C44BC" w:rsidRDefault="00544258" w:rsidP="00544258">
            <w:pPr>
              <w:pStyle w:val="TableHeader"/>
              <w:jc w:val="center"/>
              <w:rPr>
                <w:color w:val="E7E6E6" w:themeColor="background2"/>
                <w:w w:val="110"/>
                <w:szCs w:val="20"/>
              </w:rPr>
            </w:pPr>
          </w:p>
        </w:tc>
      </w:tr>
      <w:tr w:rsidR="00544258" w14:paraId="5D64E308" w14:textId="72E7B63F" w:rsidTr="00544258">
        <w:trPr>
          <w:trHeight w:val="422"/>
          <w:jc w:val="center"/>
        </w:trPr>
        <w:tc>
          <w:tcPr>
            <w:tcW w:w="1678" w:type="dxa"/>
          </w:tcPr>
          <w:p w14:paraId="72F29173" w14:textId="77777777" w:rsidR="00544258" w:rsidRDefault="00544258" w:rsidP="009A381D">
            <w:pPr>
              <w:pStyle w:val="TableText"/>
            </w:pPr>
            <w:r>
              <w:t>New South Wales</w:t>
            </w:r>
          </w:p>
        </w:tc>
        <w:tc>
          <w:tcPr>
            <w:tcW w:w="1790" w:type="dxa"/>
          </w:tcPr>
          <w:p w14:paraId="5EC2DF3D" w14:textId="23849C26" w:rsidR="00544258" w:rsidRDefault="00E84D19" w:rsidP="009A381D">
            <w:pPr>
              <w:pStyle w:val="TableText"/>
              <w:rPr>
                <w:w w:val="115"/>
              </w:rPr>
            </w:pPr>
            <w:r>
              <w:rPr>
                <w:w w:val="115"/>
              </w:rPr>
              <w:t>62.9 GL</w:t>
            </w:r>
          </w:p>
        </w:tc>
        <w:tc>
          <w:tcPr>
            <w:tcW w:w="2125" w:type="dxa"/>
          </w:tcPr>
          <w:p w14:paraId="74FB07BD" w14:textId="77777777" w:rsidR="00544258" w:rsidRDefault="00544258" w:rsidP="009A381D">
            <w:pPr>
              <w:pStyle w:val="TableText"/>
              <w:rPr>
                <w:w w:val="115"/>
              </w:rPr>
            </w:pPr>
            <w:r>
              <w:rPr>
                <w:w w:val="115"/>
              </w:rPr>
              <w:t>76%</w:t>
            </w:r>
          </w:p>
        </w:tc>
        <w:tc>
          <w:tcPr>
            <w:tcW w:w="2402" w:type="dxa"/>
          </w:tcPr>
          <w:p w14:paraId="3E478C3E" w14:textId="75912543" w:rsidR="00544258" w:rsidRDefault="002C44BC" w:rsidP="009A381D">
            <w:pPr>
              <w:pStyle w:val="TableText"/>
              <w:rPr>
                <w:w w:val="115"/>
              </w:rPr>
            </w:pPr>
            <w:r>
              <w:rPr>
                <w:w w:val="115"/>
              </w:rPr>
              <w:t>23.8%</w:t>
            </w:r>
          </w:p>
        </w:tc>
      </w:tr>
    </w:tbl>
    <w:p w14:paraId="76D6A4D8" w14:textId="77777777" w:rsidR="006A21B8" w:rsidRDefault="006A21B8" w:rsidP="006A21B8"/>
    <w:p w14:paraId="5966F443" w14:textId="77777777" w:rsidR="006A21B8" w:rsidRDefault="006A21B8" w:rsidP="006A21B8"/>
    <w:p w14:paraId="1B7A98C0" w14:textId="4C013271" w:rsidR="006A21B8" w:rsidRDefault="002C44BC" w:rsidP="006A21B8">
      <w:pPr>
        <w:rPr>
          <w:i/>
          <w:iCs/>
          <w:szCs w:val="20"/>
        </w:rPr>
      </w:pPr>
      <w:r>
        <w:rPr>
          <w:i/>
          <w:iCs/>
          <w:szCs w:val="20"/>
        </w:rPr>
        <w:t>Percentage of floodplain take that is li</w:t>
      </w:r>
      <w:r w:rsidR="009269EA">
        <w:rPr>
          <w:i/>
          <w:iCs/>
          <w:szCs w:val="20"/>
        </w:rPr>
        <w:t>censed</w:t>
      </w:r>
      <w:r w:rsidRPr="005247A8">
        <w:rPr>
          <w:i/>
          <w:iCs/>
          <w:szCs w:val="20"/>
        </w:rPr>
        <w:t xml:space="preserve"> is reported to highlight the </w:t>
      </w:r>
      <w:r>
        <w:rPr>
          <w:i/>
          <w:iCs/>
          <w:szCs w:val="20"/>
        </w:rPr>
        <w:t xml:space="preserve">volumetric </w:t>
      </w:r>
      <w:r w:rsidRPr="005247A8">
        <w:rPr>
          <w:i/>
          <w:iCs/>
          <w:szCs w:val="20"/>
        </w:rPr>
        <w:t>proportion of floodplain take that is licensed as of 30 June 2024. The total of floodplain take was calculated from sustainable diversion limit reporting for both NSW and Queensland. Both NSW and Queensland are in the process of implementing frameworks for licensing of floodplain take. Data source/owners: Basin jurisdictions</w:t>
      </w:r>
    </w:p>
    <w:p w14:paraId="487A63C4" w14:textId="77777777" w:rsidR="009269EA" w:rsidRDefault="009269EA" w:rsidP="006A21B8">
      <w:pPr>
        <w:rPr>
          <w:i/>
          <w:iCs/>
          <w:szCs w:val="20"/>
        </w:rPr>
      </w:pPr>
    </w:p>
    <w:p w14:paraId="466CBBB9" w14:textId="36891555" w:rsidR="009269EA" w:rsidRPr="005247A8" w:rsidRDefault="009269EA" w:rsidP="009269EA">
      <w:pPr>
        <w:rPr>
          <w:i/>
          <w:iCs/>
          <w:szCs w:val="20"/>
        </w:rPr>
      </w:pPr>
      <w:r w:rsidRPr="009269EA">
        <w:rPr>
          <w:i/>
          <w:iCs/>
          <w:szCs w:val="20"/>
        </w:rPr>
        <w:t xml:space="preserve">Percentage of licensed floodplain storages with </w:t>
      </w:r>
      <w:r w:rsidRPr="005247A8">
        <w:rPr>
          <w:i/>
          <w:iCs/>
          <w:szCs w:val="20"/>
        </w:rPr>
        <w:t>represents the percentage of floodplain harvesting storages that are equipped with meters. Data is based on figures provided by NSW DCCEEW, indicating that 122 meters are installed to monitor</w:t>
      </w:r>
      <w:r>
        <w:rPr>
          <w:i/>
          <w:iCs/>
          <w:szCs w:val="20"/>
        </w:rPr>
        <w:t xml:space="preserve"> 513</w:t>
      </w:r>
      <w:r w:rsidRPr="005247A8">
        <w:rPr>
          <w:i/>
          <w:iCs/>
          <w:szCs w:val="20"/>
        </w:rPr>
        <w:t xml:space="preserve"> licensed </w:t>
      </w:r>
      <w:r>
        <w:rPr>
          <w:i/>
          <w:iCs/>
          <w:szCs w:val="20"/>
        </w:rPr>
        <w:t xml:space="preserve">floodplain </w:t>
      </w:r>
      <w:r w:rsidRPr="005247A8">
        <w:rPr>
          <w:i/>
          <w:iCs/>
          <w:szCs w:val="20"/>
        </w:rPr>
        <w:t xml:space="preserve">storages. It is important to note that each meter is located at the point of intake and may service multiple storages, meaning </w:t>
      </w:r>
      <w:r w:rsidRPr="00B54FE6">
        <w:rPr>
          <w:i/>
          <w:iCs/>
          <w:szCs w:val="20"/>
        </w:rPr>
        <w:t>this figure is a minimum estimate</w:t>
      </w:r>
      <w:r w:rsidRPr="005247A8">
        <w:rPr>
          <w:i/>
          <w:iCs/>
          <w:szCs w:val="20"/>
        </w:rPr>
        <w:t>. Data source/owners: Basin jurisdictions</w:t>
      </w:r>
    </w:p>
    <w:p w14:paraId="60CA27FB" w14:textId="77777777" w:rsidR="009269EA" w:rsidRDefault="009269EA" w:rsidP="006A21B8"/>
    <w:p w14:paraId="22C5FF81" w14:textId="77777777" w:rsidR="006A21B8" w:rsidRDefault="006A21B8" w:rsidP="006A21B8"/>
    <w:p w14:paraId="77EEDD5D" w14:textId="77777777" w:rsidR="006A21B8" w:rsidRDefault="006A21B8" w:rsidP="006A21B8"/>
    <w:p w14:paraId="56AC1BCD" w14:textId="77777777" w:rsidR="006A21B8" w:rsidRDefault="006A21B8" w:rsidP="006A21B8"/>
    <w:p w14:paraId="35F0917B" w14:textId="77777777" w:rsidR="006A21B8" w:rsidRDefault="006A21B8" w:rsidP="006A21B8"/>
    <w:p w14:paraId="3F283B53" w14:textId="77777777" w:rsidR="006A21B8" w:rsidRDefault="006A21B8" w:rsidP="006A21B8"/>
    <w:p w14:paraId="035ADA14" w14:textId="77777777" w:rsidR="006A21B8" w:rsidRPr="006A21B8" w:rsidRDefault="006A21B8" w:rsidP="006A21B8"/>
    <w:p w14:paraId="2FAC0D3E" w14:textId="77777777" w:rsidR="003A235E" w:rsidRDefault="003A235E" w:rsidP="003A235E"/>
    <w:p w14:paraId="5B9FE6E7" w14:textId="77777777" w:rsidR="00B54FE6" w:rsidRDefault="00B54FE6" w:rsidP="003A235E"/>
    <w:p w14:paraId="21E10D51" w14:textId="77777777" w:rsidR="00B54FE6" w:rsidRDefault="00B54FE6" w:rsidP="003A235E"/>
    <w:p w14:paraId="062EE623" w14:textId="77777777" w:rsidR="00B54FE6" w:rsidRPr="00CD5FFB" w:rsidRDefault="00B54FE6" w:rsidP="00B54FE6">
      <w:pPr>
        <w:rPr>
          <w:i/>
          <w:iCs/>
        </w:rPr>
        <w:sectPr w:rsidR="00B54FE6" w:rsidRPr="00CD5FFB" w:rsidSect="00B54FE6">
          <w:footerReference w:type="default" r:id="rId19"/>
          <w:pgSz w:w="11906" w:h="16838"/>
          <w:pgMar w:top="1440" w:right="1440" w:bottom="1440" w:left="1440" w:header="708" w:footer="708" w:gutter="0"/>
          <w:cols w:space="708"/>
          <w:docGrid w:linePitch="360"/>
        </w:sectPr>
      </w:pPr>
      <w:r w:rsidRPr="00CD5FFB">
        <w:rPr>
          <w:i/>
          <w:iCs/>
        </w:rPr>
        <w:t>The IGWC makes no claim as to the accuracy of the data shown on this page. Data is collated and supplied directly from the stat</w:t>
      </w:r>
      <w:r>
        <w:rPr>
          <w:i/>
          <w:iCs/>
        </w:rPr>
        <w:t>e</w:t>
      </w:r>
    </w:p>
    <w:p w14:paraId="21BEFFC1" w14:textId="77777777" w:rsidR="0044587A" w:rsidRDefault="0044587A" w:rsidP="0044587A">
      <w:pPr>
        <w:rPr>
          <w:b/>
          <w:bCs/>
        </w:rPr>
      </w:pPr>
      <w:r w:rsidRPr="00B12FBF">
        <w:rPr>
          <w:b/>
          <w:bCs/>
        </w:rPr>
        <w:lastRenderedPageBreak/>
        <w:t>NSW provided narrative</w:t>
      </w:r>
    </w:p>
    <w:p w14:paraId="37665865" w14:textId="77777777" w:rsidR="0044587A" w:rsidRPr="00CF2582" w:rsidRDefault="0044587A" w:rsidP="0044587A">
      <w:r w:rsidRPr="00CF2582">
        <w:t>Floodplain harvesting measurement rules became law on 1 July 2022. These rules are being rolled out in</w:t>
      </w:r>
      <w:r>
        <w:t xml:space="preserve"> </w:t>
      </w:r>
      <w:r w:rsidRPr="00CF2582">
        <w:t>stages as floodplain harvesting access licences are granted. The floodplain harvesting measurement rules</w:t>
      </w:r>
      <w:r>
        <w:t xml:space="preserve"> </w:t>
      </w:r>
      <w:r w:rsidRPr="00CF2582">
        <w:t>apply to water supply work approvals nominated by a floodplain harvesting access licence, and require all</w:t>
      </w:r>
      <w:r>
        <w:t xml:space="preserve"> </w:t>
      </w:r>
      <w:r w:rsidRPr="00CF2582">
        <w:t>water take to be measured using accurate, auditable and tamper proof metering equipment.</w:t>
      </w:r>
    </w:p>
    <w:p w14:paraId="6C59F265" w14:textId="77777777" w:rsidR="0044587A" w:rsidRPr="00CF2582" w:rsidRDefault="0044587A" w:rsidP="0044587A">
      <w:r w:rsidRPr="00CF2582">
        <w:t>Floodplain harvesting water users have 12 months from water being credited to their floodplain</w:t>
      </w:r>
      <w:r>
        <w:t xml:space="preserve"> </w:t>
      </w:r>
      <w:r w:rsidRPr="00CF2582">
        <w:t>harvesting access licence account to have primary measurement equipment installed. During that first 12</w:t>
      </w:r>
      <w:r>
        <w:t xml:space="preserve"> </w:t>
      </w:r>
      <w:r w:rsidRPr="00CF2582">
        <w:t>months, water can only be taken if either primary or secondary measurement equipment is installed.</w:t>
      </w:r>
    </w:p>
    <w:p w14:paraId="51B4EACD" w14:textId="77777777" w:rsidR="0044587A" w:rsidRPr="00CF2582" w:rsidRDefault="0044587A" w:rsidP="0044587A">
      <w:r w:rsidRPr="00CF2582">
        <w:t>Primary measurement equipment can be either point-of-intake or storage measurement equipment</w:t>
      </w:r>
      <w:r>
        <w:t xml:space="preserve"> </w:t>
      </w:r>
      <w:r w:rsidRPr="00CF2582">
        <w:t>and must be telemetered to be compliant. Secondary measurement equipment must be approved by</w:t>
      </w:r>
      <w:r>
        <w:t xml:space="preserve"> </w:t>
      </w:r>
      <w:r w:rsidRPr="00CF2582">
        <w:t>the Minister and is not required to be telemetered, for example, a gauge board. Past the first 12 months,</w:t>
      </w:r>
      <w:r>
        <w:t xml:space="preserve"> </w:t>
      </w:r>
      <w:r w:rsidRPr="00CF2582">
        <w:t>secondary metering equipment can only be used if the primary metering equipment has failed, and the</w:t>
      </w:r>
      <w:r>
        <w:t xml:space="preserve"> </w:t>
      </w:r>
      <w:r w:rsidRPr="00CF2582">
        <w:t>works approval holder has reported the faulty meter to the regulator and is having the primary metering</w:t>
      </w:r>
      <w:r>
        <w:t xml:space="preserve"> </w:t>
      </w:r>
      <w:r w:rsidRPr="00CF2582">
        <w:t>equipment repaired.</w:t>
      </w:r>
    </w:p>
    <w:p w14:paraId="24A099B5" w14:textId="77777777" w:rsidR="0044587A" w:rsidRDefault="0044587A" w:rsidP="0044587A">
      <w:r w:rsidRPr="00CF2582">
        <w:t>Floodplain harvesting access licences have now been granted for the NSW Border Rivers, Gwydir,</w:t>
      </w:r>
      <w:r>
        <w:t xml:space="preserve"> </w:t>
      </w:r>
      <w:r w:rsidRPr="00CF2582">
        <w:t>Macquarie, and Barwon-Darling valleys, which means measurement rules are now in place for these</w:t>
      </w:r>
      <w:r>
        <w:t xml:space="preserve"> </w:t>
      </w:r>
      <w:r w:rsidRPr="00CF2582">
        <w:t>valleys. The compliance dates for primary measurement equipment were 15 August 2023 for NSW Border</w:t>
      </w:r>
      <w:r>
        <w:t xml:space="preserve"> </w:t>
      </w:r>
      <w:r w:rsidRPr="00CF2582">
        <w:t>Rivers and Gwydir, 1 March 2024 for Macquarie and 1 April 2024 for Barwon-Darling. The process for</w:t>
      </w:r>
      <w:r>
        <w:t xml:space="preserve"> </w:t>
      </w:r>
      <w:r w:rsidRPr="00CF2582">
        <w:t>determining floodplain harvesting access licences to be issued in the Namoi valley is ongoing and expected</w:t>
      </w:r>
      <w:r>
        <w:t xml:space="preserve"> </w:t>
      </w:r>
      <w:r w:rsidRPr="00CF2582">
        <w:t>to be completed in early 2025. Until these licences are issued, NSW is managing to Water Sharing Plan</w:t>
      </w:r>
      <w:r>
        <w:t xml:space="preserve"> </w:t>
      </w:r>
      <w:r w:rsidRPr="00CF2582">
        <w:t>extraction limits. NSW is using modelled numbers aligned with s.71 reporting requirements to report</w:t>
      </w:r>
      <w:r>
        <w:t xml:space="preserve"> </w:t>
      </w:r>
      <w:r w:rsidRPr="00CF2582">
        <w:t>floodplain harvesting take.</w:t>
      </w:r>
    </w:p>
    <w:p w14:paraId="2C19D20F" w14:textId="77777777" w:rsidR="00872EE7" w:rsidRDefault="00872EE7" w:rsidP="00473F5B"/>
    <w:p w14:paraId="4B1DFAB2" w14:textId="77777777" w:rsidR="0044587A" w:rsidRDefault="0044587A" w:rsidP="00473F5B"/>
    <w:p w14:paraId="780263F7" w14:textId="77777777" w:rsidR="0044587A" w:rsidRDefault="0044587A" w:rsidP="00473F5B"/>
    <w:p w14:paraId="3FE495AE" w14:textId="77777777" w:rsidR="0044587A" w:rsidRDefault="0044587A" w:rsidP="00473F5B"/>
    <w:p w14:paraId="54F51040" w14:textId="77777777" w:rsidR="0044587A" w:rsidRDefault="0044587A" w:rsidP="00473F5B"/>
    <w:p w14:paraId="5908B796" w14:textId="77777777" w:rsidR="0044587A" w:rsidRDefault="0044587A" w:rsidP="00473F5B"/>
    <w:p w14:paraId="163157DB" w14:textId="77777777" w:rsidR="0044587A" w:rsidRDefault="0044587A" w:rsidP="00473F5B"/>
    <w:p w14:paraId="7EE92F77" w14:textId="77777777" w:rsidR="0044587A" w:rsidRDefault="0044587A" w:rsidP="00473F5B"/>
    <w:p w14:paraId="6547CC9F" w14:textId="77777777" w:rsidR="0044587A" w:rsidRDefault="0044587A" w:rsidP="00473F5B"/>
    <w:p w14:paraId="2969CDB5" w14:textId="77777777" w:rsidR="0044587A" w:rsidRDefault="0044587A" w:rsidP="00473F5B"/>
    <w:p w14:paraId="778C0B1C" w14:textId="77777777" w:rsidR="0044587A" w:rsidRDefault="0044587A" w:rsidP="00473F5B"/>
    <w:p w14:paraId="7061C9A8" w14:textId="77777777" w:rsidR="0044587A" w:rsidRDefault="0044587A" w:rsidP="00473F5B"/>
    <w:p w14:paraId="053037C1" w14:textId="77777777" w:rsidR="0044587A" w:rsidRDefault="0044587A" w:rsidP="00473F5B"/>
    <w:p w14:paraId="4B0DFE84" w14:textId="77777777" w:rsidR="00214FFF" w:rsidRPr="00CD5FFB" w:rsidRDefault="00214FFF" w:rsidP="00214FFF">
      <w:pPr>
        <w:rPr>
          <w:i/>
          <w:iCs/>
        </w:rPr>
        <w:sectPr w:rsidR="00214FFF" w:rsidRPr="00CD5FFB" w:rsidSect="00214FFF">
          <w:pgSz w:w="11906" w:h="16838"/>
          <w:pgMar w:top="1440" w:right="1440" w:bottom="1440" w:left="1440" w:header="708" w:footer="708" w:gutter="0"/>
          <w:cols w:space="708"/>
          <w:docGrid w:linePitch="360"/>
        </w:sectPr>
      </w:pPr>
      <w:r w:rsidRPr="00CD5FFB">
        <w:rPr>
          <w:i/>
          <w:iCs/>
        </w:rPr>
        <w:t>The IGWC makes no claim as to the accuracy of the data shown on this page. Data is collated and supplied directly from the state</w:t>
      </w:r>
    </w:p>
    <w:p w14:paraId="17688082" w14:textId="366D89AA" w:rsidR="00E84D19" w:rsidRDefault="00E84D19" w:rsidP="00E84D19">
      <w:pPr>
        <w:pStyle w:val="Heading3"/>
      </w:pPr>
      <w:r>
        <w:lastRenderedPageBreak/>
        <w:t>Murray-Darling Basin Floodplain Harvesting Queensland Metering Report Card</w:t>
      </w:r>
    </w:p>
    <w:p w14:paraId="1F16BBE4" w14:textId="5E891BFC" w:rsidR="00E84D19" w:rsidRDefault="00E84D19" w:rsidP="00E84D19">
      <w:pPr>
        <w:pStyle w:val="Heading3"/>
        <w:rPr>
          <w:b w:val="0"/>
          <w:bCs/>
          <w:sz w:val="22"/>
        </w:rPr>
      </w:pPr>
      <w:r w:rsidRPr="00D50A97">
        <w:rPr>
          <w:b w:val="0"/>
          <w:bCs/>
          <w:sz w:val="22"/>
        </w:rPr>
        <w:t xml:space="preserve">1 July 2023 – 30 June 2024. </w:t>
      </w:r>
      <w:r w:rsidR="005C36AA">
        <w:rPr>
          <w:b w:val="0"/>
          <w:bCs/>
          <w:sz w:val="22"/>
        </w:rPr>
        <w:t>Progress from 2022-23 indicated in brackets.</w:t>
      </w:r>
    </w:p>
    <w:p w14:paraId="4632EA4D" w14:textId="77777777" w:rsidR="00E84D19" w:rsidRDefault="00E84D19" w:rsidP="00E84D19"/>
    <w:p w14:paraId="2A5368F6" w14:textId="0DD9617B" w:rsidR="00E84D19" w:rsidRPr="00201CB4" w:rsidRDefault="00201CB4" w:rsidP="00201CB4">
      <w:pPr>
        <w:pStyle w:val="TableHeading"/>
        <w:rPr>
          <w:b/>
          <w:bCs/>
          <w:w w:val="110"/>
        </w:rPr>
      </w:pPr>
      <w:r w:rsidRPr="00BE74BB">
        <w:rPr>
          <w:b/>
          <w:bCs/>
        </w:rPr>
        <w:t xml:space="preserve">Table </w:t>
      </w:r>
      <w:r>
        <w:rPr>
          <w:b/>
          <w:bCs/>
        </w:rPr>
        <w:t>2</w:t>
      </w:r>
      <w:r w:rsidRPr="00BE74BB">
        <w:rPr>
          <w:b/>
          <w:bCs/>
        </w:rPr>
        <w:t xml:space="preserve">. </w:t>
      </w:r>
      <w:r>
        <w:rPr>
          <w:b/>
          <w:bCs/>
          <w:w w:val="110"/>
        </w:rPr>
        <w:t>Queensland Floodplain Metrics</w:t>
      </w:r>
    </w:p>
    <w:tbl>
      <w:tblPr>
        <w:tblStyle w:val="TableGridLight"/>
        <w:tblW w:w="8930" w:type="dxa"/>
        <w:jc w:val="center"/>
        <w:tblLook w:val="04A0" w:firstRow="1" w:lastRow="0" w:firstColumn="1" w:lastColumn="0" w:noHBand="0" w:noVBand="1"/>
      </w:tblPr>
      <w:tblGrid>
        <w:gridCol w:w="1418"/>
        <w:gridCol w:w="1559"/>
        <w:gridCol w:w="1701"/>
        <w:gridCol w:w="2126"/>
        <w:gridCol w:w="2126"/>
      </w:tblGrid>
      <w:tr w:rsidR="00A1484C" w14:paraId="6728800B" w14:textId="390CE148" w:rsidTr="00A1484C">
        <w:trPr>
          <w:cnfStyle w:val="100000000000" w:firstRow="1" w:lastRow="0" w:firstColumn="0" w:lastColumn="0" w:oddVBand="0" w:evenVBand="0" w:oddHBand="0" w:evenHBand="0" w:firstRowFirstColumn="0" w:firstRowLastColumn="0" w:lastRowFirstColumn="0" w:lastRowLastColumn="0"/>
          <w:trHeight w:val="633"/>
          <w:jc w:val="center"/>
        </w:trPr>
        <w:tc>
          <w:tcPr>
            <w:tcW w:w="1418" w:type="dxa"/>
          </w:tcPr>
          <w:p w14:paraId="5CEE68CD" w14:textId="77777777" w:rsidR="00A1484C" w:rsidRDefault="00A1484C" w:rsidP="009A381D">
            <w:pPr>
              <w:pStyle w:val="TableText"/>
            </w:pPr>
          </w:p>
        </w:tc>
        <w:tc>
          <w:tcPr>
            <w:tcW w:w="1559" w:type="dxa"/>
          </w:tcPr>
          <w:p w14:paraId="41376C98" w14:textId="77777777" w:rsidR="00A1484C" w:rsidRDefault="00A1484C" w:rsidP="009A381D">
            <w:pPr>
              <w:pStyle w:val="TableHeader"/>
              <w:rPr>
                <w:w w:val="115"/>
              </w:rPr>
            </w:pPr>
            <w:r>
              <w:rPr>
                <w:w w:val="115"/>
              </w:rPr>
              <w:t>Volume of floodplain take</w:t>
            </w:r>
          </w:p>
        </w:tc>
        <w:tc>
          <w:tcPr>
            <w:tcW w:w="1701" w:type="dxa"/>
          </w:tcPr>
          <w:p w14:paraId="064DE12F" w14:textId="77777777" w:rsidR="00A1484C" w:rsidRDefault="00A1484C" w:rsidP="009A381D">
            <w:pPr>
              <w:pStyle w:val="TableHeader"/>
              <w:rPr>
                <w:w w:val="115"/>
              </w:rPr>
            </w:pPr>
            <w:r w:rsidRPr="009045AB">
              <w:rPr>
                <w:w w:val="110"/>
                <w:szCs w:val="12"/>
              </w:rPr>
              <w:t>Percentage of floodplain take that is licensed</w:t>
            </w:r>
          </w:p>
        </w:tc>
        <w:tc>
          <w:tcPr>
            <w:tcW w:w="2126" w:type="dxa"/>
          </w:tcPr>
          <w:p w14:paraId="74C47301" w14:textId="3AA983D2" w:rsidR="00A1484C" w:rsidRPr="00B54FE6" w:rsidRDefault="00A1484C" w:rsidP="009A381D">
            <w:pPr>
              <w:pStyle w:val="Heading3"/>
              <w:rPr>
                <w:color w:val="FFFFFF"/>
                <w:sz w:val="20"/>
                <w:szCs w:val="20"/>
              </w:rPr>
            </w:pPr>
            <w:r w:rsidRPr="00B54FE6">
              <w:rPr>
                <w:color w:val="FFFFFF"/>
                <w:sz w:val="20"/>
                <w:szCs w:val="20"/>
              </w:rPr>
              <w:t xml:space="preserve">Percentage of </w:t>
            </w:r>
            <w:r>
              <w:rPr>
                <w:color w:val="FFFFFF"/>
                <w:sz w:val="20"/>
                <w:szCs w:val="20"/>
              </w:rPr>
              <w:t>floodplain take that is metered</w:t>
            </w:r>
          </w:p>
          <w:p w14:paraId="2F7CF0A4" w14:textId="77777777" w:rsidR="00A1484C" w:rsidRPr="002C44BC" w:rsidRDefault="00A1484C" w:rsidP="009A381D">
            <w:pPr>
              <w:pStyle w:val="TableHeader"/>
              <w:jc w:val="center"/>
              <w:rPr>
                <w:color w:val="E7E6E6" w:themeColor="background2"/>
                <w:w w:val="110"/>
                <w:szCs w:val="20"/>
              </w:rPr>
            </w:pPr>
          </w:p>
        </w:tc>
        <w:tc>
          <w:tcPr>
            <w:tcW w:w="2126" w:type="dxa"/>
          </w:tcPr>
          <w:p w14:paraId="3E2B6318" w14:textId="0FA40487" w:rsidR="00A1484C" w:rsidRPr="00B54FE6" w:rsidRDefault="00A1484C" w:rsidP="009A381D">
            <w:pPr>
              <w:pStyle w:val="Heading3"/>
              <w:rPr>
                <w:color w:val="FFFFFF"/>
                <w:sz w:val="20"/>
                <w:szCs w:val="20"/>
              </w:rPr>
            </w:pPr>
            <w:r>
              <w:rPr>
                <w:color w:val="FFFFFF"/>
                <w:sz w:val="20"/>
                <w:szCs w:val="20"/>
              </w:rPr>
              <w:t>Percentage of floodplain take entitlements that are metered</w:t>
            </w:r>
          </w:p>
        </w:tc>
      </w:tr>
      <w:tr w:rsidR="00A1484C" w14:paraId="7EB3D1BC" w14:textId="33531E42" w:rsidTr="00A1484C">
        <w:trPr>
          <w:trHeight w:val="422"/>
          <w:jc w:val="center"/>
        </w:trPr>
        <w:tc>
          <w:tcPr>
            <w:tcW w:w="1418" w:type="dxa"/>
          </w:tcPr>
          <w:p w14:paraId="17C5163E" w14:textId="152EC89B" w:rsidR="00A1484C" w:rsidRDefault="00A1484C" w:rsidP="009A381D">
            <w:pPr>
              <w:pStyle w:val="TableText"/>
            </w:pPr>
            <w:r>
              <w:t>Queensland</w:t>
            </w:r>
          </w:p>
        </w:tc>
        <w:tc>
          <w:tcPr>
            <w:tcW w:w="1559" w:type="dxa"/>
          </w:tcPr>
          <w:p w14:paraId="7EF2FFBE" w14:textId="006FEE90" w:rsidR="00A1484C" w:rsidRDefault="00A1484C" w:rsidP="009A381D">
            <w:pPr>
              <w:pStyle w:val="TableText"/>
              <w:rPr>
                <w:w w:val="115"/>
              </w:rPr>
            </w:pPr>
            <w:r>
              <w:rPr>
                <w:w w:val="115"/>
              </w:rPr>
              <w:t>215.4 GL</w:t>
            </w:r>
          </w:p>
        </w:tc>
        <w:tc>
          <w:tcPr>
            <w:tcW w:w="1701" w:type="dxa"/>
          </w:tcPr>
          <w:p w14:paraId="4B4A1735" w14:textId="366E814F" w:rsidR="00A1484C" w:rsidRDefault="00A1484C" w:rsidP="009A381D">
            <w:pPr>
              <w:pStyle w:val="TableText"/>
              <w:rPr>
                <w:w w:val="115"/>
              </w:rPr>
            </w:pPr>
            <w:r>
              <w:rPr>
                <w:w w:val="115"/>
              </w:rPr>
              <w:t>47% (+1%)</w:t>
            </w:r>
          </w:p>
        </w:tc>
        <w:tc>
          <w:tcPr>
            <w:tcW w:w="2126" w:type="dxa"/>
          </w:tcPr>
          <w:p w14:paraId="74691767" w14:textId="672907A2" w:rsidR="00A1484C" w:rsidRDefault="00A1484C" w:rsidP="009A381D">
            <w:pPr>
              <w:pStyle w:val="TableText"/>
              <w:rPr>
                <w:w w:val="115"/>
              </w:rPr>
            </w:pPr>
            <w:r>
              <w:rPr>
                <w:w w:val="115"/>
              </w:rPr>
              <w:t>13%</w:t>
            </w:r>
          </w:p>
        </w:tc>
        <w:tc>
          <w:tcPr>
            <w:tcW w:w="2126" w:type="dxa"/>
          </w:tcPr>
          <w:p w14:paraId="16BCA637" w14:textId="47F8A9BA" w:rsidR="00A1484C" w:rsidRDefault="00A1484C" w:rsidP="009A381D">
            <w:pPr>
              <w:pStyle w:val="TableText"/>
              <w:rPr>
                <w:w w:val="115"/>
              </w:rPr>
            </w:pPr>
            <w:r>
              <w:rPr>
                <w:w w:val="115"/>
              </w:rPr>
              <w:t>26%</w:t>
            </w:r>
          </w:p>
        </w:tc>
      </w:tr>
    </w:tbl>
    <w:p w14:paraId="53821B4C" w14:textId="77777777" w:rsidR="00E84D19" w:rsidRDefault="00E84D19" w:rsidP="00E84D19"/>
    <w:p w14:paraId="719CE45F" w14:textId="77777777" w:rsidR="00A1484C" w:rsidRDefault="00A1484C" w:rsidP="00E84D19"/>
    <w:p w14:paraId="716F2CD1" w14:textId="77777777" w:rsidR="00A1484C" w:rsidRDefault="00A1484C" w:rsidP="00A1484C">
      <w:pPr>
        <w:rPr>
          <w:i/>
          <w:iCs/>
          <w:szCs w:val="20"/>
        </w:rPr>
      </w:pPr>
      <w:r>
        <w:rPr>
          <w:i/>
          <w:iCs/>
          <w:szCs w:val="20"/>
        </w:rPr>
        <w:t>Percentage of floodplain take that is licensed</w:t>
      </w:r>
      <w:r w:rsidRPr="005247A8">
        <w:rPr>
          <w:i/>
          <w:iCs/>
          <w:szCs w:val="20"/>
        </w:rPr>
        <w:t xml:space="preserve"> is reported to highlight the </w:t>
      </w:r>
      <w:r>
        <w:rPr>
          <w:i/>
          <w:iCs/>
          <w:szCs w:val="20"/>
        </w:rPr>
        <w:t xml:space="preserve">volumetric </w:t>
      </w:r>
      <w:r w:rsidRPr="005247A8">
        <w:rPr>
          <w:i/>
          <w:iCs/>
          <w:szCs w:val="20"/>
        </w:rPr>
        <w:t>proportion of floodplain take that is licensed as of 30 June 2024. The total of floodplain take was calculated from sustainable diversion limit reporting for both NSW and Queensland. Both NSW and Queensland are in the process of implementing frameworks for licensing of floodplain take. Data source/owners: Basin jurisdictions</w:t>
      </w:r>
    </w:p>
    <w:p w14:paraId="3F79ABDE" w14:textId="77777777" w:rsidR="00A1484C" w:rsidRDefault="00A1484C" w:rsidP="00A1484C">
      <w:pPr>
        <w:rPr>
          <w:i/>
          <w:iCs/>
          <w:szCs w:val="20"/>
        </w:rPr>
      </w:pPr>
    </w:p>
    <w:p w14:paraId="224FFB7A" w14:textId="6A9AFAF8" w:rsidR="00A1484C" w:rsidRDefault="00A1484C" w:rsidP="00E84D19">
      <w:pPr>
        <w:rPr>
          <w:bCs/>
          <w:i/>
          <w:iCs/>
          <w:szCs w:val="20"/>
        </w:rPr>
      </w:pPr>
      <w:r>
        <w:rPr>
          <w:bCs/>
          <w:i/>
          <w:iCs/>
          <w:szCs w:val="20"/>
        </w:rPr>
        <w:t>Percentage of floodplain take that is metered</w:t>
      </w:r>
      <w:r w:rsidRPr="007025E8">
        <w:rPr>
          <w:bCs/>
          <w:i/>
          <w:iCs/>
          <w:szCs w:val="20"/>
        </w:rPr>
        <w:t xml:space="preserve"> is reported to highlight the proportion of actual floodplain take that is metered as of 30 June 2024. The total of floodplain take was calculated from sustainable diversion limit reporting for both NSW and Queensland. This measure does not include secondary measurement devices such as gauge boards. Data source/owners: Basin jurisdictions</w:t>
      </w:r>
    </w:p>
    <w:p w14:paraId="12B5EF1A" w14:textId="77777777" w:rsidR="00A1484C" w:rsidRDefault="00A1484C" w:rsidP="00E84D19">
      <w:pPr>
        <w:rPr>
          <w:bCs/>
          <w:i/>
          <w:iCs/>
          <w:szCs w:val="20"/>
        </w:rPr>
      </w:pPr>
    </w:p>
    <w:p w14:paraId="62843AAC" w14:textId="1728E0DF" w:rsidR="00A1484C" w:rsidRPr="00496224" w:rsidRDefault="00A1484C" w:rsidP="00A1484C">
      <w:pPr>
        <w:rPr>
          <w:i/>
          <w:iCs/>
          <w:szCs w:val="20"/>
        </w:rPr>
      </w:pPr>
      <w:r>
        <w:rPr>
          <w:i/>
          <w:iCs/>
          <w:szCs w:val="20"/>
        </w:rPr>
        <w:t>Percentage of floodplain take entitlements that are metered</w:t>
      </w:r>
      <w:r w:rsidRPr="005247A8">
        <w:rPr>
          <w:i/>
          <w:iCs/>
          <w:szCs w:val="20"/>
        </w:rPr>
        <w:t xml:space="preserve"> is reported to highlight the proportion of floodplain take entitlements that are metered as of 30 June 2024. This measure does not include secondary measurement devices such as gauge boards. Data source/owners: Basin jurisdictions</w:t>
      </w:r>
    </w:p>
    <w:p w14:paraId="3B2701FE" w14:textId="77777777" w:rsidR="00A1484C" w:rsidRDefault="00A1484C" w:rsidP="00E84D19"/>
    <w:p w14:paraId="279CB1A6" w14:textId="77777777" w:rsidR="00A1484C" w:rsidRPr="00A1484C" w:rsidRDefault="00A1484C" w:rsidP="00A1484C"/>
    <w:p w14:paraId="63D88482" w14:textId="77777777" w:rsidR="00A1484C" w:rsidRPr="00A1484C" w:rsidRDefault="00A1484C" w:rsidP="00A1484C"/>
    <w:p w14:paraId="7DC2F8A1" w14:textId="77777777" w:rsidR="00A1484C" w:rsidRPr="00A1484C" w:rsidRDefault="00A1484C" w:rsidP="00A1484C"/>
    <w:p w14:paraId="2EB3B0F4" w14:textId="77777777" w:rsidR="00A1484C" w:rsidRPr="00A1484C" w:rsidRDefault="00A1484C" w:rsidP="00A1484C"/>
    <w:p w14:paraId="7244BB59" w14:textId="77777777" w:rsidR="00A1484C" w:rsidRPr="00A1484C" w:rsidRDefault="00A1484C" w:rsidP="00A1484C"/>
    <w:p w14:paraId="57B8C7B9" w14:textId="77777777" w:rsidR="00A1484C" w:rsidRPr="00A1484C" w:rsidRDefault="00A1484C" w:rsidP="00A1484C"/>
    <w:p w14:paraId="46D33389" w14:textId="77777777" w:rsidR="00A1484C" w:rsidRDefault="00A1484C" w:rsidP="00A1484C"/>
    <w:p w14:paraId="06EDE5DF" w14:textId="16550B80" w:rsidR="00A1484C" w:rsidRPr="00CD5FFB" w:rsidRDefault="00A1484C" w:rsidP="00A1484C">
      <w:pPr>
        <w:rPr>
          <w:i/>
          <w:iCs/>
        </w:rPr>
        <w:sectPr w:rsidR="00A1484C" w:rsidRPr="00CD5FFB" w:rsidSect="00A1484C">
          <w:pgSz w:w="11906" w:h="16838"/>
          <w:pgMar w:top="1440" w:right="1440" w:bottom="1440" w:left="1440" w:header="708" w:footer="708" w:gutter="0"/>
          <w:cols w:space="708"/>
          <w:docGrid w:linePitch="360"/>
        </w:sectPr>
      </w:pPr>
      <w:r w:rsidRPr="00CD5FFB">
        <w:rPr>
          <w:i/>
          <w:iCs/>
        </w:rPr>
        <w:t>The IGWC makes no claim as to the accuracy of the data shown on this page. Data is collated and supplied directly from the stat</w:t>
      </w:r>
    </w:p>
    <w:p w14:paraId="68C9C611" w14:textId="5864BC5A" w:rsidR="002E784F" w:rsidRDefault="002E784F" w:rsidP="00A1484C">
      <w:pPr>
        <w:tabs>
          <w:tab w:val="left" w:pos="1240"/>
        </w:tabs>
        <w:rPr>
          <w:b/>
          <w:bCs/>
        </w:rPr>
      </w:pPr>
      <w:r w:rsidRPr="00B12FBF">
        <w:rPr>
          <w:b/>
          <w:bCs/>
        </w:rPr>
        <w:lastRenderedPageBreak/>
        <w:t>Queensland provided narrative</w:t>
      </w:r>
    </w:p>
    <w:p w14:paraId="1FC06D7E" w14:textId="77777777" w:rsidR="002E784F" w:rsidRPr="00AD451F" w:rsidRDefault="002E784F" w:rsidP="002E784F">
      <w:r w:rsidRPr="00AD451F">
        <w:t>Queensland currently manages the take of overland flow water in the Queensland Murray-Darling Basin (QMDB) by regulating works that take overland flow, licen</w:t>
      </w:r>
      <w:r>
        <w:t>s</w:t>
      </w:r>
      <w:r w:rsidRPr="00AD451F">
        <w:t>ing take through eligible works and having water level stations installed in on-farm storages. Where the risk of overland flow development is low, regulating works through notification processes is required. Where risk becomes higher, licen</w:t>
      </w:r>
      <w:r>
        <w:t>s</w:t>
      </w:r>
      <w:r w:rsidRPr="00AD451F">
        <w:t>ing and storage measurement is required.</w:t>
      </w:r>
    </w:p>
    <w:p w14:paraId="34354328" w14:textId="77777777" w:rsidR="002E784F" w:rsidRPr="00AD451F" w:rsidRDefault="002E784F" w:rsidP="002E784F">
      <w:r w:rsidRPr="00AD451F">
        <w:t>Licen</w:t>
      </w:r>
      <w:r>
        <w:t>s</w:t>
      </w:r>
      <w:r w:rsidRPr="00AD451F">
        <w:t>ing and storage measurement has been implemented in the Lower Balonne water management area (in the Condamine-Balonne water plan area) and licen</w:t>
      </w:r>
      <w:r>
        <w:t>s</w:t>
      </w:r>
      <w:r w:rsidRPr="00AD451F">
        <w:t>ing is progressively being implemented in the Border Rivers and Moonie water plan area. Once licen</w:t>
      </w:r>
      <w:r>
        <w:t>s</w:t>
      </w:r>
      <w:r w:rsidRPr="00AD451F">
        <w:t>ing has been completed in the Border Rivers and Moonie water plan area, measurement requirements can be applied to these entitlements, such as the installation of water level stations in overland flow storages. These are the two high risk water plan areas for overland flow development.</w:t>
      </w:r>
    </w:p>
    <w:p w14:paraId="7A5E1AD6" w14:textId="19137042" w:rsidR="002E784F" w:rsidRDefault="002E784F" w:rsidP="002E784F">
      <w:r w:rsidRPr="00AD451F">
        <w:t>To improve the measurement and compliance of overland flow water take, Queensland has developed a new method for determining and reporting the take of overland flow water. The method involves developing an on-farm water balance that accounts for water level changes in overland flow storages. On-farm trials will be run in 2025 to test whether the method provides a practical and cost-effective way</w:t>
      </w:r>
      <w:r>
        <w:t xml:space="preserve"> </w:t>
      </w:r>
      <w:r w:rsidRPr="00AD451F">
        <w:t>of improving the measurement of overland flow take. If successful, the approach would be implemented in the Lower Balonne water management area and in the Border Rivers and Moonie water plan area</w:t>
      </w:r>
      <w:r>
        <w:t>.</w:t>
      </w:r>
    </w:p>
    <w:p w14:paraId="3A701049" w14:textId="77777777" w:rsidR="00496224" w:rsidRDefault="00496224" w:rsidP="00473F5B"/>
    <w:p w14:paraId="044CB372" w14:textId="77777777" w:rsidR="002E784F" w:rsidRDefault="002E784F" w:rsidP="00473F5B"/>
    <w:p w14:paraId="6F8B9E6D" w14:textId="77777777" w:rsidR="002E784F" w:rsidRDefault="002E784F" w:rsidP="00473F5B"/>
    <w:p w14:paraId="1B5A9855" w14:textId="77777777" w:rsidR="002E784F" w:rsidRDefault="002E784F" w:rsidP="00473F5B"/>
    <w:p w14:paraId="7D8565E9" w14:textId="77777777" w:rsidR="002E784F" w:rsidRDefault="002E784F" w:rsidP="00473F5B"/>
    <w:p w14:paraId="7A6B3EEC" w14:textId="77777777" w:rsidR="002E784F" w:rsidRDefault="002E784F" w:rsidP="00473F5B"/>
    <w:p w14:paraId="37D4DC87" w14:textId="77777777" w:rsidR="002E784F" w:rsidRDefault="002E784F" w:rsidP="00473F5B"/>
    <w:p w14:paraId="7D78C9A3" w14:textId="77777777" w:rsidR="002E784F" w:rsidRDefault="002E784F" w:rsidP="00473F5B"/>
    <w:p w14:paraId="2A1BE747" w14:textId="77777777" w:rsidR="002E784F" w:rsidRDefault="002E784F" w:rsidP="00473F5B"/>
    <w:p w14:paraId="7172833D" w14:textId="77777777" w:rsidR="002E784F" w:rsidRDefault="002E784F" w:rsidP="00473F5B"/>
    <w:p w14:paraId="11C54282" w14:textId="77777777" w:rsidR="002E784F" w:rsidRDefault="002E784F" w:rsidP="00473F5B"/>
    <w:p w14:paraId="13804DF3" w14:textId="77777777" w:rsidR="002E784F" w:rsidRDefault="002E784F" w:rsidP="00473F5B"/>
    <w:p w14:paraId="42CD914F" w14:textId="77777777" w:rsidR="002E784F" w:rsidRDefault="002E784F" w:rsidP="00473F5B"/>
    <w:p w14:paraId="0553D5CC" w14:textId="77777777" w:rsidR="002E784F" w:rsidRDefault="002E784F" w:rsidP="00473F5B"/>
    <w:p w14:paraId="654EED1A" w14:textId="77777777" w:rsidR="002E784F" w:rsidRDefault="002E784F" w:rsidP="00473F5B"/>
    <w:p w14:paraId="104730E2" w14:textId="77777777" w:rsidR="002E784F" w:rsidRDefault="002E784F" w:rsidP="00473F5B"/>
    <w:p w14:paraId="0EF0D3DE" w14:textId="77777777" w:rsidR="002E784F" w:rsidRPr="00CD5FFB" w:rsidRDefault="002E784F" w:rsidP="002E784F">
      <w:pPr>
        <w:rPr>
          <w:i/>
          <w:iCs/>
        </w:rPr>
        <w:sectPr w:rsidR="002E784F" w:rsidRPr="00CD5FFB" w:rsidSect="002E784F">
          <w:pgSz w:w="11906" w:h="16838"/>
          <w:pgMar w:top="1440" w:right="1440" w:bottom="1440" w:left="1440" w:header="708" w:footer="708" w:gutter="0"/>
          <w:cols w:space="708"/>
          <w:docGrid w:linePitch="360"/>
        </w:sectPr>
      </w:pPr>
      <w:r w:rsidRPr="00CD5FFB">
        <w:rPr>
          <w:i/>
          <w:iCs/>
        </w:rPr>
        <w:t>The IGWC makes no claim as to the accuracy of the data shown on this page. Data is collated and supplied directly from the state</w:t>
      </w:r>
    </w:p>
    <w:p w14:paraId="5ECF9911" w14:textId="77777777" w:rsidR="000D0B17" w:rsidRDefault="000D0B17" w:rsidP="000D0B17">
      <w:pPr>
        <w:pStyle w:val="Heading3"/>
      </w:pPr>
      <w:r>
        <w:lastRenderedPageBreak/>
        <w:t>Murray-Darling Basin Metering Report Card</w:t>
      </w:r>
    </w:p>
    <w:p w14:paraId="5D301670" w14:textId="77777777" w:rsidR="000D0B17" w:rsidRPr="00352403" w:rsidRDefault="000D0B17" w:rsidP="000D0B17">
      <w:pPr>
        <w:pStyle w:val="Heading3"/>
        <w:rPr>
          <w:b w:val="0"/>
          <w:bCs/>
          <w:sz w:val="22"/>
        </w:rPr>
      </w:pPr>
      <w:r w:rsidRPr="00352403">
        <w:rPr>
          <w:b w:val="0"/>
          <w:bCs/>
          <w:sz w:val="22"/>
        </w:rPr>
        <w:t>1 July 2023 – 30 June 2024</w:t>
      </w:r>
    </w:p>
    <w:p w14:paraId="36424F9E" w14:textId="147E5984" w:rsidR="000D0B17" w:rsidRPr="001E6A8C" w:rsidRDefault="000D0B17" w:rsidP="00352403">
      <w:pPr>
        <w:pStyle w:val="Heading3"/>
        <w:rPr>
          <w:b w:val="0"/>
          <w:bCs/>
          <w:sz w:val="22"/>
        </w:rPr>
      </w:pPr>
      <w:r w:rsidRPr="00352403">
        <w:rPr>
          <w:b w:val="0"/>
          <w:bCs/>
          <w:sz w:val="22"/>
        </w:rPr>
        <w:t xml:space="preserve">Data as </w:t>
      </w:r>
      <w:proofErr w:type="gramStart"/>
      <w:r w:rsidRPr="00352403">
        <w:rPr>
          <w:b w:val="0"/>
          <w:bCs/>
          <w:sz w:val="22"/>
        </w:rPr>
        <w:t>at</w:t>
      </w:r>
      <w:proofErr w:type="gramEnd"/>
      <w:r w:rsidRPr="00352403">
        <w:rPr>
          <w:b w:val="0"/>
          <w:bCs/>
          <w:sz w:val="22"/>
        </w:rPr>
        <w:t xml:space="preserve"> 30 June 2024. Progress from 2022-23 metering report card indicated in brackets</w:t>
      </w:r>
    </w:p>
    <w:p w14:paraId="0DB5D781" w14:textId="3351D195" w:rsidR="00415DB3" w:rsidRPr="00BE74BB" w:rsidRDefault="00415DB3" w:rsidP="00415DB3">
      <w:pPr>
        <w:pStyle w:val="TableHeading"/>
        <w:rPr>
          <w:b/>
          <w:bCs/>
          <w:w w:val="110"/>
        </w:rPr>
      </w:pPr>
      <w:r w:rsidRPr="00BE74BB">
        <w:rPr>
          <w:b/>
          <w:bCs/>
        </w:rPr>
        <w:t xml:space="preserve">Table </w:t>
      </w:r>
      <w:r w:rsidR="00201CB4">
        <w:rPr>
          <w:b/>
          <w:bCs/>
        </w:rPr>
        <w:t>3</w:t>
      </w:r>
      <w:r w:rsidRPr="00BE74BB">
        <w:rPr>
          <w:b/>
          <w:bCs/>
        </w:rPr>
        <w:t xml:space="preserve">. </w:t>
      </w:r>
      <w:r w:rsidRPr="00BE74BB">
        <w:rPr>
          <w:b/>
          <w:bCs/>
          <w:w w:val="110"/>
        </w:rPr>
        <w:t>Percentage of water take metered by state</w:t>
      </w:r>
    </w:p>
    <w:tbl>
      <w:tblPr>
        <w:tblStyle w:val="TableGridLight"/>
        <w:tblW w:w="0" w:type="auto"/>
        <w:tblLook w:val="04A0" w:firstRow="1" w:lastRow="0" w:firstColumn="1" w:lastColumn="0" w:noHBand="0" w:noVBand="1"/>
      </w:tblPr>
      <w:tblGrid>
        <w:gridCol w:w="2093"/>
        <w:gridCol w:w="2052"/>
        <w:gridCol w:w="2019"/>
        <w:gridCol w:w="1492"/>
      </w:tblGrid>
      <w:tr w:rsidR="005043F1" w14:paraId="7F66F8B6" w14:textId="77777777" w:rsidTr="005043F1">
        <w:trPr>
          <w:cnfStyle w:val="100000000000" w:firstRow="1" w:lastRow="0" w:firstColumn="0" w:lastColumn="0" w:oddVBand="0" w:evenVBand="0" w:oddHBand="0" w:evenHBand="0" w:firstRowFirstColumn="0" w:firstRowLastColumn="0" w:lastRowFirstColumn="0" w:lastRowLastColumn="0"/>
        </w:trPr>
        <w:tc>
          <w:tcPr>
            <w:tcW w:w="2093" w:type="dxa"/>
          </w:tcPr>
          <w:p w14:paraId="1419333A" w14:textId="77777777" w:rsidR="005043F1" w:rsidRDefault="005043F1" w:rsidP="009A381D">
            <w:pPr>
              <w:pStyle w:val="TableHeader"/>
            </w:pPr>
            <w:r>
              <w:t>Basin State</w:t>
            </w:r>
          </w:p>
        </w:tc>
        <w:tc>
          <w:tcPr>
            <w:tcW w:w="2052" w:type="dxa"/>
          </w:tcPr>
          <w:p w14:paraId="25CEF6DD" w14:textId="77777777" w:rsidR="005043F1" w:rsidRDefault="005043F1" w:rsidP="009A381D">
            <w:pPr>
              <w:pStyle w:val="TableHeader"/>
            </w:pPr>
            <w:r w:rsidRPr="006E1581">
              <w:rPr>
                <w:bCs/>
              </w:rPr>
              <w:t xml:space="preserve">Metered water </w:t>
            </w:r>
            <w:proofErr w:type="gramStart"/>
            <w:r w:rsidRPr="006E1581">
              <w:rPr>
                <w:bCs/>
              </w:rPr>
              <w:t>take</w:t>
            </w:r>
            <w:proofErr w:type="gramEnd"/>
          </w:p>
        </w:tc>
        <w:tc>
          <w:tcPr>
            <w:tcW w:w="2019" w:type="dxa"/>
          </w:tcPr>
          <w:p w14:paraId="0FE13802" w14:textId="77777777" w:rsidR="005043F1" w:rsidRPr="006E1581" w:rsidRDefault="005043F1" w:rsidP="009A381D">
            <w:pPr>
              <w:pStyle w:val="TableHeader"/>
              <w:rPr>
                <w:bCs/>
              </w:rPr>
            </w:pPr>
            <w:r w:rsidRPr="006E1581">
              <w:rPr>
                <w:bCs/>
              </w:rPr>
              <w:t xml:space="preserve">Exempt water </w:t>
            </w:r>
            <w:proofErr w:type="gramStart"/>
            <w:r w:rsidRPr="006E1581">
              <w:rPr>
                <w:bCs/>
              </w:rPr>
              <w:t>take</w:t>
            </w:r>
            <w:proofErr w:type="gramEnd"/>
          </w:p>
        </w:tc>
        <w:tc>
          <w:tcPr>
            <w:tcW w:w="1492" w:type="dxa"/>
          </w:tcPr>
          <w:p w14:paraId="4E2E4F49" w14:textId="77777777" w:rsidR="005043F1" w:rsidRPr="00503969" w:rsidRDefault="005043F1" w:rsidP="009A381D">
            <w:pPr>
              <w:pStyle w:val="TableHeader"/>
              <w:rPr>
                <w:bCs/>
              </w:rPr>
            </w:pPr>
            <w:r w:rsidRPr="006E1581">
              <w:rPr>
                <w:bCs/>
              </w:rPr>
              <w:t xml:space="preserve">Not yet metered water </w:t>
            </w:r>
            <w:proofErr w:type="gramStart"/>
            <w:r w:rsidRPr="006E1581">
              <w:rPr>
                <w:bCs/>
              </w:rPr>
              <w:t>take</w:t>
            </w:r>
            <w:proofErr w:type="gramEnd"/>
          </w:p>
        </w:tc>
      </w:tr>
      <w:tr w:rsidR="005043F1" w14:paraId="5D2222B4" w14:textId="77777777" w:rsidTr="005043F1">
        <w:tc>
          <w:tcPr>
            <w:tcW w:w="2093" w:type="dxa"/>
          </w:tcPr>
          <w:p w14:paraId="2C604C7D" w14:textId="77777777" w:rsidR="005043F1" w:rsidRDefault="005043F1" w:rsidP="009A381D">
            <w:pPr>
              <w:pStyle w:val="TableText"/>
            </w:pPr>
            <w:r>
              <w:t>ACT</w:t>
            </w:r>
          </w:p>
        </w:tc>
        <w:tc>
          <w:tcPr>
            <w:tcW w:w="2052" w:type="dxa"/>
          </w:tcPr>
          <w:p w14:paraId="05632052" w14:textId="77777777" w:rsidR="005043F1" w:rsidRDefault="005043F1" w:rsidP="009A381D">
            <w:pPr>
              <w:pStyle w:val="TableText"/>
            </w:pPr>
            <w:r>
              <w:t>100%</w:t>
            </w:r>
          </w:p>
        </w:tc>
        <w:tc>
          <w:tcPr>
            <w:tcW w:w="2019" w:type="dxa"/>
          </w:tcPr>
          <w:p w14:paraId="46DB9326" w14:textId="77777777" w:rsidR="005043F1" w:rsidRDefault="005043F1" w:rsidP="009A381D">
            <w:pPr>
              <w:pStyle w:val="TableText"/>
            </w:pPr>
            <w:r>
              <w:t>0%</w:t>
            </w:r>
          </w:p>
        </w:tc>
        <w:tc>
          <w:tcPr>
            <w:tcW w:w="1492" w:type="dxa"/>
          </w:tcPr>
          <w:p w14:paraId="70A8FCD5" w14:textId="77777777" w:rsidR="005043F1" w:rsidRDefault="005043F1" w:rsidP="009A381D">
            <w:pPr>
              <w:pStyle w:val="TableText"/>
            </w:pPr>
            <w:r>
              <w:t>0%</w:t>
            </w:r>
          </w:p>
        </w:tc>
      </w:tr>
      <w:tr w:rsidR="005043F1" w14:paraId="321FA943" w14:textId="77777777" w:rsidTr="005043F1">
        <w:tc>
          <w:tcPr>
            <w:tcW w:w="2093" w:type="dxa"/>
          </w:tcPr>
          <w:p w14:paraId="019A3C25" w14:textId="77777777" w:rsidR="005043F1" w:rsidRDefault="005043F1" w:rsidP="009A381D">
            <w:pPr>
              <w:pStyle w:val="TableText"/>
            </w:pPr>
            <w:r>
              <w:t>NSW</w:t>
            </w:r>
          </w:p>
        </w:tc>
        <w:tc>
          <w:tcPr>
            <w:tcW w:w="2052" w:type="dxa"/>
          </w:tcPr>
          <w:p w14:paraId="1502085F" w14:textId="0DC2F040" w:rsidR="005043F1" w:rsidRDefault="005043F1" w:rsidP="009A381D">
            <w:pPr>
              <w:pStyle w:val="TableText"/>
            </w:pPr>
            <w:r>
              <w:t>80.72%</w:t>
            </w:r>
          </w:p>
        </w:tc>
        <w:tc>
          <w:tcPr>
            <w:tcW w:w="2019" w:type="dxa"/>
          </w:tcPr>
          <w:p w14:paraId="0A07EF72" w14:textId="4B5A4554" w:rsidR="005043F1" w:rsidRDefault="005043F1" w:rsidP="009A381D">
            <w:pPr>
              <w:pStyle w:val="TableText"/>
            </w:pPr>
            <w:r>
              <w:t>4.4</w:t>
            </w:r>
            <w:r w:rsidR="00BB46A2">
              <w:t>6</w:t>
            </w:r>
            <w:r>
              <w:t>%</w:t>
            </w:r>
          </w:p>
        </w:tc>
        <w:tc>
          <w:tcPr>
            <w:tcW w:w="1492" w:type="dxa"/>
          </w:tcPr>
          <w:p w14:paraId="6D79999A" w14:textId="423034D9" w:rsidR="005043F1" w:rsidRDefault="005043F1" w:rsidP="009A381D">
            <w:pPr>
              <w:pStyle w:val="TableText"/>
            </w:pPr>
            <w:r>
              <w:t>1</w:t>
            </w:r>
            <w:r w:rsidR="0076239E">
              <w:t>4</w:t>
            </w:r>
            <w:r>
              <w:t>.</w:t>
            </w:r>
            <w:r w:rsidR="0076239E">
              <w:t>82</w:t>
            </w:r>
            <w:r>
              <w:t>%</w:t>
            </w:r>
          </w:p>
        </w:tc>
      </w:tr>
      <w:tr w:rsidR="005043F1" w14:paraId="503170F7" w14:textId="77777777" w:rsidTr="005043F1">
        <w:tc>
          <w:tcPr>
            <w:tcW w:w="2093" w:type="dxa"/>
          </w:tcPr>
          <w:p w14:paraId="03AD48E2" w14:textId="77777777" w:rsidR="005043F1" w:rsidRDefault="005043F1" w:rsidP="009A381D">
            <w:pPr>
              <w:pStyle w:val="TableText"/>
            </w:pPr>
            <w:r>
              <w:t>Queensland</w:t>
            </w:r>
          </w:p>
        </w:tc>
        <w:tc>
          <w:tcPr>
            <w:tcW w:w="2052" w:type="dxa"/>
          </w:tcPr>
          <w:p w14:paraId="29D1BBE7" w14:textId="2B2DCC4A" w:rsidR="005043F1" w:rsidRDefault="005043F1" w:rsidP="009A381D">
            <w:pPr>
              <w:pStyle w:val="TableText"/>
            </w:pPr>
            <w:r>
              <w:t>68%</w:t>
            </w:r>
          </w:p>
        </w:tc>
        <w:tc>
          <w:tcPr>
            <w:tcW w:w="2019" w:type="dxa"/>
          </w:tcPr>
          <w:p w14:paraId="6E22506D" w14:textId="77777777" w:rsidR="005043F1" w:rsidRDefault="005043F1" w:rsidP="009A381D">
            <w:pPr>
              <w:pStyle w:val="TableText"/>
            </w:pPr>
            <w:r>
              <w:t>0%</w:t>
            </w:r>
          </w:p>
        </w:tc>
        <w:tc>
          <w:tcPr>
            <w:tcW w:w="1492" w:type="dxa"/>
          </w:tcPr>
          <w:p w14:paraId="357458B0" w14:textId="42421136" w:rsidR="005043F1" w:rsidRDefault="002246F4" w:rsidP="009A381D">
            <w:pPr>
              <w:pStyle w:val="TableText"/>
            </w:pPr>
            <w:r>
              <w:t>32</w:t>
            </w:r>
            <w:r w:rsidR="005043F1">
              <w:t>%</w:t>
            </w:r>
          </w:p>
        </w:tc>
      </w:tr>
      <w:tr w:rsidR="005043F1" w14:paraId="51E7ABBB" w14:textId="77777777" w:rsidTr="005043F1">
        <w:tc>
          <w:tcPr>
            <w:tcW w:w="2093" w:type="dxa"/>
          </w:tcPr>
          <w:p w14:paraId="13C78D1F" w14:textId="77777777" w:rsidR="005043F1" w:rsidRDefault="005043F1" w:rsidP="009A381D">
            <w:pPr>
              <w:pStyle w:val="TableText"/>
            </w:pPr>
            <w:r>
              <w:t>SA</w:t>
            </w:r>
          </w:p>
        </w:tc>
        <w:tc>
          <w:tcPr>
            <w:tcW w:w="2052" w:type="dxa"/>
          </w:tcPr>
          <w:p w14:paraId="697DAC7C" w14:textId="449519CF" w:rsidR="005043F1" w:rsidRDefault="005043F1" w:rsidP="009A381D">
            <w:pPr>
              <w:pStyle w:val="TableText"/>
            </w:pPr>
            <w:r>
              <w:t>9</w:t>
            </w:r>
            <w:r w:rsidR="002A44F4">
              <w:t>9</w:t>
            </w:r>
            <w:r>
              <w:t>.</w:t>
            </w:r>
            <w:r w:rsidR="002A44F4">
              <w:t>3</w:t>
            </w:r>
            <w:r>
              <w:t>%</w:t>
            </w:r>
          </w:p>
        </w:tc>
        <w:tc>
          <w:tcPr>
            <w:tcW w:w="2019" w:type="dxa"/>
          </w:tcPr>
          <w:p w14:paraId="154F032A" w14:textId="2A18456F" w:rsidR="005043F1" w:rsidRDefault="008C49FC" w:rsidP="009A381D">
            <w:pPr>
              <w:pStyle w:val="TableText"/>
            </w:pPr>
            <w:r>
              <w:t>0.7</w:t>
            </w:r>
            <w:r w:rsidR="005043F1">
              <w:t>%</w:t>
            </w:r>
          </w:p>
        </w:tc>
        <w:tc>
          <w:tcPr>
            <w:tcW w:w="1492" w:type="dxa"/>
          </w:tcPr>
          <w:p w14:paraId="13392E3D" w14:textId="77777777" w:rsidR="005043F1" w:rsidRDefault="005043F1" w:rsidP="009A381D">
            <w:pPr>
              <w:pStyle w:val="TableText"/>
            </w:pPr>
            <w:r>
              <w:t>0%</w:t>
            </w:r>
          </w:p>
        </w:tc>
      </w:tr>
      <w:tr w:rsidR="005043F1" w14:paraId="0E940171" w14:textId="77777777" w:rsidTr="005043F1">
        <w:tc>
          <w:tcPr>
            <w:tcW w:w="2093" w:type="dxa"/>
          </w:tcPr>
          <w:p w14:paraId="3FB3FA94" w14:textId="77777777" w:rsidR="005043F1" w:rsidRDefault="005043F1" w:rsidP="009A381D">
            <w:pPr>
              <w:pStyle w:val="TableText"/>
            </w:pPr>
            <w:r>
              <w:t>Victoria</w:t>
            </w:r>
          </w:p>
        </w:tc>
        <w:tc>
          <w:tcPr>
            <w:tcW w:w="2052" w:type="dxa"/>
          </w:tcPr>
          <w:p w14:paraId="76A0CAD7" w14:textId="47080385" w:rsidR="005043F1" w:rsidRDefault="005043F1" w:rsidP="009A381D">
            <w:pPr>
              <w:pStyle w:val="TableText"/>
            </w:pPr>
            <w:r>
              <w:t>98</w:t>
            </w:r>
            <w:r w:rsidR="00AF13DE">
              <w:t>.47</w:t>
            </w:r>
            <w:r>
              <w:t>%</w:t>
            </w:r>
          </w:p>
        </w:tc>
        <w:tc>
          <w:tcPr>
            <w:tcW w:w="2019" w:type="dxa"/>
          </w:tcPr>
          <w:p w14:paraId="11929A76" w14:textId="36AC3161" w:rsidR="005043F1" w:rsidRDefault="00AA7994" w:rsidP="009A381D">
            <w:pPr>
              <w:pStyle w:val="TableText"/>
            </w:pPr>
            <w:r>
              <w:t>1.53</w:t>
            </w:r>
            <w:r w:rsidR="005043F1">
              <w:t>%</w:t>
            </w:r>
          </w:p>
        </w:tc>
        <w:tc>
          <w:tcPr>
            <w:tcW w:w="1492" w:type="dxa"/>
          </w:tcPr>
          <w:p w14:paraId="403C5A30" w14:textId="77777777" w:rsidR="005043F1" w:rsidRDefault="005043F1" w:rsidP="009A381D">
            <w:pPr>
              <w:pStyle w:val="TableText"/>
            </w:pPr>
            <w:r>
              <w:t>0%</w:t>
            </w:r>
          </w:p>
        </w:tc>
      </w:tr>
    </w:tbl>
    <w:p w14:paraId="5F081122" w14:textId="77777777" w:rsidR="00415DB3" w:rsidRDefault="00415DB3" w:rsidP="00415DB3">
      <w:pPr>
        <w:spacing w:after="0"/>
      </w:pPr>
    </w:p>
    <w:p w14:paraId="4E494500" w14:textId="221ADA5D" w:rsidR="001E6A8C" w:rsidRDefault="001E6A8C" w:rsidP="001E6A8C">
      <w:pPr>
        <w:tabs>
          <w:tab w:val="left" w:pos="1415"/>
        </w:tabs>
        <w:rPr>
          <w:i/>
          <w:iCs/>
        </w:rPr>
      </w:pPr>
      <w:r w:rsidRPr="001E6A8C">
        <w:rPr>
          <w:i/>
          <w:iCs/>
        </w:rPr>
        <w:t>This measure is reported to highlight percentage of actual, meterable water take across the Murray-Darling Basin by each State that is metered. As this metric is influenced by water user behaviour, year-on-year change is not displayed in brackets. Please note, for Queensland the proportion of unmetered water take also includes take that is exempt from metering requirements. Refer to individual State Report Cards for detailed explanation. Data owner/sources: Basin jurisdictions.</w:t>
      </w:r>
    </w:p>
    <w:p w14:paraId="28D40D01" w14:textId="4DADB492" w:rsidR="00A52FE0" w:rsidRPr="00A52FE0" w:rsidRDefault="00A52FE0" w:rsidP="00A52FE0">
      <w:pPr>
        <w:pStyle w:val="TableHeading"/>
        <w:rPr>
          <w:b/>
          <w:bCs/>
          <w:w w:val="110"/>
        </w:rPr>
      </w:pPr>
      <w:r w:rsidRPr="00BE74BB">
        <w:rPr>
          <w:b/>
          <w:bCs/>
        </w:rPr>
        <w:t xml:space="preserve">Table </w:t>
      </w:r>
      <w:r w:rsidR="002D6525">
        <w:rPr>
          <w:b/>
          <w:bCs/>
        </w:rPr>
        <w:t>4</w:t>
      </w:r>
      <w:r w:rsidRPr="00BE74BB">
        <w:rPr>
          <w:b/>
          <w:bCs/>
        </w:rPr>
        <w:t xml:space="preserve">. </w:t>
      </w:r>
      <w:r w:rsidRPr="00BE74BB">
        <w:rPr>
          <w:b/>
          <w:bCs/>
          <w:w w:val="110"/>
        </w:rPr>
        <w:t xml:space="preserve">Percentage of </w:t>
      </w:r>
      <w:r>
        <w:rPr>
          <w:b/>
          <w:bCs/>
          <w:w w:val="110"/>
        </w:rPr>
        <w:t>telemetry</w:t>
      </w:r>
      <w:r w:rsidRPr="00BE74BB">
        <w:rPr>
          <w:b/>
          <w:bCs/>
          <w:w w:val="110"/>
        </w:rPr>
        <w:t xml:space="preserve"> by state</w:t>
      </w:r>
    </w:p>
    <w:tbl>
      <w:tblPr>
        <w:tblStyle w:val="TableGridLight"/>
        <w:tblW w:w="0" w:type="auto"/>
        <w:tblLook w:val="04A0" w:firstRow="1" w:lastRow="0" w:firstColumn="1" w:lastColumn="0" w:noHBand="0" w:noVBand="1"/>
      </w:tblPr>
      <w:tblGrid>
        <w:gridCol w:w="1652"/>
        <w:gridCol w:w="2497"/>
        <w:gridCol w:w="2744"/>
        <w:gridCol w:w="2133"/>
      </w:tblGrid>
      <w:tr w:rsidR="0057115D" w14:paraId="1D19E71D" w14:textId="77777777" w:rsidTr="009A381D">
        <w:trPr>
          <w:cnfStyle w:val="100000000000" w:firstRow="1" w:lastRow="0" w:firstColumn="0" w:lastColumn="0" w:oddVBand="0" w:evenVBand="0" w:oddHBand="0" w:evenHBand="0" w:firstRowFirstColumn="0" w:firstRowLastColumn="0" w:lastRowFirstColumn="0" w:lastRowLastColumn="0"/>
        </w:trPr>
        <w:tc>
          <w:tcPr>
            <w:tcW w:w="1701" w:type="dxa"/>
          </w:tcPr>
          <w:p w14:paraId="25376F85" w14:textId="77777777" w:rsidR="0057115D" w:rsidRDefault="0057115D" w:rsidP="009A381D">
            <w:pPr>
              <w:pStyle w:val="TableHeader"/>
            </w:pPr>
            <w:r>
              <w:t>Basin State</w:t>
            </w:r>
          </w:p>
        </w:tc>
        <w:tc>
          <w:tcPr>
            <w:tcW w:w="2694" w:type="dxa"/>
          </w:tcPr>
          <w:p w14:paraId="5ABE1024" w14:textId="77777777" w:rsidR="0057115D" w:rsidRDefault="0057115D" w:rsidP="009A381D">
            <w:pPr>
              <w:pStyle w:val="TableHeader"/>
            </w:pPr>
            <w:r w:rsidRPr="00D209F3">
              <w:rPr>
                <w:rFonts w:cstheme="minorHAnsi"/>
                <w:bCs/>
              </w:rPr>
              <w:t>Meter % with telemetry</w:t>
            </w:r>
            <w:r w:rsidRPr="00D209F3">
              <w:rPr>
                <w:rFonts w:cstheme="minorHAnsi"/>
                <w:bCs/>
                <w:spacing w:val="40"/>
              </w:rPr>
              <w:t xml:space="preserve"> </w:t>
            </w:r>
            <w:r w:rsidRPr="00D209F3">
              <w:rPr>
                <w:rFonts w:cstheme="minorHAnsi"/>
                <w:bCs/>
              </w:rPr>
              <w:t>connected to the regulator's</w:t>
            </w:r>
            <w:r w:rsidRPr="00D209F3">
              <w:rPr>
                <w:rFonts w:cstheme="minorHAnsi"/>
                <w:bCs/>
                <w:spacing w:val="40"/>
              </w:rPr>
              <w:t xml:space="preserve"> </w:t>
            </w:r>
            <w:r w:rsidRPr="00D209F3">
              <w:rPr>
                <w:rFonts w:cstheme="minorHAnsi"/>
                <w:bCs/>
              </w:rPr>
              <w:t>data</w:t>
            </w:r>
            <w:r w:rsidRPr="00D209F3">
              <w:rPr>
                <w:rFonts w:cstheme="minorHAnsi"/>
                <w:bCs/>
                <w:spacing w:val="-3"/>
              </w:rPr>
              <w:t xml:space="preserve"> </w:t>
            </w:r>
            <w:r w:rsidRPr="00D209F3">
              <w:rPr>
                <w:rFonts w:cstheme="minorHAnsi"/>
                <w:bCs/>
              </w:rPr>
              <w:t>collection system</w:t>
            </w:r>
          </w:p>
        </w:tc>
        <w:tc>
          <w:tcPr>
            <w:tcW w:w="2976" w:type="dxa"/>
          </w:tcPr>
          <w:p w14:paraId="487E1237" w14:textId="77777777" w:rsidR="0057115D" w:rsidRDefault="0057115D" w:rsidP="009A381D">
            <w:pPr>
              <w:pStyle w:val="TableHeader"/>
            </w:pPr>
            <w:r w:rsidRPr="00D209F3">
              <w:rPr>
                <w:rFonts w:cstheme="minorHAnsi"/>
                <w:bCs/>
                <w:w w:val="105"/>
              </w:rPr>
              <w:t>Meter %</w:t>
            </w:r>
            <w:r w:rsidRPr="00D209F3">
              <w:rPr>
                <w:rFonts w:cstheme="minorHAnsi"/>
                <w:bCs/>
                <w:spacing w:val="-1"/>
                <w:w w:val="105"/>
              </w:rPr>
              <w:t xml:space="preserve"> </w:t>
            </w:r>
            <w:r w:rsidRPr="00D209F3">
              <w:rPr>
                <w:rFonts w:cstheme="minorHAnsi"/>
                <w:bCs/>
                <w:w w:val="105"/>
              </w:rPr>
              <w:t>required to have telemetry</w:t>
            </w:r>
            <w:r w:rsidRPr="00D209F3">
              <w:rPr>
                <w:rFonts w:cstheme="minorHAnsi"/>
                <w:bCs/>
                <w:spacing w:val="40"/>
                <w:w w:val="105"/>
              </w:rPr>
              <w:t xml:space="preserve"> </w:t>
            </w:r>
            <w:r w:rsidRPr="00D209F3">
              <w:rPr>
                <w:rFonts w:cstheme="minorHAnsi"/>
                <w:bCs/>
                <w:w w:val="105"/>
              </w:rPr>
              <w:t>connected to the regulator's data collection</w:t>
            </w:r>
            <w:r w:rsidRPr="00D209F3">
              <w:rPr>
                <w:rFonts w:cstheme="minorHAnsi"/>
                <w:bCs/>
                <w:spacing w:val="40"/>
                <w:w w:val="105"/>
              </w:rPr>
              <w:t xml:space="preserve"> </w:t>
            </w:r>
            <w:r w:rsidRPr="00D209F3">
              <w:rPr>
                <w:rFonts w:cstheme="minorHAnsi"/>
                <w:bCs/>
                <w:w w:val="105"/>
              </w:rPr>
              <w:t>system,</w:t>
            </w:r>
            <w:r w:rsidRPr="00D209F3">
              <w:rPr>
                <w:rFonts w:cstheme="minorHAnsi"/>
                <w:bCs/>
                <w:spacing w:val="-6"/>
                <w:w w:val="105"/>
              </w:rPr>
              <w:t xml:space="preserve"> </w:t>
            </w:r>
            <w:r w:rsidRPr="00D209F3">
              <w:rPr>
                <w:rFonts w:cstheme="minorHAnsi"/>
                <w:bCs/>
                <w:w w:val="105"/>
              </w:rPr>
              <w:t>but</w:t>
            </w:r>
            <w:r w:rsidRPr="00D209F3">
              <w:rPr>
                <w:rFonts w:cstheme="minorHAnsi"/>
                <w:bCs/>
                <w:spacing w:val="40"/>
                <w:w w:val="105"/>
              </w:rPr>
              <w:t xml:space="preserve"> </w:t>
            </w:r>
            <w:r w:rsidRPr="00D209F3">
              <w:rPr>
                <w:rFonts w:cstheme="minorHAnsi"/>
                <w:bCs/>
                <w:w w:val="105"/>
              </w:rPr>
              <w:t>which are not connected</w:t>
            </w:r>
          </w:p>
        </w:tc>
        <w:tc>
          <w:tcPr>
            <w:tcW w:w="2267" w:type="dxa"/>
          </w:tcPr>
          <w:p w14:paraId="278D995B" w14:textId="77777777" w:rsidR="0057115D" w:rsidRPr="00D209F3" w:rsidRDefault="0057115D" w:rsidP="009A381D">
            <w:pPr>
              <w:pStyle w:val="TableHeader"/>
              <w:rPr>
                <w:rFonts w:cstheme="minorHAnsi"/>
                <w:bCs/>
              </w:rPr>
            </w:pPr>
            <w:r w:rsidRPr="00D209F3">
              <w:rPr>
                <w:rFonts w:cstheme="minorHAnsi"/>
                <w:bCs/>
                <w:spacing w:val="-2"/>
                <w:w w:val="110"/>
              </w:rPr>
              <w:t>Meter % with</w:t>
            </w:r>
            <w:r w:rsidRPr="00D209F3">
              <w:rPr>
                <w:rFonts w:cstheme="minorHAnsi"/>
                <w:bCs/>
                <w:spacing w:val="40"/>
                <w:w w:val="110"/>
              </w:rPr>
              <w:t xml:space="preserve"> </w:t>
            </w:r>
            <w:r w:rsidRPr="00D209F3">
              <w:rPr>
                <w:rFonts w:cstheme="minorHAnsi"/>
                <w:bCs/>
                <w:w w:val="110"/>
              </w:rPr>
              <w:t>telemetry</w:t>
            </w:r>
            <w:r w:rsidRPr="00D209F3">
              <w:rPr>
                <w:rFonts w:cstheme="minorHAnsi"/>
                <w:bCs/>
                <w:spacing w:val="-10"/>
                <w:w w:val="110"/>
              </w:rPr>
              <w:t xml:space="preserve"> </w:t>
            </w:r>
            <w:r w:rsidRPr="00D209F3">
              <w:rPr>
                <w:rFonts w:cstheme="minorHAnsi"/>
                <w:bCs/>
                <w:w w:val="110"/>
              </w:rPr>
              <w:t>not</w:t>
            </w:r>
            <w:r w:rsidRPr="00D209F3">
              <w:rPr>
                <w:rFonts w:cstheme="minorHAnsi"/>
                <w:bCs/>
                <w:spacing w:val="40"/>
                <w:w w:val="110"/>
              </w:rPr>
              <w:t xml:space="preserve"> </w:t>
            </w:r>
            <w:r w:rsidRPr="00D209F3">
              <w:rPr>
                <w:rFonts w:cstheme="minorHAnsi"/>
                <w:bCs/>
                <w:spacing w:val="-2"/>
                <w:w w:val="110"/>
              </w:rPr>
              <w:t>required</w:t>
            </w:r>
          </w:p>
          <w:p w14:paraId="7E40F592" w14:textId="77777777" w:rsidR="0057115D" w:rsidRDefault="0057115D" w:rsidP="009A381D">
            <w:pPr>
              <w:pStyle w:val="TableHeader"/>
            </w:pPr>
          </w:p>
        </w:tc>
      </w:tr>
      <w:tr w:rsidR="0057115D" w14:paraId="3692ED53" w14:textId="77777777" w:rsidTr="009A381D">
        <w:tc>
          <w:tcPr>
            <w:tcW w:w="1701" w:type="dxa"/>
          </w:tcPr>
          <w:p w14:paraId="05C40DCB" w14:textId="77777777" w:rsidR="0057115D" w:rsidRDefault="0057115D" w:rsidP="009A381D">
            <w:pPr>
              <w:pStyle w:val="TableText"/>
            </w:pPr>
            <w:r>
              <w:t>ACT</w:t>
            </w:r>
          </w:p>
        </w:tc>
        <w:tc>
          <w:tcPr>
            <w:tcW w:w="2694" w:type="dxa"/>
          </w:tcPr>
          <w:p w14:paraId="4D51D872" w14:textId="77777777" w:rsidR="0057115D" w:rsidRDefault="0057115D" w:rsidP="009A381D">
            <w:pPr>
              <w:pStyle w:val="TableText"/>
            </w:pPr>
            <w:r>
              <w:t>0%</w:t>
            </w:r>
          </w:p>
        </w:tc>
        <w:tc>
          <w:tcPr>
            <w:tcW w:w="2976" w:type="dxa"/>
          </w:tcPr>
          <w:p w14:paraId="57E973FD" w14:textId="77777777" w:rsidR="0057115D" w:rsidRDefault="0057115D" w:rsidP="009A381D">
            <w:pPr>
              <w:pStyle w:val="TableText"/>
            </w:pPr>
            <w:r>
              <w:t>0%</w:t>
            </w:r>
          </w:p>
        </w:tc>
        <w:tc>
          <w:tcPr>
            <w:tcW w:w="2267" w:type="dxa"/>
          </w:tcPr>
          <w:p w14:paraId="3213A44D" w14:textId="77777777" w:rsidR="0057115D" w:rsidRDefault="0057115D" w:rsidP="009A381D">
            <w:pPr>
              <w:pStyle w:val="TableText"/>
            </w:pPr>
            <w:r>
              <w:t>100%</w:t>
            </w:r>
          </w:p>
        </w:tc>
      </w:tr>
      <w:tr w:rsidR="0057115D" w14:paraId="78DB89BD" w14:textId="77777777" w:rsidTr="009A381D">
        <w:tc>
          <w:tcPr>
            <w:tcW w:w="1701" w:type="dxa"/>
          </w:tcPr>
          <w:p w14:paraId="3DA74A57" w14:textId="77777777" w:rsidR="0057115D" w:rsidRDefault="0057115D" w:rsidP="009A381D">
            <w:pPr>
              <w:pStyle w:val="TableText"/>
            </w:pPr>
            <w:r>
              <w:t>NSW</w:t>
            </w:r>
          </w:p>
        </w:tc>
        <w:tc>
          <w:tcPr>
            <w:tcW w:w="2694" w:type="dxa"/>
          </w:tcPr>
          <w:p w14:paraId="55DBC67E" w14:textId="200396DF" w:rsidR="0057115D" w:rsidRDefault="0057115D" w:rsidP="009A381D">
            <w:pPr>
              <w:pStyle w:val="TableText"/>
            </w:pPr>
            <w:r w:rsidRPr="00B62B0C">
              <w:t>2</w:t>
            </w:r>
            <w:r w:rsidR="00BD6FD0">
              <w:t>9</w:t>
            </w:r>
            <w:r w:rsidRPr="00B62B0C">
              <w:t>.</w:t>
            </w:r>
            <w:r w:rsidR="00BD6FD0">
              <w:t>25</w:t>
            </w:r>
            <w:r w:rsidRPr="00B62B0C">
              <w:t>% (+</w:t>
            </w:r>
            <w:r w:rsidR="00B64A86">
              <w:t>6.68</w:t>
            </w:r>
            <w:r w:rsidRPr="00B62B0C">
              <w:t>%)</w:t>
            </w:r>
          </w:p>
        </w:tc>
        <w:tc>
          <w:tcPr>
            <w:tcW w:w="2976" w:type="dxa"/>
          </w:tcPr>
          <w:p w14:paraId="6B5AB646" w14:textId="0113D523" w:rsidR="0057115D" w:rsidRDefault="00AD7E77" w:rsidP="009A381D">
            <w:pPr>
              <w:pStyle w:val="TableText"/>
            </w:pPr>
            <w:r>
              <w:t>16.65</w:t>
            </w:r>
            <w:r w:rsidR="0057115D" w:rsidRPr="00B62B0C">
              <w:t>%</w:t>
            </w:r>
          </w:p>
        </w:tc>
        <w:tc>
          <w:tcPr>
            <w:tcW w:w="2267" w:type="dxa"/>
          </w:tcPr>
          <w:p w14:paraId="120F87DB" w14:textId="7EE91B7A" w:rsidR="0057115D" w:rsidRDefault="00273E3F" w:rsidP="009A381D">
            <w:pPr>
              <w:pStyle w:val="TableText"/>
            </w:pPr>
            <w:r>
              <w:t>54.1</w:t>
            </w:r>
            <w:r w:rsidR="0057115D" w:rsidRPr="00B62B0C">
              <w:t>%</w:t>
            </w:r>
          </w:p>
        </w:tc>
      </w:tr>
      <w:tr w:rsidR="0057115D" w14:paraId="728F9599" w14:textId="77777777" w:rsidTr="009A381D">
        <w:tc>
          <w:tcPr>
            <w:tcW w:w="1701" w:type="dxa"/>
          </w:tcPr>
          <w:p w14:paraId="194005CF" w14:textId="77777777" w:rsidR="0057115D" w:rsidRDefault="0057115D" w:rsidP="009A381D">
            <w:pPr>
              <w:pStyle w:val="TableText"/>
            </w:pPr>
            <w:r>
              <w:t>Queensland</w:t>
            </w:r>
          </w:p>
        </w:tc>
        <w:tc>
          <w:tcPr>
            <w:tcW w:w="2694" w:type="dxa"/>
          </w:tcPr>
          <w:p w14:paraId="482B8A46" w14:textId="5F2639EC" w:rsidR="0057115D" w:rsidRDefault="006F1FDA" w:rsidP="009A381D">
            <w:pPr>
              <w:pStyle w:val="TableText"/>
            </w:pPr>
            <w:r>
              <w:t>3</w:t>
            </w:r>
            <w:r w:rsidR="0057115D">
              <w:t>%</w:t>
            </w:r>
            <w:r>
              <w:t xml:space="preserve"> (+3%)</w:t>
            </w:r>
          </w:p>
        </w:tc>
        <w:tc>
          <w:tcPr>
            <w:tcW w:w="2976" w:type="dxa"/>
          </w:tcPr>
          <w:p w14:paraId="4964827C" w14:textId="249062EC" w:rsidR="0057115D" w:rsidRDefault="00063363" w:rsidP="009A381D">
            <w:pPr>
              <w:pStyle w:val="TableText"/>
            </w:pPr>
            <w:r>
              <w:t>45</w:t>
            </w:r>
            <w:r w:rsidR="0057115D">
              <w:t>%</w:t>
            </w:r>
          </w:p>
        </w:tc>
        <w:tc>
          <w:tcPr>
            <w:tcW w:w="2267" w:type="dxa"/>
          </w:tcPr>
          <w:p w14:paraId="2FEEADD5" w14:textId="6F9A5ACD" w:rsidR="0057115D" w:rsidRDefault="00063363" w:rsidP="009A381D">
            <w:pPr>
              <w:pStyle w:val="TableText"/>
            </w:pPr>
            <w:r>
              <w:t>52</w:t>
            </w:r>
            <w:r w:rsidR="0057115D">
              <w:t>%</w:t>
            </w:r>
          </w:p>
        </w:tc>
      </w:tr>
      <w:tr w:rsidR="0057115D" w14:paraId="23EED0D0" w14:textId="77777777" w:rsidTr="009A381D">
        <w:tc>
          <w:tcPr>
            <w:tcW w:w="1701" w:type="dxa"/>
          </w:tcPr>
          <w:p w14:paraId="096B0AE4" w14:textId="77777777" w:rsidR="0057115D" w:rsidRDefault="0057115D" w:rsidP="009A381D">
            <w:pPr>
              <w:pStyle w:val="TableText"/>
            </w:pPr>
            <w:r>
              <w:t>SA</w:t>
            </w:r>
          </w:p>
        </w:tc>
        <w:tc>
          <w:tcPr>
            <w:tcW w:w="2694" w:type="dxa"/>
          </w:tcPr>
          <w:p w14:paraId="6A8D8D7D" w14:textId="77777777" w:rsidR="0057115D" w:rsidRDefault="0057115D" w:rsidP="009A381D">
            <w:pPr>
              <w:pStyle w:val="TableText"/>
            </w:pPr>
            <w:r w:rsidRPr="00B62B0C">
              <w:t>0%</w:t>
            </w:r>
          </w:p>
        </w:tc>
        <w:tc>
          <w:tcPr>
            <w:tcW w:w="2976" w:type="dxa"/>
          </w:tcPr>
          <w:p w14:paraId="5379EB3F" w14:textId="05C6616D" w:rsidR="0057115D" w:rsidRDefault="0057115D" w:rsidP="009A381D">
            <w:pPr>
              <w:pStyle w:val="TableText"/>
            </w:pPr>
            <w:r w:rsidRPr="00B62B0C">
              <w:t>0.</w:t>
            </w:r>
            <w:r w:rsidR="009215F1">
              <w:t>3</w:t>
            </w:r>
            <w:r w:rsidRPr="00B62B0C">
              <w:t>%</w:t>
            </w:r>
          </w:p>
        </w:tc>
        <w:tc>
          <w:tcPr>
            <w:tcW w:w="2267" w:type="dxa"/>
          </w:tcPr>
          <w:p w14:paraId="0742ACE0" w14:textId="26945729" w:rsidR="0057115D" w:rsidRDefault="0057115D" w:rsidP="009A381D">
            <w:pPr>
              <w:pStyle w:val="TableText"/>
            </w:pPr>
            <w:r w:rsidRPr="00B62B0C">
              <w:t>99.7%</w:t>
            </w:r>
          </w:p>
        </w:tc>
      </w:tr>
      <w:tr w:rsidR="0057115D" w14:paraId="224641E6" w14:textId="77777777" w:rsidTr="009A381D">
        <w:tc>
          <w:tcPr>
            <w:tcW w:w="1701" w:type="dxa"/>
          </w:tcPr>
          <w:p w14:paraId="1BCD8153" w14:textId="77777777" w:rsidR="0057115D" w:rsidRDefault="0057115D" w:rsidP="009A381D">
            <w:pPr>
              <w:pStyle w:val="TableText"/>
            </w:pPr>
            <w:r>
              <w:t>Victoria</w:t>
            </w:r>
          </w:p>
        </w:tc>
        <w:tc>
          <w:tcPr>
            <w:tcW w:w="2694" w:type="dxa"/>
          </w:tcPr>
          <w:p w14:paraId="35E704C0" w14:textId="5AE2F8CF" w:rsidR="0057115D" w:rsidRDefault="0057115D" w:rsidP="009A381D">
            <w:pPr>
              <w:pStyle w:val="TableText"/>
            </w:pPr>
            <w:r w:rsidRPr="00B62B0C">
              <w:t>62%</w:t>
            </w:r>
          </w:p>
        </w:tc>
        <w:tc>
          <w:tcPr>
            <w:tcW w:w="2976" w:type="dxa"/>
          </w:tcPr>
          <w:p w14:paraId="7AAE0B0B" w14:textId="77777777" w:rsidR="0057115D" w:rsidRDefault="0057115D" w:rsidP="009A381D">
            <w:pPr>
              <w:pStyle w:val="TableText"/>
            </w:pPr>
            <w:r w:rsidRPr="00B62B0C">
              <w:t>0%</w:t>
            </w:r>
          </w:p>
        </w:tc>
        <w:tc>
          <w:tcPr>
            <w:tcW w:w="2267" w:type="dxa"/>
          </w:tcPr>
          <w:p w14:paraId="01EAA846" w14:textId="77777777" w:rsidR="0057115D" w:rsidRDefault="0057115D" w:rsidP="009A381D">
            <w:pPr>
              <w:pStyle w:val="TableText"/>
            </w:pPr>
            <w:r w:rsidRPr="00B62B0C">
              <w:t>38%</w:t>
            </w:r>
          </w:p>
        </w:tc>
      </w:tr>
    </w:tbl>
    <w:p w14:paraId="3DACB20D" w14:textId="77777777" w:rsidR="0057115D" w:rsidRDefault="0057115D" w:rsidP="001E6A8C">
      <w:pPr>
        <w:tabs>
          <w:tab w:val="left" w:pos="1415"/>
        </w:tabs>
        <w:rPr>
          <w:i/>
          <w:iCs/>
        </w:rPr>
      </w:pPr>
    </w:p>
    <w:p w14:paraId="71FE24E3" w14:textId="197509BC" w:rsidR="00A52FE0" w:rsidRDefault="00A52FE0" w:rsidP="00A52FE0">
      <w:pPr>
        <w:rPr>
          <w:i/>
          <w:iCs/>
          <w:szCs w:val="20"/>
        </w:rPr>
      </w:pPr>
      <w:r w:rsidRPr="00325F12">
        <w:rPr>
          <w:i/>
          <w:iCs/>
          <w:szCs w:val="20"/>
        </w:rPr>
        <w:t>This measure is reported to identify the percentage of meters with telemetry connected to the Basin jurisdictions’ data system across the Murray-Darling Basin. Refer to individual State Report Cards for detailed explanation. Data owner/sources: Basin jurisdictions.</w:t>
      </w:r>
    </w:p>
    <w:tbl>
      <w:tblPr>
        <w:tblStyle w:val="TableGridLight"/>
        <w:tblpPr w:leftFromText="180" w:rightFromText="180" w:vertAnchor="page" w:horzAnchor="margin" w:tblpY="1879"/>
        <w:tblW w:w="0" w:type="auto"/>
        <w:tblLook w:val="04A0" w:firstRow="1" w:lastRow="0" w:firstColumn="1" w:lastColumn="0" w:noHBand="0" w:noVBand="1"/>
      </w:tblPr>
      <w:tblGrid>
        <w:gridCol w:w="2043"/>
        <w:gridCol w:w="1980"/>
        <w:gridCol w:w="2103"/>
        <w:gridCol w:w="1440"/>
        <w:gridCol w:w="1460"/>
      </w:tblGrid>
      <w:tr w:rsidR="005231B0" w:rsidRPr="00106D8E" w14:paraId="283EEB3A" w14:textId="77777777" w:rsidTr="005231B0">
        <w:trPr>
          <w:cnfStyle w:val="100000000000" w:firstRow="1" w:lastRow="0" w:firstColumn="0" w:lastColumn="0" w:oddVBand="0" w:evenVBand="0" w:oddHBand="0" w:evenHBand="0" w:firstRowFirstColumn="0" w:firstRowLastColumn="0" w:lastRowFirstColumn="0" w:lastRowLastColumn="0"/>
        </w:trPr>
        <w:tc>
          <w:tcPr>
            <w:tcW w:w="2043" w:type="dxa"/>
          </w:tcPr>
          <w:p w14:paraId="1683707D" w14:textId="77777777" w:rsidR="005231B0" w:rsidRPr="00106D8E" w:rsidRDefault="005231B0" w:rsidP="005231B0">
            <w:pPr>
              <w:pStyle w:val="TableHeader"/>
            </w:pPr>
            <w:r w:rsidRPr="0079319A">
              <w:lastRenderedPageBreak/>
              <w:t>Basin State</w:t>
            </w:r>
          </w:p>
        </w:tc>
        <w:tc>
          <w:tcPr>
            <w:tcW w:w="1980" w:type="dxa"/>
          </w:tcPr>
          <w:p w14:paraId="4B7F1DE9" w14:textId="77777777" w:rsidR="005231B0" w:rsidRPr="00106D8E" w:rsidRDefault="005231B0" w:rsidP="005231B0">
            <w:pPr>
              <w:pStyle w:val="TableHeader"/>
            </w:pPr>
            <w:r w:rsidRPr="0079319A">
              <w:t>AS4747 meters</w:t>
            </w:r>
          </w:p>
        </w:tc>
        <w:tc>
          <w:tcPr>
            <w:tcW w:w="2103" w:type="dxa"/>
          </w:tcPr>
          <w:p w14:paraId="66AB5DD1" w14:textId="77777777" w:rsidR="005231B0" w:rsidRPr="00106D8E" w:rsidRDefault="005231B0" w:rsidP="005231B0">
            <w:pPr>
              <w:pStyle w:val="TableHeader"/>
            </w:pPr>
            <w:r w:rsidRPr="0079319A">
              <w:t>Grandfathered meters</w:t>
            </w:r>
          </w:p>
        </w:tc>
        <w:tc>
          <w:tcPr>
            <w:tcW w:w="1440" w:type="dxa"/>
          </w:tcPr>
          <w:p w14:paraId="573B0386" w14:textId="77777777" w:rsidR="005231B0" w:rsidRPr="00106D8E" w:rsidRDefault="005231B0" w:rsidP="005231B0">
            <w:pPr>
              <w:pStyle w:val="TableHeader"/>
            </w:pPr>
            <w:r w:rsidRPr="0079319A">
              <w:t>All other meters</w:t>
            </w:r>
          </w:p>
        </w:tc>
        <w:tc>
          <w:tcPr>
            <w:tcW w:w="1460" w:type="dxa"/>
          </w:tcPr>
          <w:p w14:paraId="0E031B67" w14:textId="77777777" w:rsidR="005231B0" w:rsidRPr="00106D8E" w:rsidRDefault="005231B0" w:rsidP="005231B0">
            <w:pPr>
              <w:pStyle w:val="TableHeader"/>
            </w:pPr>
            <w:r w:rsidRPr="0079319A">
              <w:t>Number of meters</w:t>
            </w:r>
          </w:p>
        </w:tc>
      </w:tr>
      <w:tr w:rsidR="005231B0" w:rsidRPr="00106D8E" w14:paraId="1C44E9DD" w14:textId="77777777" w:rsidTr="005231B0">
        <w:tc>
          <w:tcPr>
            <w:tcW w:w="2043" w:type="dxa"/>
          </w:tcPr>
          <w:p w14:paraId="10D2DB60" w14:textId="77777777" w:rsidR="005231B0" w:rsidRPr="00106D8E" w:rsidRDefault="005231B0" w:rsidP="005231B0">
            <w:pPr>
              <w:pStyle w:val="TableText"/>
            </w:pPr>
            <w:r w:rsidRPr="00A75B1C">
              <w:t>ACT</w:t>
            </w:r>
          </w:p>
        </w:tc>
        <w:tc>
          <w:tcPr>
            <w:tcW w:w="1980" w:type="dxa"/>
          </w:tcPr>
          <w:p w14:paraId="0436BA69" w14:textId="28F9A98C" w:rsidR="005231B0" w:rsidRPr="00106D8E" w:rsidRDefault="005231B0" w:rsidP="005231B0">
            <w:pPr>
              <w:pStyle w:val="TableText"/>
            </w:pPr>
            <w:r>
              <w:t>0</w:t>
            </w:r>
            <w:r w:rsidR="00812A30">
              <w:t>.33</w:t>
            </w:r>
            <w:proofErr w:type="gramStart"/>
            <w:r>
              <w:t>%</w:t>
            </w:r>
            <w:r w:rsidR="00812A30">
              <w:t>(</w:t>
            </w:r>
            <w:proofErr w:type="gramEnd"/>
            <w:r w:rsidR="00812A30">
              <w:t xml:space="preserve">+0.33%) </w:t>
            </w:r>
          </w:p>
        </w:tc>
        <w:tc>
          <w:tcPr>
            <w:tcW w:w="2103" w:type="dxa"/>
          </w:tcPr>
          <w:p w14:paraId="4299FB07" w14:textId="25979BFC" w:rsidR="005231B0" w:rsidRPr="00106D8E" w:rsidRDefault="007737A9" w:rsidP="005231B0">
            <w:pPr>
              <w:pStyle w:val="TableText"/>
            </w:pPr>
            <w:r>
              <w:t>4.53</w:t>
            </w:r>
            <w:proofErr w:type="gramStart"/>
            <w:r w:rsidR="005231B0">
              <w:t>%</w:t>
            </w:r>
            <w:r>
              <w:t>(</w:t>
            </w:r>
            <w:proofErr w:type="gramEnd"/>
            <w:r>
              <w:t>+4.53%)</w:t>
            </w:r>
          </w:p>
        </w:tc>
        <w:tc>
          <w:tcPr>
            <w:tcW w:w="1440" w:type="dxa"/>
          </w:tcPr>
          <w:p w14:paraId="28400DD1" w14:textId="7112B4AA" w:rsidR="005231B0" w:rsidRPr="00106D8E" w:rsidRDefault="001B1579" w:rsidP="005231B0">
            <w:pPr>
              <w:pStyle w:val="TableText"/>
            </w:pPr>
            <w:r>
              <w:t>95.14</w:t>
            </w:r>
            <w:r w:rsidR="005231B0">
              <w:t>%</w:t>
            </w:r>
          </w:p>
        </w:tc>
        <w:tc>
          <w:tcPr>
            <w:tcW w:w="1460" w:type="dxa"/>
          </w:tcPr>
          <w:p w14:paraId="3C5ECF56" w14:textId="0B3801DB" w:rsidR="005231B0" w:rsidRPr="00106D8E" w:rsidRDefault="005231B0" w:rsidP="005231B0">
            <w:pPr>
              <w:pStyle w:val="TableText"/>
            </w:pPr>
            <w:r>
              <w:t>30</w:t>
            </w:r>
            <w:r w:rsidR="00861490">
              <w:t>9</w:t>
            </w:r>
          </w:p>
        </w:tc>
      </w:tr>
      <w:tr w:rsidR="005231B0" w:rsidRPr="00106D8E" w14:paraId="00CE3D7B" w14:textId="77777777" w:rsidTr="005231B0">
        <w:tc>
          <w:tcPr>
            <w:tcW w:w="2043" w:type="dxa"/>
          </w:tcPr>
          <w:p w14:paraId="1ACC920A" w14:textId="77777777" w:rsidR="005231B0" w:rsidRPr="00106D8E" w:rsidRDefault="005231B0" w:rsidP="005231B0">
            <w:pPr>
              <w:pStyle w:val="TableText"/>
            </w:pPr>
            <w:r w:rsidRPr="00A75B1C">
              <w:t>NSW</w:t>
            </w:r>
          </w:p>
        </w:tc>
        <w:tc>
          <w:tcPr>
            <w:tcW w:w="1980" w:type="dxa"/>
          </w:tcPr>
          <w:p w14:paraId="350B3970" w14:textId="54895200" w:rsidR="005231B0" w:rsidRPr="00106D8E" w:rsidRDefault="00C47AA6" w:rsidP="005231B0">
            <w:pPr>
              <w:pStyle w:val="TableText"/>
            </w:pPr>
            <w:r>
              <w:t>32</w:t>
            </w:r>
            <w:r w:rsidR="005231B0">
              <w:t>.</w:t>
            </w:r>
            <w:r>
              <w:t>18</w:t>
            </w:r>
            <w:r w:rsidR="005231B0">
              <w:t>% (+</w:t>
            </w:r>
            <w:r w:rsidR="00777423">
              <w:t>2.98</w:t>
            </w:r>
            <w:r w:rsidR="005231B0">
              <w:t>%)</w:t>
            </w:r>
          </w:p>
        </w:tc>
        <w:tc>
          <w:tcPr>
            <w:tcW w:w="2103" w:type="dxa"/>
          </w:tcPr>
          <w:p w14:paraId="0AA7532F" w14:textId="31D6468C" w:rsidR="005231B0" w:rsidRPr="00106D8E" w:rsidRDefault="00F02E2F" w:rsidP="005231B0">
            <w:pPr>
              <w:pStyle w:val="TableText"/>
            </w:pPr>
            <w:r>
              <w:t>12.22</w:t>
            </w:r>
            <w:r w:rsidR="005231B0">
              <w:t>% (+</w:t>
            </w:r>
            <w:r>
              <w:t>5.89</w:t>
            </w:r>
            <w:r w:rsidR="005231B0">
              <w:t>%)</w:t>
            </w:r>
          </w:p>
        </w:tc>
        <w:tc>
          <w:tcPr>
            <w:tcW w:w="1440" w:type="dxa"/>
          </w:tcPr>
          <w:p w14:paraId="502EEF37" w14:textId="2E719A3F" w:rsidR="005231B0" w:rsidRPr="00106D8E" w:rsidRDefault="00B74052" w:rsidP="005231B0">
            <w:pPr>
              <w:pStyle w:val="TableText"/>
            </w:pPr>
            <w:r>
              <w:t>55.6</w:t>
            </w:r>
            <w:r w:rsidR="005231B0">
              <w:t>%</w:t>
            </w:r>
          </w:p>
        </w:tc>
        <w:tc>
          <w:tcPr>
            <w:tcW w:w="1460" w:type="dxa"/>
          </w:tcPr>
          <w:p w14:paraId="339BF336" w14:textId="036C1D1E" w:rsidR="005231B0" w:rsidRPr="00106D8E" w:rsidRDefault="005231B0" w:rsidP="005231B0">
            <w:pPr>
              <w:pStyle w:val="TableText"/>
            </w:pPr>
            <w:r>
              <w:t>1</w:t>
            </w:r>
            <w:r w:rsidR="00895867">
              <w:t>2131</w:t>
            </w:r>
          </w:p>
        </w:tc>
      </w:tr>
      <w:tr w:rsidR="005231B0" w:rsidRPr="00106D8E" w14:paraId="480135A8" w14:textId="77777777" w:rsidTr="005231B0">
        <w:tc>
          <w:tcPr>
            <w:tcW w:w="2043" w:type="dxa"/>
          </w:tcPr>
          <w:p w14:paraId="03194984" w14:textId="77777777" w:rsidR="005231B0" w:rsidRPr="00106D8E" w:rsidRDefault="005231B0" w:rsidP="005231B0">
            <w:pPr>
              <w:pStyle w:val="TableText"/>
            </w:pPr>
            <w:r w:rsidRPr="00A75B1C">
              <w:t>Queensland</w:t>
            </w:r>
          </w:p>
        </w:tc>
        <w:tc>
          <w:tcPr>
            <w:tcW w:w="1980" w:type="dxa"/>
          </w:tcPr>
          <w:p w14:paraId="7C25F869" w14:textId="52F30346" w:rsidR="005231B0" w:rsidRPr="00106D8E" w:rsidRDefault="009922C9" w:rsidP="005231B0">
            <w:pPr>
              <w:pStyle w:val="TableText"/>
            </w:pPr>
            <w:r>
              <w:t>32.5</w:t>
            </w:r>
            <w:r w:rsidR="005231B0">
              <w:t>% (+1</w:t>
            </w:r>
            <w:r>
              <w:t>4.5</w:t>
            </w:r>
            <w:r w:rsidR="005231B0">
              <w:t>%)</w:t>
            </w:r>
          </w:p>
        </w:tc>
        <w:tc>
          <w:tcPr>
            <w:tcW w:w="2103" w:type="dxa"/>
          </w:tcPr>
          <w:p w14:paraId="57B7C6F8" w14:textId="3F650362" w:rsidR="005231B0" w:rsidRPr="00106D8E" w:rsidRDefault="007961C9" w:rsidP="005231B0">
            <w:pPr>
              <w:pStyle w:val="TableText"/>
            </w:pPr>
            <w:r>
              <w:t>36.3</w:t>
            </w:r>
            <w:r w:rsidR="005231B0">
              <w:t>%</w:t>
            </w:r>
            <w:r>
              <w:t xml:space="preserve"> (+36.3%)</w:t>
            </w:r>
          </w:p>
        </w:tc>
        <w:tc>
          <w:tcPr>
            <w:tcW w:w="1440" w:type="dxa"/>
          </w:tcPr>
          <w:p w14:paraId="4058FC20" w14:textId="64CB7CDD" w:rsidR="005231B0" w:rsidRPr="00106D8E" w:rsidRDefault="00401532" w:rsidP="005231B0">
            <w:pPr>
              <w:pStyle w:val="TableText"/>
            </w:pPr>
            <w:r>
              <w:t>31.5</w:t>
            </w:r>
            <w:r w:rsidR="005231B0">
              <w:t>%</w:t>
            </w:r>
          </w:p>
        </w:tc>
        <w:tc>
          <w:tcPr>
            <w:tcW w:w="1460" w:type="dxa"/>
          </w:tcPr>
          <w:p w14:paraId="30CD1DE9" w14:textId="4C0D1D34" w:rsidR="005231B0" w:rsidRPr="00106D8E" w:rsidRDefault="005231B0" w:rsidP="005231B0">
            <w:pPr>
              <w:pStyle w:val="TableText"/>
            </w:pPr>
            <w:r>
              <w:t>1</w:t>
            </w:r>
            <w:r w:rsidR="004827C5">
              <w:t>845</w:t>
            </w:r>
          </w:p>
        </w:tc>
      </w:tr>
      <w:tr w:rsidR="005231B0" w:rsidRPr="00106D8E" w14:paraId="73D9F870" w14:textId="77777777" w:rsidTr="005231B0">
        <w:tc>
          <w:tcPr>
            <w:tcW w:w="2043" w:type="dxa"/>
          </w:tcPr>
          <w:p w14:paraId="717448D7" w14:textId="77777777" w:rsidR="005231B0" w:rsidRPr="00106D8E" w:rsidRDefault="005231B0" w:rsidP="005231B0">
            <w:pPr>
              <w:pStyle w:val="TableText"/>
            </w:pPr>
            <w:r w:rsidRPr="00A75B1C">
              <w:t>SA</w:t>
            </w:r>
          </w:p>
        </w:tc>
        <w:tc>
          <w:tcPr>
            <w:tcW w:w="1980" w:type="dxa"/>
          </w:tcPr>
          <w:p w14:paraId="151B6601" w14:textId="4ADD61A6" w:rsidR="005231B0" w:rsidRPr="00106D8E" w:rsidRDefault="00602159" w:rsidP="005231B0">
            <w:pPr>
              <w:pStyle w:val="TableText"/>
            </w:pPr>
            <w:r>
              <w:t>14.4</w:t>
            </w:r>
            <w:r w:rsidR="005231B0">
              <w:t>% (+</w:t>
            </w:r>
            <w:r>
              <w:t>4.9</w:t>
            </w:r>
            <w:r w:rsidR="005231B0">
              <w:t>%)</w:t>
            </w:r>
          </w:p>
        </w:tc>
        <w:tc>
          <w:tcPr>
            <w:tcW w:w="2103" w:type="dxa"/>
          </w:tcPr>
          <w:p w14:paraId="5724FE9E" w14:textId="6E60BBC2" w:rsidR="005231B0" w:rsidRPr="00106D8E" w:rsidRDefault="00A2567B" w:rsidP="005231B0">
            <w:pPr>
              <w:pStyle w:val="TableText"/>
            </w:pPr>
            <w:r>
              <w:t>85.6</w:t>
            </w:r>
            <w:r w:rsidR="005231B0">
              <w:t>%</w:t>
            </w:r>
          </w:p>
        </w:tc>
        <w:tc>
          <w:tcPr>
            <w:tcW w:w="1440" w:type="dxa"/>
          </w:tcPr>
          <w:p w14:paraId="4148CD76" w14:textId="77777777" w:rsidR="005231B0" w:rsidRPr="00106D8E" w:rsidRDefault="005231B0" w:rsidP="005231B0">
            <w:pPr>
              <w:pStyle w:val="TableText"/>
            </w:pPr>
            <w:r>
              <w:t>0%</w:t>
            </w:r>
          </w:p>
        </w:tc>
        <w:tc>
          <w:tcPr>
            <w:tcW w:w="1460" w:type="dxa"/>
          </w:tcPr>
          <w:p w14:paraId="20FF0E72" w14:textId="6DCF58CA" w:rsidR="005231B0" w:rsidRPr="00106D8E" w:rsidRDefault="005231B0" w:rsidP="005231B0">
            <w:pPr>
              <w:pStyle w:val="TableText"/>
            </w:pPr>
            <w:r>
              <w:t>3</w:t>
            </w:r>
            <w:r w:rsidR="008B6E40">
              <w:t>558</w:t>
            </w:r>
          </w:p>
        </w:tc>
      </w:tr>
      <w:tr w:rsidR="005231B0" w:rsidRPr="00106D8E" w14:paraId="76EBD88C" w14:textId="77777777" w:rsidTr="005231B0">
        <w:tc>
          <w:tcPr>
            <w:tcW w:w="2043" w:type="dxa"/>
          </w:tcPr>
          <w:p w14:paraId="0C1CD667" w14:textId="77777777" w:rsidR="005231B0" w:rsidRPr="00106D8E" w:rsidRDefault="005231B0" w:rsidP="005231B0">
            <w:pPr>
              <w:pStyle w:val="TableText"/>
            </w:pPr>
            <w:r w:rsidRPr="00A75B1C">
              <w:t>Victoria</w:t>
            </w:r>
          </w:p>
        </w:tc>
        <w:tc>
          <w:tcPr>
            <w:tcW w:w="1980" w:type="dxa"/>
          </w:tcPr>
          <w:p w14:paraId="4959EEAE" w14:textId="0E578C95" w:rsidR="005231B0" w:rsidRPr="00106D8E" w:rsidRDefault="007F2752" w:rsidP="005231B0">
            <w:pPr>
              <w:pStyle w:val="TableText"/>
            </w:pPr>
            <w:r>
              <w:t>8.5</w:t>
            </w:r>
            <w:r w:rsidR="005231B0">
              <w:t>%</w:t>
            </w:r>
            <w:r>
              <w:t xml:space="preserve"> (1.5%)</w:t>
            </w:r>
          </w:p>
        </w:tc>
        <w:tc>
          <w:tcPr>
            <w:tcW w:w="2103" w:type="dxa"/>
          </w:tcPr>
          <w:p w14:paraId="1A266B12" w14:textId="77777777" w:rsidR="005231B0" w:rsidRPr="00106D8E" w:rsidRDefault="005231B0" w:rsidP="005231B0">
            <w:pPr>
              <w:pStyle w:val="TableText"/>
            </w:pPr>
            <w:r>
              <w:t>39%</w:t>
            </w:r>
          </w:p>
        </w:tc>
        <w:tc>
          <w:tcPr>
            <w:tcW w:w="1440" w:type="dxa"/>
          </w:tcPr>
          <w:p w14:paraId="4EE64D8E" w14:textId="2CCB4691" w:rsidR="005231B0" w:rsidRPr="00106D8E" w:rsidRDefault="005231B0" w:rsidP="005231B0">
            <w:pPr>
              <w:pStyle w:val="TableText"/>
            </w:pPr>
            <w:r>
              <w:t>5</w:t>
            </w:r>
            <w:r w:rsidR="008D3F42">
              <w:t>2.5</w:t>
            </w:r>
            <w:r>
              <w:t>%</w:t>
            </w:r>
          </w:p>
        </w:tc>
        <w:tc>
          <w:tcPr>
            <w:tcW w:w="1460" w:type="dxa"/>
          </w:tcPr>
          <w:p w14:paraId="743A2D61" w14:textId="549255EB" w:rsidR="005231B0" w:rsidRPr="00106D8E" w:rsidRDefault="005231B0" w:rsidP="005231B0">
            <w:pPr>
              <w:pStyle w:val="TableText"/>
            </w:pPr>
            <w:r>
              <w:t>4</w:t>
            </w:r>
            <w:r w:rsidR="00E608E5">
              <w:t>6147</w:t>
            </w:r>
          </w:p>
        </w:tc>
      </w:tr>
    </w:tbl>
    <w:p w14:paraId="7CE4DE67" w14:textId="26C822BD" w:rsidR="005231B0" w:rsidRDefault="005231B0" w:rsidP="005231B0">
      <w:pPr>
        <w:pStyle w:val="TableHeading"/>
        <w:rPr>
          <w:b/>
          <w:bCs/>
        </w:rPr>
      </w:pPr>
      <w:r w:rsidRPr="00BE74BB">
        <w:rPr>
          <w:b/>
          <w:bCs/>
        </w:rPr>
        <w:t xml:space="preserve">Table </w:t>
      </w:r>
      <w:r w:rsidR="002D6525">
        <w:rPr>
          <w:b/>
          <w:bCs/>
        </w:rPr>
        <w:t>5</w:t>
      </w:r>
      <w:r w:rsidRPr="00BE74BB">
        <w:rPr>
          <w:b/>
          <w:bCs/>
        </w:rPr>
        <w:t xml:space="preserve">. </w:t>
      </w:r>
      <w:r>
        <w:rPr>
          <w:b/>
          <w:bCs/>
          <w:w w:val="110"/>
        </w:rPr>
        <w:t>Meter accuracy</w:t>
      </w:r>
      <w:r w:rsidRPr="00BE74BB">
        <w:rPr>
          <w:b/>
          <w:bCs/>
          <w:w w:val="110"/>
        </w:rPr>
        <w:t xml:space="preserve"> by state</w:t>
      </w:r>
    </w:p>
    <w:p w14:paraId="685F45E7" w14:textId="77777777" w:rsidR="002D6525" w:rsidRPr="002D6525" w:rsidRDefault="002D6525" w:rsidP="002D6525"/>
    <w:p w14:paraId="406FEF6E" w14:textId="77777777" w:rsidR="002D6525" w:rsidRDefault="002D6525" w:rsidP="002D6525">
      <w:pPr>
        <w:rPr>
          <w:i/>
          <w:iCs/>
          <w:szCs w:val="20"/>
        </w:rPr>
      </w:pPr>
      <w:r w:rsidRPr="00325F12">
        <w:rPr>
          <w:i/>
          <w:iCs/>
          <w:szCs w:val="20"/>
        </w:rPr>
        <w:t>This measure is reported to understand the percentages of meters that comply with the State’s metering policy and are therefore deemed accurate (including AS4747 and grandfathered meters). The percentage of AS4747 meters in the measure is intended to show progress Basin States are making in the roll-out of AS4747 metering. Please note that the ‘all other meters’ category may include meters that are not required to be AS4747 compliant or grandfathered. Data owner/sources: Basin jurisdictions</w:t>
      </w:r>
    </w:p>
    <w:p w14:paraId="2D070A36" w14:textId="056FBB4C" w:rsidR="0090363F" w:rsidRPr="0090363F" w:rsidRDefault="0090363F" w:rsidP="0090363F">
      <w:pPr>
        <w:pStyle w:val="TableHeading"/>
        <w:rPr>
          <w:b/>
          <w:bCs/>
        </w:rPr>
      </w:pPr>
      <w:r w:rsidRPr="00BE74BB">
        <w:rPr>
          <w:b/>
          <w:bCs/>
        </w:rPr>
        <w:t xml:space="preserve">Table </w:t>
      </w:r>
      <w:r>
        <w:rPr>
          <w:b/>
          <w:bCs/>
        </w:rPr>
        <w:t>6</w:t>
      </w:r>
      <w:r w:rsidRPr="00BE74BB">
        <w:rPr>
          <w:b/>
          <w:bCs/>
        </w:rPr>
        <w:t xml:space="preserve">. </w:t>
      </w:r>
      <w:r>
        <w:rPr>
          <w:b/>
          <w:bCs/>
          <w:w w:val="110"/>
        </w:rPr>
        <w:t>Number of non-urban meters</w:t>
      </w:r>
    </w:p>
    <w:tbl>
      <w:tblPr>
        <w:tblStyle w:val="TableGridLight"/>
        <w:tblW w:w="0" w:type="auto"/>
        <w:tblLook w:val="04A0" w:firstRow="1" w:lastRow="0" w:firstColumn="1" w:lastColumn="0" w:noHBand="0" w:noVBand="1"/>
      </w:tblPr>
      <w:tblGrid>
        <w:gridCol w:w="3544"/>
        <w:gridCol w:w="2874"/>
      </w:tblGrid>
      <w:tr w:rsidR="0090363F" w14:paraId="37B7DE7A" w14:textId="77777777" w:rsidTr="009A381D">
        <w:trPr>
          <w:cnfStyle w:val="100000000000" w:firstRow="1" w:lastRow="0" w:firstColumn="0" w:lastColumn="0" w:oddVBand="0" w:evenVBand="0" w:oddHBand="0" w:evenHBand="0" w:firstRowFirstColumn="0" w:firstRowLastColumn="0" w:lastRowFirstColumn="0" w:lastRowLastColumn="0"/>
        </w:trPr>
        <w:tc>
          <w:tcPr>
            <w:tcW w:w="3544" w:type="dxa"/>
          </w:tcPr>
          <w:p w14:paraId="6779803F" w14:textId="77777777" w:rsidR="0090363F" w:rsidRDefault="0090363F" w:rsidP="009A381D">
            <w:pPr>
              <w:pStyle w:val="TableHeader"/>
            </w:pPr>
            <w:r>
              <w:t>Basin State</w:t>
            </w:r>
          </w:p>
        </w:tc>
        <w:tc>
          <w:tcPr>
            <w:tcW w:w="2874" w:type="dxa"/>
          </w:tcPr>
          <w:p w14:paraId="3B39E94C" w14:textId="77777777" w:rsidR="0090363F" w:rsidRDefault="0090363F" w:rsidP="009A381D">
            <w:pPr>
              <w:pStyle w:val="TableHeader"/>
            </w:pPr>
            <w:r>
              <w:rPr>
                <w:bCs/>
              </w:rPr>
              <w:t>Number of meters</w:t>
            </w:r>
          </w:p>
        </w:tc>
      </w:tr>
      <w:tr w:rsidR="00F827CD" w14:paraId="04F30865" w14:textId="77777777" w:rsidTr="009A381D">
        <w:tc>
          <w:tcPr>
            <w:tcW w:w="3544" w:type="dxa"/>
          </w:tcPr>
          <w:p w14:paraId="45BB80C8" w14:textId="79ABD733" w:rsidR="00F827CD" w:rsidRDefault="00F827CD" w:rsidP="009A381D">
            <w:pPr>
              <w:pStyle w:val="TableText"/>
            </w:pPr>
            <w:r>
              <w:t>ACT – AS4747</w:t>
            </w:r>
          </w:p>
        </w:tc>
        <w:tc>
          <w:tcPr>
            <w:tcW w:w="2874" w:type="dxa"/>
          </w:tcPr>
          <w:p w14:paraId="45486261" w14:textId="26149A3D" w:rsidR="00F827CD" w:rsidRDefault="006D127B" w:rsidP="009A381D">
            <w:pPr>
              <w:pStyle w:val="TableText"/>
            </w:pPr>
            <w:r>
              <w:t>1</w:t>
            </w:r>
          </w:p>
        </w:tc>
      </w:tr>
      <w:tr w:rsidR="0090363F" w14:paraId="6FAAE519" w14:textId="77777777" w:rsidTr="009A381D">
        <w:tc>
          <w:tcPr>
            <w:tcW w:w="3544" w:type="dxa"/>
          </w:tcPr>
          <w:p w14:paraId="23DECE4E" w14:textId="6B6E023A" w:rsidR="0090363F" w:rsidRDefault="00F827CD" w:rsidP="009A381D">
            <w:pPr>
              <w:pStyle w:val="TableText"/>
            </w:pPr>
            <w:r>
              <w:t>ACT – Grandfathered</w:t>
            </w:r>
          </w:p>
        </w:tc>
        <w:tc>
          <w:tcPr>
            <w:tcW w:w="2874" w:type="dxa"/>
          </w:tcPr>
          <w:p w14:paraId="359D53F6" w14:textId="053119B6" w:rsidR="0090363F" w:rsidRDefault="009C0C17" w:rsidP="009A381D">
            <w:pPr>
              <w:pStyle w:val="TableText"/>
            </w:pPr>
            <w:r>
              <w:t>14</w:t>
            </w:r>
          </w:p>
        </w:tc>
      </w:tr>
      <w:tr w:rsidR="00F827CD" w14:paraId="30146765" w14:textId="77777777" w:rsidTr="009A381D">
        <w:tc>
          <w:tcPr>
            <w:tcW w:w="3544" w:type="dxa"/>
          </w:tcPr>
          <w:p w14:paraId="3E231B9C" w14:textId="57245979" w:rsidR="00F827CD" w:rsidRDefault="00F827CD" w:rsidP="009A381D">
            <w:pPr>
              <w:pStyle w:val="TableText"/>
            </w:pPr>
            <w:r>
              <w:t>ACT – All other meters</w:t>
            </w:r>
          </w:p>
        </w:tc>
        <w:tc>
          <w:tcPr>
            <w:tcW w:w="2874" w:type="dxa"/>
          </w:tcPr>
          <w:p w14:paraId="63E700BE" w14:textId="38BF04A2" w:rsidR="00F827CD" w:rsidRDefault="009C0C17" w:rsidP="009A381D">
            <w:pPr>
              <w:pStyle w:val="TableText"/>
            </w:pPr>
            <w:r>
              <w:t>294</w:t>
            </w:r>
          </w:p>
        </w:tc>
      </w:tr>
      <w:tr w:rsidR="0090363F" w14:paraId="533E8D08" w14:textId="77777777" w:rsidTr="009A381D">
        <w:tc>
          <w:tcPr>
            <w:tcW w:w="3544" w:type="dxa"/>
          </w:tcPr>
          <w:p w14:paraId="0A23DD08" w14:textId="77777777" w:rsidR="0090363F" w:rsidRDefault="0090363F" w:rsidP="009A381D">
            <w:pPr>
              <w:pStyle w:val="TableText"/>
            </w:pPr>
            <w:r>
              <w:t>NSW – All other meters</w:t>
            </w:r>
          </w:p>
        </w:tc>
        <w:tc>
          <w:tcPr>
            <w:tcW w:w="2874" w:type="dxa"/>
          </w:tcPr>
          <w:p w14:paraId="1CE33395" w14:textId="4533CF34" w:rsidR="0090363F" w:rsidRDefault="00FC03F3" w:rsidP="009A381D">
            <w:pPr>
              <w:pStyle w:val="TableText"/>
            </w:pPr>
            <w:r>
              <w:t>6745</w:t>
            </w:r>
          </w:p>
        </w:tc>
      </w:tr>
      <w:tr w:rsidR="0090363F" w14:paraId="5E4D885E" w14:textId="77777777" w:rsidTr="009A381D">
        <w:tc>
          <w:tcPr>
            <w:tcW w:w="3544" w:type="dxa"/>
          </w:tcPr>
          <w:p w14:paraId="21B544B3" w14:textId="77777777" w:rsidR="0090363F" w:rsidRDefault="0090363F" w:rsidP="009A381D">
            <w:pPr>
              <w:pStyle w:val="TableText"/>
            </w:pPr>
            <w:r>
              <w:t>NSW – AS4747</w:t>
            </w:r>
          </w:p>
        </w:tc>
        <w:tc>
          <w:tcPr>
            <w:tcW w:w="2874" w:type="dxa"/>
          </w:tcPr>
          <w:p w14:paraId="421943DF" w14:textId="71EF639B" w:rsidR="0090363F" w:rsidRDefault="006B09D6" w:rsidP="009A381D">
            <w:pPr>
              <w:pStyle w:val="TableText"/>
              <w:rPr>
                <w:w w:val="115"/>
              </w:rPr>
            </w:pPr>
            <w:r>
              <w:rPr>
                <w:w w:val="115"/>
              </w:rPr>
              <w:t>3904</w:t>
            </w:r>
          </w:p>
        </w:tc>
      </w:tr>
      <w:tr w:rsidR="0090363F" w14:paraId="22A02224" w14:textId="77777777" w:rsidTr="009A381D">
        <w:tc>
          <w:tcPr>
            <w:tcW w:w="3544" w:type="dxa"/>
          </w:tcPr>
          <w:p w14:paraId="5F756D7E" w14:textId="77777777" w:rsidR="0090363F" w:rsidRDefault="0090363F" w:rsidP="009A381D">
            <w:pPr>
              <w:pStyle w:val="TableText"/>
            </w:pPr>
            <w:r>
              <w:t>NSW - Grandfathered</w:t>
            </w:r>
          </w:p>
        </w:tc>
        <w:tc>
          <w:tcPr>
            <w:tcW w:w="2874" w:type="dxa"/>
          </w:tcPr>
          <w:p w14:paraId="36F65177" w14:textId="696E2BBF" w:rsidR="0090363F" w:rsidRDefault="00C0719D" w:rsidP="009A381D">
            <w:pPr>
              <w:pStyle w:val="TableText"/>
              <w:rPr>
                <w:w w:val="115"/>
              </w:rPr>
            </w:pPr>
            <w:r>
              <w:rPr>
                <w:w w:val="115"/>
              </w:rPr>
              <w:t>1482</w:t>
            </w:r>
          </w:p>
        </w:tc>
      </w:tr>
      <w:tr w:rsidR="0090363F" w14:paraId="1F373887" w14:textId="77777777" w:rsidTr="009A381D">
        <w:tc>
          <w:tcPr>
            <w:tcW w:w="3544" w:type="dxa"/>
          </w:tcPr>
          <w:p w14:paraId="744A85BC" w14:textId="77777777" w:rsidR="0090363F" w:rsidRDefault="0090363F" w:rsidP="009A381D">
            <w:pPr>
              <w:pStyle w:val="TableText"/>
            </w:pPr>
            <w:r>
              <w:t>Queensland – All other meters</w:t>
            </w:r>
          </w:p>
        </w:tc>
        <w:tc>
          <w:tcPr>
            <w:tcW w:w="2874" w:type="dxa"/>
          </w:tcPr>
          <w:p w14:paraId="69F96226" w14:textId="72CAD7CD" w:rsidR="0090363F" w:rsidRDefault="00664C93" w:rsidP="009A381D">
            <w:pPr>
              <w:pStyle w:val="TableText"/>
            </w:pPr>
            <w:r>
              <w:t>582</w:t>
            </w:r>
          </w:p>
        </w:tc>
      </w:tr>
      <w:tr w:rsidR="0090363F" w14:paraId="09C7D2EC" w14:textId="77777777" w:rsidTr="009A381D">
        <w:tc>
          <w:tcPr>
            <w:tcW w:w="3544" w:type="dxa"/>
          </w:tcPr>
          <w:p w14:paraId="24805C06" w14:textId="77777777" w:rsidR="0090363F" w:rsidRDefault="0090363F" w:rsidP="009A381D">
            <w:pPr>
              <w:pStyle w:val="TableText"/>
            </w:pPr>
            <w:r>
              <w:t>Queensland – AS4747</w:t>
            </w:r>
          </w:p>
        </w:tc>
        <w:tc>
          <w:tcPr>
            <w:tcW w:w="2874" w:type="dxa"/>
          </w:tcPr>
          <w:p w14:paraId="6B5728DF" w14:textId="68260535" w:rsidR="0090363F" w:rsidRDefault="00383E3C" w:rsidP="009A381D">
            <w:pPr>
              <w:pStyle w:val="TableText"/>
            </w:pPr>
            <w:r>
              <w:t>600</w:t>
            </w:r>
          </w:p>
        </w:tc>
      </w:tr>
      <w:tr w:rsidR="00664C93" w14:paraId="51736413" w14:textId="77777777" w:rsidTr="009A381D">
        <w:tc>
          <w:tcPr>
            <w:tcW w:w="3544" w:type="dxa"/>
          </w:tcPr>
          <w:p w14:paraId="446BC858" w14:textId="1400EF18" w:rsidR="00664C93" w:rsidRDefault="00664C93" w:rsidP="009A381D">
            <w:pPr>
              <w:pStyle w:val="TableText"/>
            </w:pPr>
            <w:r>
              <w:t>Queensland - Grandfathered</w:t>
            </w:r>
          </w:p>
        </w:tc>
        <w:tc>
          <w:tcPr>
            <w:tcW w:w="2874" w:type="dxa"/>
          </w:tcPr>
          <w:p w14:paraId="75F19F26" w14:textId="044EF77D" w:rsidR="00664C93" w:rsidRDefault="008F7B24" w:rsidP="009A381D">
            <w:pPr>
              <w:pStyle w:val="TableText"/>
            </w:pPr>
            <w:r>
              <w:t>663</w:t>
            </w:r>
          </w:p>
        </w:tc>
      </w:tr>
      <w:tr w:rsidR="0090363F" w14:paraId="39F1EC48" w14:textId="77777777" w:rsidTr="009A381D">
        <w:tc>
          <w:tcPr>
            <w:tcW w:w="3544" w:type="dxa"/>
          </w:tcPr>
          <w:p w14:paraId="51F36E64" w14:textId="77777777" w:rsidR="0090363F" w:rsidRDefault="0090363F" w:rsidP="009A381D">
            <w:pPr>
              <w:pStyle w:val="TableText"/>
            </w:pPr>
            <w:r>
              <w:t>SA – AS4747</w:t>
            </w:r>
          </w:p>
        </w:tc>
        <w:tc>
          <w:tcPr>
            <w:tcW w:w="2874" w:type="dxa"/>
          </w:tcPr>
          <w:p w14:paraId="02DED730" w14:textId="67636F9B" w:rsidR="0090363F" w:rsidRDefault="008F7216" w:rsidP="009A381D">
            <w:pPr>
              <w:pStyle w:val="TableText"/>
            </w:pPr>
            <w:r>
              <w:t>511</w:t>
            </w:r>
          </w:p>
        </w:tc>
      </w:tr>
      <w:tr w:rsidR="0090363F" w14:paraId="110C6E59" w14:textId="77777777" w:rsidTr="009A381D">
        <w:tc>
          <w:tcPr>
            <w:tcW w:w="3544" w:type="dxa"/>
          </w:tcPr>
          <w:p w14:paraId="11026792" w14:textId="77777777" w:rsidR="0090363F" w:rsidRDefault="0090363F" w:rsidP="009A381D">
            <w:pPr>
              <w:pStyle w:val="TableText"/>
            </w:pPr>
            <w:r>
              <w:t>SA - Grandfathered</w:t>
            </w:r>
          </w:p>
        </w:tc>
        <w:tc>
          <w:tcPr>
            <w:tcW w:w="2874" w:type="dxa"/>
          </w:tcPr>
          <w:p w14:paraId="244BF540" w14:textId="3F381FEA" w:rsidR="0090363F" w:rsidRDefault="008B40E2" w:rsidP="009A381D">
            <w:pPr>
              <w:pStyle w:val="TableText"/>
            </w:pPr>
            <w:r>
              <w:t>3047</w:t>
            </w:r>
          </w:p>
        </w:tc>
      </w:tr>
      <w:tr w:rsidR="0090363F" w14:paraId="5C9AC3E9" w14:textId="77777777" w:rsidTr="009A381D">
        <w:tc>
          <w:tcPr>
            <w:tcW w:w="3544" w:type="dxa"/>
          </w:tcPr>
          <w:p w14:paraId="24F1F47F" w14:textId="77777777" w:rsidR="0090363F" w:rsidRDefault="0090363F" w:rsidP="009A381D">
            <w:pPr>
              <w:pStyle w:val="TableText"/>
            </w:pPr>
            <w:r>
              <w:t>Victoria – All other meters</w:t>
            </w:r>
          </w:p>
        </w:tc>
        <w:tc>
          <w:tcPr>
            <w:tcW w:w="2874" w:type="dxa"/>
          </w:tcPr>
          <w:p w14:paraId="713D6D66" w14:textId="427A8573" w:rsidR="0090363F" w:rsidRDefault="00444A53" w:rsidP="009A381D">
            <w:pPr>
              <w:pStyle w:val="TableText"/>
            </w:pPr>
            <w:r>
              <w:t>24151</w:t>
            </w:r>
          </w:p>
        </w:tc>
      </w:tr>
      <w:tr w:rsidR="0090363F" w14:paraId="5F2F288C" w14:textId="77777777" w:rsidTr="009A381D">
        <w:tc>
          <w:tcPr>
            <w:tcW w:w="3544" w:type="dxa"/>
          </w:tcPr>
          <w:p w14:paraId="385AA42D" w14:textId="77777777" w:rsidR="0090363F" w:rsidRDefault="0090363F" w:rsidP="009A381D">
            <w:pPr>
              <w:pStyle w:val="TableText"/>
            </w:pPr>
            <w:r>
              <w:t>Victoria – AS4747</w:t>
            </w:r>
          </w:p>
        </w:tc>
        <w:tc>
          <w:tcPr>
            <w:tcW w:w="2874" w:type="dxa"/>
          </w:tcPr>
          <w:p w14:paraId="085926B8" w14:textId="2DA15DE8" w:rsidR="0090363F" w:rsidRDefault="00912031" w:rsidP="009A381D">
            <w:pPr>
              <w:pStyle w:val="TableText"/>
            </w:pPr>
            <w:r>
              <w:t>3889</w:t>
            </w:r>
          </w:p>
        </w:tc>
      </w:tr>
      <w:tr w:rsidR="0090363F" w14:paraId="0C0B47F4" w14:textId="77777777" w:rsidTr="009A381D">
        <w:tc>
          <w:tcPr>
            <w:tcW w:w="3544" w:type="dxa"/>
          </w:tcPr>
          <w:p w14:paraId="2F337C8B" w14:textId="77777777" w:rsidR="0090363F" w:rsidRDefault="0090363F" w:rsidP="009A381D">
            <w:pPr>
              <w:pStyle w:val="TableText"/>
            </w:pPr>
            <w:r>
              <w:t>Victoria – Grandfathered</w:t>
            </w:r>
          </w:p>
        </w:tc>
        <w:tc>
          <w:tcPr>
            <w:tcW w:w="2874" w:type="dxa"/>
          </w:tcPr>
          <w:p w14:paraId="653DB9BC" w14:textId="0ACFDA47" w:rsidR="0090363F" w:rsidRDefault="00EF1407" w:rsidP="009A381D">
            <w:pPr>
              <w:pStyle w:val="TableText"/>
            </w:pPr>
            <w:r>
              <w:t>18097</w:t>
            </w:r>
          </w:p>
        </w:tc>
      </w:tr>
    </w:tbl>
    <w:p w14:paraId="6CBE9C27" w14:textId="77777777" w:rsidR="0090363F" w:rsidRPr="00325F12" w:rsidRDefault="0090363F" w:rsidP="002D6525">
      <w:pPr>
        <w:rPr>
          <w:i/>
          <w:iCs/>
          <w:szCs w:val="20"/>
        </w:rPr>
      </w:pPr>
    </w:p>
    <w:p w14:paraId="640568F1" w14:textId="77777777" w:rsidR="00F827CD" w:rsidRDefault="00F827CD" w:rsidP="00F827CD">
      <w:pPr>
        <w:rPr>
          <w:i/>
          <w:iCs/>
          <w:szCs w:val="20"/>
        </w:rPr>
      </w:pPr>
      <w:r w:rsidRPr="005247A8">
        <w:rPr>
          <w:i/>
          <w:iCs/>
          <w:szCs w:val="20"/>
        </w:rPr>
        <w:t>This measure is reported to identify the number of AS4747 and grandfathered meters across the Murray-Darling Basin. The objective of this measure is to give context to the scale of metering reform in each Basin State. Data owner/sources: Basin jurisdictions.</w:t>
      </w:r>
    </w:p>
    <w:p w14:paraId="32F52A0F" w14:textId="77777777" w:rsidR="00FF7FC1" w:rsidRDefault="00FF7FC1" w:rsidP="00F827CD">
      <w:pPr>
        <w:rPr>
          <w:i/>
          <w:iCs/>
          <w:szCs w:val="20"/>
        </w:rPr>
      </w:pPr>
    </w:p>
    <w:p w14:paraId="02DBB950" w14:textId="348EC264" w:rsidR="00FF7FC1" w:rsidRPr="00FF7FC1" w:rsidRDefault="00FF7FC1" w:rsidP="00FF7FC1">
      <w:pPr>
        <w:pStyle w:val="TableHeading"/>
        <w:rPr>
          <w:b/>
          <w:bCs/>
        </w:rPr>
      </w:pPr>
      <w:r w:rsidRPr="00BE74BB">
        <w:rPr>
          <w:b/>
          <w:bCs/>
        </w:rPr>
        <w:t xml:space="preserve">Table </w:t>
      </w:r>
      <w:r w:rsidR="00A70C16">
        <w:rPr>
          <w:b/>
          <w:bCs/>
        </w:rPr>
        <w:t>7</w:t>
      </w:r>
      <w:r w:rsidRPr="00BE74BB">
        <w:rPr>
          <w:b/>
          <w:bCs/>
        </w:rPr>
        <w:t xml:space="preserve">. </w:t>
      </w:r>
      <w:r>
        <w:rPr>
          <w:b/>
          <w:bCs/>
          <w:w w:val="110"/>
        </w:rPr>
        <w:t>Count of qualified, active meter installers</w:t>
      </w:r>
    </w:p>
    <w:tbl>
      <w:tblPr>
        <w:tblStyle w:val="TableGridLight"/>
        <w:tblW w:w="0" w:type="auto"/>
        <w:tblLook w:val="04A0" w:firstRow="1" w:lastRow="0" w:firstColumn="1" w:lastColumn="0" w:noHBand="0" w:noVBand="1"/>
      </w:tblPr>
      <w:tblGrid>
        <w:gridCol w:w="3209"/>
        <w:gridCol w:w="4446"/>
      </w:tblGrid>
      <w:tr w:rsidR="00FF7FC1" w14:paraId="27658B46" w14:textId="77777777" w:rsidTr="009A381D">
        <w:trPr>
          <w:cnfStyle w:val="100000000000" w:firstRow="1" w:lastRow="0" w:firstColumn="0" w:lastColumn="0" w:oddVBand="0" w:evenVBand="0" w:oddHBand="0" w:evenHBand="0" w:firstRowFirstColumn="0" w:firstRowLastColumn="0" w:lastRowFirstColumn="0" w:lastRowLastColumn="0"/>
        </w:trPr>
        <w:tc>
          <w:tcPr>
            <w:tcW w:w="3209" w:type="dxa"/>
          </w:tcPr>
          <w:p w14:paraId="7F95388D" w14:textId="77777777" w:rsidR="00FF7FC1" w:rsidRPr="007421F4" w:rsidRDefault="00FF7FC1" w:rsidP="009A381D">
            <w:pPr>
              <w:pStyle w:val="TableHeader"/>
            </w:pPr>
            <w:r w:rsidRPr="007421F4">
              <w:t>Basin State</w:t>
            </w:r>
          </w:p>
        </w:tc>
        <w:tc>
          <w:tcPr>
            <w:tcW w:w="4446" w:type="dxa"/>
          </w:tcPr>
          <w:p w14:paraId="1AA78351" w14:textId="328EBF7B" w:rsidR="00FF7FC1" w:rsidRPr="007421F4" w:rsidRDefault="00FF7FC1" w:rsidP="009A381D">
            <w:pPr>
              <w:pStyle w:val="TableHeader"/>
            </w:pPr>
            <w:r w:rsidRPr="007421F4">
              <w:t>Count of qualified</w:t>
            </w:r>
            <w:r>
              <w:t>, active</w:t>
            </w:r>
            <w:r w:rsidRPr="007421F4">
              <w:t xml:space="preserve"> meter installers</w:t>
            </w:r>
          </w:p>
        </w:tc>
      </w:tr>
      <w:tr w:rsidR="00FF7FC1" w14:paraId="4F44A8AC" w14:textId="77777777" w:rsidTr="009A381D">
        <w:tc>
          <w:tcPr>
            <w:tcW w:w="3209" w:type="dxa"/>
          </w:tcPr>
          <w:p w14:paraId="7D9CD5E4" w14:textId="77777777" w:rsidR="00FF7FC1" w:rsidRPr="007421F4" w:rsidRDefault="00FF7FC1" w:rsidP="009A381D">
            <w:pPr>
              <w:pStyle w:val="TableText"/>
            </w:pPr>
            <w:r w:rsidRPr="007421F4">
              <w:t>ACT</w:t>
            </w:r>
          </w:p>
        </w:tc>
        <w:tc>
          <w:tcPr>
            <w:tcW w:w="4446" w:type="dxa"/>
          </w:tcPr>
          <w:p w14:paraId="04C68764" w14:textId="740FF660" w:rsidR="00FF7FC1" w:rsidRPr="007421F4" w:rsidRDefault="00FF7FC1" w:rsidP="009A381D">
            <w:pPr>
              <w:pStyle w:val="TableText"/>
            </w:pPr>
            <w:r w:rsidRPr="007421F4">
              <w:t>4</w:t>
            </w:r>
          </w:p>
        </w:tc>
      </w:tr>
      <w:tr w:rsidR="00FF7FC1" w14:paraId="161C008F" w14:textId="77777777" w:rsidTr="009A381D">
        <w:tc>
          <w:tcPr>
            <w:tcW w:w="3209" w:type="dxa"/>
          </w:tcPr>
          <w:p w14:paraId="1807A1CF" w14:textId="77777777" w:rsidR="00FF7FC1" w:rsidRPr="007421F4" w:rsidRDefault="00FF7FC1" w:rsidP="009A381D">
            <w:pPr>
              <w:pStyle w:val="TableText"/>
            </w:pPr>
            <w:r w:rsidRPr="007421F4">
              <w:t>NSW</w:t>
            </w:r>
          </w:p>
        </w:tc>
        <w:tc>
          <w:tcPr>
            <w:tcW w:w="4446" w:type="dxa"/>
          </w:tcPr>
          <w:p w14:paraId="77D73513" w14:textId="2B9A9D85" w:rsidR="00FF7FC1" w:rsidRPr="007421F4" w:rsidRDefault="00FF7FC1" w:rsidP="009A381D">
            <w:pPr>
              <w:pStyle w:val="TableText"/>
            </w:pPr>
            <w:r w:rsidRPr="007421F4">
              <w:t>2</w:t>
            </w:r>
            <w:r w:rsidR="00EC2253">
              <w:t>08</w:t>
            </w:r>
            <w:r w:rsidRPr="007421F4">
              <w:t xml:space="preserve"> (</w:t>
            </w:r>
            <w:r w:rsidR="00EC2253">
              <w:t>-3</w:t>
            </w:r>
            <w:r w:rsidRPr="007421F4">
              <w:t>)</w:t>
            </w:r>
          </w:p>
        </w:tc>
      </w:tr>
      <w:tr w:rsidR="00FF7FC1" w14:paraId="7945D4C3" w14:textId="77777777" w:rsidTr="009A381D">
        <w:tc>
          <w:tcPr>
            <w:tcW w:w="3209" w:type="dxa"/>
          </w:tcPr>
          <w:p w14:paraId="4B4E1BBB" w14:textId="77777777" w:rsidR="00FF7FC1" w:rsidRPr="007421F4" w:rsidRDefault="00FF7FC1" w:rsidP="009A381D">
            <w:pPr>
              <w:pStyle w:val="TableText"/>
            </w:pPr>
            <w:r w:rsidRPr="007421F4">
              <w:t>Queensland</w:t>
            </w:r>
          </w:p>
        </w:tc>
        <w:tc>
          <w:tcPr>
            <w:tcW w:w="4446" w:type="dxa"/>
          </w:tcPr>
          <w:p w14:paraId="0E8AAE1A" w14:textId="4DE5A0F0" w:rsidR="00FF7FC1" w:rsidRPr="007421F4" w:rsidRDefault="00FF7FC1" w:rsidP="009A381D">
            <w:pPr>
              <w:pStyle w:val="TableText"/>
            </w:pPr>
            <w:r w:rsidRPr="007421F4">
              <w:t>1</w:t>
            </w:r>
            <w:r w:rsidR="000E0C0B">
              <w:t>71</w:t>
            </w:r>
            <w:r w:rsidRPr="007421F4">
              <w:t xml:space="preserve"> (+2</w:t>
            </w:r>
            <w:r w:rsidR="000E0C0B">
              <w:t>4</w:t>
            </w:r>
            <w:r w:rsidRPr="007421F4">
              <w:t>)</w:t>
            </w:r>
          </w:p>
        </w:tc>
      </w:tr>
      <w:tr w:rsidR="00FF7FC1" w14:paraId="5BF71606" w14:textId="77777777" w:rsidTr="009A381D">
        <w:tc>
          <w:tcPr>
            <w:tcW w:w="3209" w:type="dxa"/>
          </w:tcPr>
          <w:p w14:paraId="07003B53" w14:textId="77777777" w:rsidR="00FF7FC1" w:rsidRPr="007421F4" w:rsidRDefault="00FF7FC1" w:rsidP="009A381D">
            <w:pPr>
              <w:pStyle w:val="TableText"/>
            </w:pPr>
            <w:r w:rsidRPr="007421F4">
              <w:t>SA</w:t>
            </w:r>
          </w:p>
        </w:tc>
        <w:tc>
          <w:tcPr>
            <w:tcW w:w="4446" w:type="dxa"/>
          </w:tcPr>
          <w:p w14:paraId="2EF083A5" w14:textId="068AF705" w:rsidR="00FF7FC1" w:rsidRPr="007421F4" w:rsidRDefault="0030059C" w:rsidP="009A381D">
            <w:pPr>
              <w:pStyle w:val="TableText"/>
            </w:pPr>
            <w:r>
              <w:t>48</w:t>
            </w:r>
            <w:r w:rsidR="00FF7FC1" w:rsidRPr="007421F4">
              <w:t xml:space="preserve"> (</w:t>
            </w:r>
            <w:r>
              <w:t>-4</w:t>
            </w:r>
            <w:r w:rsidR="00FF7FC1" w:rsidRPr="007421F4">
              <w:t>)</w:t>
            </w:r>
          </w:p>
        </w:tc>
      </w:tr>
      <w:tr w:rsidR="00FF7FC1" w14:paraId="4CB28957" w14:textId="77777777" w:rsidTr="009A381D">
        <w:tc>
          <w:tcPr>
            <w:tcW w:w="3209" w:type="dxa"/>
          </w:tcPr>
          <w:p w14:paraId="3114D027" w14:textId="77777777" w:rsidR="00FF7FC1" w:rsidRPr="007421F4" w:rsidRDefault="00FF7FC1" w:rsidP="009A381D">
            <w:pPr>
              <w:pStyle w:val="TableText"/>
            </w:pPr>
            <w:r w:rsidRPr="007421F4">
              <w:t>Victoria</w:t>
            </w:r>
          </w:p>
        </w:tc>
        <w:tc>
          <w:tcPr>
            <w:tcW w:w="4446" w:type="dxa"/>
          </w:tcPr>
          <w:p w14:paraId="06823832" w14:textId="1C700914" w:rsidR="00FF7FC1" w:rsidRPr="007421F4" w:rsidRDefault="00FF7FC1" w:rsidP="009A381D">
            <w:pPr>
              <w:pStyle w:val="TableText"/>
            </w:pPr>
            <w:r w:rsidRPr="007421F4">
              <w:t>1</w:t>
            </w:r>
            <w:r w:rsidR="008E3198">
              <w:t>08</w:t>
            </w:r>
            <w:r w:rsidRPr="007421F4">
              <w:t xml:space="preserve"> (</w:t>
            </w:r>
            <w:r w:rsidR="008E3198">
              <w:t>-29</w:t>
            </w:r>
            <w:r w:rsidRPr="007421F4">
              <w:t>)</w:t>
            </w:r>
          </w:p>
        </w:tc>
      </w:tr>
    </w:tbl>
    <w:p w14:paraId="4F11BB22" w14:textId="77777777" w:rsidR="002D6525" w:rsidRPr="002D6525" w:rsidRDefault="002D6525" w:rsidP="002D6525"/>
    <w:p w14:paraId="4D15343D" w14:textId="77777777" w:rsidR="002D6525" w:rsidRPr="002D6525" w:rsidRDefault="002D6525" w:rsidP="002D6525"/>
    <w:p w14:paraId="2DE1F605" w14:textId="77777777" w:rsidR="002D6525" w:rsidRPr="002D6525" w:rsidRDefault="002D6525" w:rsidP="002D6525"/>
    <w:p w14:paraId="546D9561" w14:textId="77777777" w:rsidR="002D6525" w:rsidRPr="002D6525" w:rsidRDefault="002D6525" w:rsidP="002D6525"/>
    <w:p w14:paraId="609D467D" w14:textId="77777777" w:rsidR="002D6525" w:rsidRPr="002D6525" w:rsidRDefault="002D6525" w:rsidP="002D6525"/>
    <w:p w14:paraId="596FAD8E" w14:textId="77777777" w:rsidR="002D6525" w:rsidRPr="002D6525" w:rsidRDefault="002D6525" w:rsidP="002D6525"/>
    <w:p w14:paraId="4A09C8A5" w14:textId="77777777" w:rsidR="002D6525" w:rsidRPr="002D6525" w:rsidRDefault="002D6525" w:rsidP="002D6525"/>
    <w:p w14:paraId="1BA913F9" w14:textId="77777777" w:rsidR="002D6525" w:rsidRDefault="002D6525" w:rsidP="002D6525"/>
    <w:p w14:paraId="0C23F292" w14:textId="77777777" w:rsidR="003001C5" w:rsidRDefault="003001C5" w:rsidP="002D6525"/>
    <w:p w14:paraId="3823E448" w14:textId="77777777" w:rsidR="003001C5" w:rsidRDefault="003001C5" w:rsidP="002D6525"/>
    <w:p w14:paraId="23A88CE1" w14:textId="77777777" w:rsidR="003001C5" w:rsidRDefault="003001C5" w:rsidP="002D6525"/>
    <w:p w14:paraId="46E99C93" w14:textId="77777777" w:rsidR="003001C5" w:rsidRDefault="003001C5" w:rsidP="002D6525"/>
    <w:p w14:paraId="3031F901" w14:textId="77777777" w:rsidR="003001C5" w:rsidRDefault="003001C5" w:rsidP="002D6525"/>
    <w:p w14:paraId="5D66BA03" w14:textId="77777777" w:rsidR="003001C5" w:rsidRDefault="003001C5" w:rsidP="002D6525"/>
    <w:p w14:paraId="5ED93901" w14:textId="77777777" w:rsidR="003001C5" w:rsidRDefault="003001C5" w:rsidP="002D6525"/>
    <w:p w14:paraId="403326BB" w14:textId="77777777" w:rsidR="003001C5" w:rsidRDefault="003001C5" w:rsidP="002D6525"/>
    <w:p w14:paraId="0C1E3B98" w14:textId="77777777" w:rsidR="003001C5" w:rsidRDefault="003001C5" w:rsidP="002D6525"/>
    <w:p w14:paraId="32EEA2ED" w14:textId="77777777" w:rsidR="003001C5" w:rsidRPr="00CD5FFB" w:rsidRDefault="003001C5" w:rsidP="003001C5">
      <w:pPr>
        <w:rPr>
          <w:i/>
          <w:iCs/>
        </w:rPr>
        <w:sectPr w:rsidR="003001C5" w:rsidRPr="00CD5FFB" w:rsidSect="003001C5">
          <w:pgSz w:w="11906" w:h="16838"/>
          <w:pgMar w:top="1440" w:right="1440" w:bottom="1440" w:left="1440" w:header="708" w:footer="708" w:gutter="0"/>
          <w:cols w:space="708"/>
          <w:docGrid w:linePitch="360"/>
        </w:sectPr>
      </w:pPr>
      <w:r w:rsidRPr="00CD5FFB">
        <w:rPr>
          <w:i/>
          <w:iCs/>
        </w:rPr>
        <w:t>The IGWC makes no claim as to the accuracy of the data shown on this page. Data is collated and supplied directly from the state</w:t>
      </w:r>
    </w:p>
    <w:p w14:paraId="49591BCB" w14:textId="77777777" w:rsidR="00CC0A18" w:rsidRPr="00A44EEA" w:rsidRDefault="00CC0A18" w:rsidP="00CC0A18">
      <w:pPr>
        <w:pStyle w:val="Heading3"/>
        <w:rPr>
          <w:sz w:val="32"/>
          <w:szCs w:val="28"/>
        </w:rPr>
      </w:pPr>
      <w:r w:rsidRPr="00A44EEA">
        <w:rPr>
          <w:sz w:val="32"/>
          <w:szCs w:val="28"/>
        </w:rPr>
        <w:lastRenderedPageBreak/>
        <w:t>Metering in the Murray-Darling Basin</w:t>
      </w:r>
    </w:p>
    <w:p w14:paraId="7A8C2511" w14:textId="77777777" w:rsidR="00CC0A18" w:rsidRDefault="00CC0A18" w:rsidP="00CC0A18">
      <w:pPr>
        <w:rPr>
          <w:szCs w:val="20"/>
        </w:rPr>
      </w:pPr>
      <w:r w:rsidRPr="00D57422">
        <w:rPr>
          <w:szCs w:val="20"/>
        </w:rPr>
        <w:t>The 2023-24 Metering report card marks the fourth edition released by the Inspector–General of Water Compliance (IGWC). Over the 2023-2024 period, notable developments occurred in metering across the Murray-Darling Basin as New South Wales conducted a review of their metering framework, Queensland began the installation of meter telemetry, and ACT started the roll out of AS4747 compliant meters and the grandfathering of existing meters. As per the Compliance Compact (2018) all Basin States must have frameworks in place to ensure non-urban meters comply with the Australian Standard 4747-2025 (AS4747) or have suitable exemptions or grandfathering arrangements, the IGWC has continued to monitor the progress of each Basin State’s metering policy implementation.</w:t>
      </w:r>
    </w:p>
    <w:p w14:paraId="6D76F3B6" w14:textId="77777777" w:rsidR="00CC0A18" w:rsidRPr="00D57422" w:rsidRDefault="00CC0A18" w:rsidP="00CC0A18">
      <w:pPr>
        <w:rPr>
          <w:szCs w:val="20"/>
        </w:rPr>
      </w:pPr>
      <w:r>
        <w:rPr>
          <w:szCs w:val="20"/>
        </w:rPr>
        <w:t xml:space="preserve">Although all Basin States have frameworks for metering reform in place, </w:t>
      </w:r>
      <w:r w:rsidRPr="00CB5815">
        <w:rPr>
          <w:szCs w:val="20"/>
        </w:rPr>
        <w:t xml:space="preserve">there </w:t>
      </w:r>
      <w:r>
        <w:rPr>
          <w:szCs w:val="20"/>
        </w:rPr>
        <w:t>is no</w:t>
      </w:r>
      <w:r w:rsidRPr="00CB5815">
        <w:rPr>
          <w:szCs w:val="20"/>
        </w:rPr>
        <w:t xml:space="preserve"> </w:t>
      </w:r>
      <w:r>
        <w:rPr>
          <w:szCs w:val="20"/>
        </w:rPr>
        <w:t>enforceable</w:t>
      </w:r>
      <w:r w:rsidRPr="00CB5815">
        <w:rPr>
          <w:szCs w:val="20"/>
        </w:rPr>
        <w:t xml:space="preserve"> timeline for completing the rollout of AS4747-compliant meters, grandfathering</w:t>
      </w:r>
      <w:r>
        <w:rPr>
          <w:szCs w:val="20"/>
        </w:rPr>
        <w:t xml:space="preserve"> of</w:t>
      </w:r>
      <w:r w:rsidRPr="00CB5815">
        <w:rPr>
          <w:szCs w:val="20"/>
        </w:rPr>
        <w:t xml:space="preserve"> existing meters, or implementing telemetry. The Compliance Compact only requires frameworks to be in place and</w:t>
      </w:r>
      <w:r>
        <w:rPr>
          <w:szCs w:val="20"/>
        </w:rPr>
        <w:t xml:space="preserve"> does not define a deadline for</w:t>
      </w:r>
      <w:r w:rsidRPr="00CB5815">
        <w:rPr>
          <w:szCs w:val="20"/>
        </w:rPr>
        <w:t xml:space="preserve"> full delivery. The </w:t>
      </w:r>
      <w:r>
        <w:rPr>
          <w:szCs w:val="20"/>
        </w:rPr>
        <w:t>IGWC</w:t>
      </w:r>
      <w:r w:rsidRPr="00CB5815">
        <w:rPr>
          <w:szCs w:val="20"/>
        </w:rPr>
        <w:t xml:space="preserve"> is concerned not only with the slow progress</w:t>
      </w:r>
      <w:r>
        <w:rPr>
          <w:szCs w:val="20"/>
        </w:rPr>
        <w:t xml:space="preserve"> of on-ground metering reform</w:t>
      </w:r>
      <w:r w:rsidRPr="00CB5815">
        <w:rPr>
          <w:szCs w:val="20"/>
        </w:rPr>
        <w:t>, but also with the lack of any mechanism beyond the</w:t>
      </w:r>
      <w:r>
        <w:rPr>
          <w:szCs w:val="20"/>
        </w:rPr>
        <w:t xml:space="preserve"> Compliance</w:t>
      </w:r>
      <w:r w:rsidRPr="00CB5815">
        <w:rPr>
          <w:szCs w:val="20"/>
        </w:rPr>
        <w:t xml:space="preserve"> Compact to ensure completion</w:t>
      </w:r>
      <w:r>
        <w:rPr>
          <w:szCs w:val="20"/>
        </w:rPr>
        <w:t xml:space="preserve"> of metering reform</w:t>
      </w:r>
      <w:r w:rsidRPr="00CB5815">
        <w:rPr>
          <w:szCs w:val="20"/>
        </w:rPr>
        <w:t xml:space="preserve">. </w:t>
      </w:r>
      <w:r w:rsidRPr="0065348E">
        <w:rPr>
          <w:szCs w:val="20"/>
        </w:rPr>
        <w:t>This highlights the need for a clear, enforceable timeline for Basin States to complete meter accuracy and telemetry rollouts, ensuring consistency and a level playing field across the Basin.</w:t>
      </w:r>
    </w:p>
    <w:p w14:paraId="077074BF" w14:textId="77777777" w:rsidR="00CC0A18" w:rsidRPr="008A68B6" w:rsidRDefault="00CC0A18" w:rsidP="00CC0A18">
      <w:pPr>
        <w:pStyle w:val="Heading3"/>
        <w:rPr>
          <w:sz w:val="24"/>
          <w:szCs w:val="24"/>
        </w:rPr>
      </w:pPr>
      <w:r w:rsidRPr="007060F5">
        <w:rPr>
          <w:sz w:val="24"/>
          <w:szCs w:val="24"/>
        </w:rPr>
        <w:t>Metering accuracy</w:t>
      </w:r>
    </w:p>
    <w:p w14:paraId="003B7EF5" w14:textId="77777777" w:rsidR="00CC0A18" w:rsidRPr="00D57422" w:rsidRDefault="00CC0A18" w:rsidP="00CC0A18">
      <w:pPr>
        <w:rPr>
          <w:szCs w:val="20"/>
        </w:rPr>
      </w:pPr>
      <w:r w:rsidRPr="00D57422">
        <w:rPr>
          <w:szCs w:val="20"/>
        </w:rPr>
        <w:t>During 2023–2024, the rollout of AS4747-compliant meters and the grandfathering of existing meters progressed across the Murray-Darling Basin. New South Wales advanced in AS4747 and grandfathered meters but still has many installations to complete to meet the requirements of their metering framework. The ACT began installations, with 166 entitlements remaining to be addressed. Victoria grew its AS4747 count and leads the Basin in number of compliant meters. Queensland saw the largest growth</w:t>
      </w:r>
      <w:r>
        <w:rPr>
          <w:szCs w:val="20"/>
        </w:rPr>
        <w:t xml:space="preserve"> in proportion of grandfathered and AS4747 meters</w:t>
      </w:r>
      <w:r w:rsidRPr="00D57422">
        <w:rPr>
          <w:szCs w:val="20"/>
        </w:rPr>
        <w:t xml:space="preserve"> aided</w:t>
      </w:r>
      <w:r>
        <w:rPr>
          <w:szCs w:val="20"/>
        </w:rPr>
        <w:t xml:space="preserve"> partly</w:t>
      </w:r>
      <w:r w:rsidRPr="00D57422">
        <w:rPr>
          <w:szCs w:val="20"/>
        </w:rPr>
        <w:t xml:space="preserve"> by</w:t>
      </w:r>
      <w:r>
        <w:rPr>
          <w:szCs w:val="20"/>
        </w:rPr>
        <w:t xml:space="preserve"> the Basin States</w:t>
      </w:r>
      <w:r w:rsidRPr="00D57422">
        <w:rPr>
          <w:szCs w:val="20"/>
        </w:rPr>
        <w:t xml:space="preserve"> </w:t>
      </w:r>
      <w:r>
        <w:rPr>
          <w:szCs w:val="20"/>
        </w:rPr>
        <w:t>improved</w:t>
      </w:r>
      <w:r w:rsidRPr="00D57422">
        <w:rPr>
          <w:szCs w:val="20"/>
        </w:rPr>
        <w:t xml:space="preserve"> reporting </w:t>
      </w:r>
      <w:r>
        <w:rPr>
          <w:szCs w:val="20"/>
        </w:rPr>
        <w:t>capability</w:t>
      </w:r>
      <w:r w:rsidRPr="00D57422">
        <w:rPr>
          <w:szCs w:val="20"/>
        </w:rPr>
        <w:t xml:space="preserve">. South Australia remains </w:t>
      </w:r>
      <w:r>
        <w:rPr>
          <w:szCs w:val="20"/>
        </w:rPr>
        <w:t>the only Basin State</w:t>
      </w:r>
      <w:r w:rsidRPr="00D57422">
        <w:rPr>
          <w:szCs w:val="20"/>
        </w:rPr>
        <w:t xml:space="preserve"> with all meters being AS4747 compliant or grandfathered.</w:t>
      </w:r>
    </w:p>
    <w:p w14:paraId="05823FFE" w14:textId="77777777" w:rsidR="00CC0A18" w:rsidRPr="00D57422" w:rsidRDefault="00CC0A18" w:rsidP="00CC0A18">
      <w:pPr>
        <w:rPr>
          <w:szCs w:val="20"/>
        </w:rPr>
      </w:pPr>
      <w:r w:rsidRPr="00D57422">
        <w:rPr>
          <w:szCs w:val="20"/>
        </w:rPr>
        <w:t>The New South Wales Department of Climate Change, Energy, the Environment and Water (New South Wales DCCEEW) has acknowledged that its metering framework is behind schedule and has conducted a review</w:t>
      </w:r>
      <w:r>
        <w:rPr>
          <w:szCs w:val="20"/>
        </w:rPr>
        <w:t xml:space="preserve"> </w:t>
      </w:r>
      <w:r w:rsidRPr="009B6AC3">
        <w:rPr>
          <w:szCs w:val="20"/>
        </w:rPr>
        <w:t xml:space="preserve">of its non-urban metering reform framework to examine </w:t>
      </w:r>
      <w:r w:rsidRPr="008C7B29">
        <w:rPr>
          <w:szCs w:val="20"/>
        </w:rPr>
        <w:t>at how to accelerate implementation of the reforms and identify practical changes to the rules to improve compliance</w:t>
      </w:r>
      <w:r w:rsidRPr="009B6AC3">
        <w:rPr>
          <w:szCs w:val="20"/>
        </w:rPr>
        <w:t>. I</w:t>
      </w:r>
      <w:r w:rsidRPr="00D57422">
        <w:rPr>
          <w:szCs w:val="20"/>
        </w:rPr>
        <w:t xml:space="preserve">n August 2024, the New South Wales DCCEEW released a report with recommendations to </w:t>
      </w:r>
      <w:r>
        <w:rPr>
          <w:szCs w:val="20"/>
        </w:rPr>
        <w:t>accelerate meter installation rates</w:t>
      </w:r>
      <w:r w:rsidRPr="00D57422">
        <w:rPr>
          <w:szCs w:val="20"/>
        </w:rPr>
        <w:t>. Key actions include prioritising meter installations in the Murray-Darling Basin, simplifying measurement methods for smaller, low-risk users, and providing more affordable and practical measurement options for them. The Inspector–General welcomes these measures and will continue to track metering reform in New South Wales to measure their effectiveness.</w:t>
      </w:r>
    </w:p>
    <w:p w14:paraId="70DDB595" w14:textId="77777777" w:rsidR="00CC0A18" w:rsidRPr="00B8299E" w:rsidRDefault="00CC0A18" w:rsidP="00CC0A18">
      <w:pPr>
        <w:pStyle w:val="Heading3"/>
        <w:rPr>
          <w:sz w:val="24"/>
          <w:szCs w:val="24"/>
        </w:rPr>
      </w:pPr>
      <w:r>
        <w:rPr>
          <w:sz w:val="24"/>
          <w:szCs w:val="24"/>
        </w:rPr>
        <w:t>Telemetry</w:t>
      </w:r>
    </w:p>
    <w:p w14:paraId="048C1A31" w14:textId="77777777" w:rsidR="00CC0A18" w:rsidRDefault="00CC0A18" w:rsidP="00CC0A18">
      <w:pPr>
        <w:rPr>
          <w:szCs w:val="20"/>
        </w:rPr>
      </w:pPr>
      <w:r w:rsidRPr="00D57422">
        <w:rPr>
          <w:szCs w:val="20"/>
        </w:rPr>
        <w:t>Telemetry is a key focus of metering reform, improving the timeliness and reliability of water data for users, river managers, and regulators. Despite progress, greater uptake is needed, particularly in New South Wales, Queensland, and South Australia to fully realise these benefits.</w:t>
      </w:r>
    </w:p>
    <w:p w14:paraId="0DD57D48" w14:textId="77777777" w:rsidR="00CC0A18" w:rsidRPr="00D57422" w:rsidRDefault="00CC0A18" w:rsidP="00CC0A18">
      <w:pPr>
        <w:rPr>
          <w:szCs w:val="20"/>
        </w:rPr>
      </w:pPr>
      <w:r w:rsidRPr="00D57422">
        <w:rPr>
          <w:szCs w:val="20"/>
        </w:rPr>
        <w:t>To support this, the Commonwealth Government has launched the Murray–Darling Basin Telemetry Uplift Program, a $22.6 million initiative running until June 2027. The program targets the installation of at least 2,515 telemetry-enabled meters in New South Wales, 1,230 in Queensland, 695 in Victoria, and 610 in South Australia.</w:t>
      </w:r>
    </w:p>
    <w:p w14:paraId="5233DE77" w14:textId="77777777" w:rsidR="00CC0A18" w:rsidRPr="00D07659" w:rsidRDefault="00CC0A18" w:rsidP="00CC0A18">
      <w:pPr>
        <w:pStyle w:val="Heading3"/>
        <w:rPr>
          <w:sz w:val="24"/>
          <w:szCs w:val="24"/>
        </w:rPr>
      </w:pPr>
      <w:r w:rsidRPr="00B8299E">
        <w:rPr>
          <w:sz w:val="24"/>
          <w:szCs w:val="24"/>
        </w:rPr>
        <w:lastRenderedPageBreak/>
        <w:t>Water Resource Plans and Metering</w:t>
      </w:r>
    </w:p>
    <w:p w14:paraId="73C2ACF1" w14:textId="77777777" w:rsidR="00CC0A18" w:rsidRDefault="00CC0A18" w:rsidP="00CC0A18">
      <w:pPr>
        <w:rPr>
          <w:szCs w:val="20"/>
        </w:rPr>
      </w:pPr>
      <w:r w:rsidRPr="00D57422">
        <w:rPr>
          <w:szCs w:val="20"/>
        </w:rPr>
        <w:t xml:space="preserve">Water Resource Plans (WRPs) are vital for defining the methods, technologies, and standards used to license, monitor, and accurately measure water take in the Basin, including floodplain harvesting. WRPs for the Namoi and Gwydir, which are key plans for </w:t>
      </w:r>
      <w:r>
        <w:rPr>
          <w:szCs w:val="20"/>
        </w:rPr>
        <w:t>NSW as high risk take such as FPH occurs in these areas,</w:t>
      </w:r>
      <w:r w:rsidRPr="00D57422">
        <w:rPr>
          <w:szCs w:val="20"/>
        </w:rPr>
        <w:t xml:space="preserve"> are subject to metering requirements under the New South Wales Floodplain Harvesting Measurement Policy, remain unaccredited. Although Barwon-Darling, Macquarie, and NSW Border River plans are accredited, metered data won’t fully replace models until all relevant storages are licensed and metered under the New South Wales Floodplain Harvesting policy. Without accredited WRPs in place, verified metering, enforceable reporting, Sustainable Diversion Limit (SDL) compliance and public trust in Murray-Darling water management</w:t>
      </w:r>
      <w:r>
        <w:rPr>
          <w:szCs w:val="20"/>
        </w:rPr>
        <w:t xml:space="preserve"> and accounting</w:t>
      </w:r>
      <w:r w:rsidRPr="00D57422">
        <w:rPr>
          <w:szCs w:val="20"/>
        </w:rPr>
        <w:t xml:space="preserve"> are at risk.</w:t>
      </w:r>
    </w:p>
    <w:p w14:paraId="32B7DCBE" w14:textId="77777777" w:rsidR="002C2600" w:rsidRDefault="002C2600" w:rsidP="00CC0A18">
      <w:pPr>
        <w:rPr>
          <w:szCs w:val="20"/>
        </w:rPr>
      </w:pPr>
    </w:p>
    <w:p w14:paraId="4F9490EA" w14:textId="77777777" w:rsidR="002C2600" w:rsidRDefault="002C2600" w:rsidP="00CC0A18">
      <w:pPr>
        <w:rPr>
          <w:szCs w:val="20"/>
        </w:rPr>
      </w:pPr>
    </w:p>
    <w:p w14:paraId="311E55D3" w14:textId="77777777" w:rsidR="002C2600" w:rsidRDefault="002C2600" w:rsidP="00CC0A18">
      <w:pPr>
        <w:rPr>
          <w:szCs w:val="20"/>
        </w:rPr>
      </w:pPr>
    </w:p>
    <w:p w14:paraId="74F6A4F3" w14:textId="77777777" w:rsidR="002C2600" w:rsidRDefault="002C2600" w:rsidP="00CC0A18">
      <w:pPr>
        <w:rPr>
          <w:szCs w:val="20"/>
        </w:rPr>
      </w:pPr>
    </w:p>
    <w:p w14:paraId="1B0DC07C" w14:textId="77777777" w:rsidR="002C2600" w:rsidRDefault="002C2600" w:rsidP="00CC0A18">
      <w:pPr>
        <w:rPr>
          <w:szCs w:val="20"/>
        </w:rPr>
      </w:pPr>
    </w:p>
    <w:p w14:paraId="400A1F39" w14:textId="77777777" w:rsidR="002C2600" w:rsidRDefault="002C2600" w:rsidP="00CC0A18">
      <w:pPr>
        <w:rPr>
          <w:szCs w:val="20"/>
        </w:rPr>
      </w:pPr>
    </w:p>
    <w:p w14:paraId="7D419DCF" w14:textId="77777777" w:rsidR="002C2600" w:rsidRDefault="002C2600" w:rsidP="00CC0A18">
      <w:pPr>
        <w:rPr>
          <w:szCs w:val="20"/>
        </w:rPr>
      </w:pPr>
    </w:p>
    <w:p w14:paraId="6E092563" w14:textId="77777777" w:rsidR="002C2600" w:rsidRDefault="002C2600" w:rsidP="00CC0A18">
      <w:pPr>
        <w:rPr>
          <w:szCs w:val="20"/>
        </w:rPr>
      </w:pPr>
    </w:p>
    <w:p w14:paraId="565EEF32" w14:textId="77777777" w:rsidR="002C2600" w:rsidRDefault="002C2600" w:rsidP="00CC0A18">
      <w:pPr>
        <w:rPr>
          <w:szCs w:val="20"/>
        </w:rPr>
      </w:pPr>
    </w:p>
    <w:p w14:paraId="32C1E5E4" w14:textId="77777777" w:rsidR="002C2600" w:rsidRDefault="002C2600" w:rsidP="00CC0A18">
      <w:pPr>
        <w:rPr>
          <w:szCs w:val="20"/>
        </w:rPr>
      </w:pPr>
    </w:p>
    <w:p w14:paraId="5217E7AC" w14:textId="77777777" w:rsidR="002C2600" w:rsidRDefault="002C2600" w:rsidP="00CC0A18">
      <w:pPr>
        <w:rPr>
          <w:szCs w:val="20"/>
        </w:rPr>
      </w:pPr>
    </w:p>
    <w:p w14:paraId="25C0D161" w14:textId="77777777" w:rsidR="002C2600" w:rsidRDefault="002C2600" w:rsidP="00CC0A18">
      <w:pPr>
        <w:rPr>
          <w:szCs w:val="20"/>
        </w:rPr>
      </w:pPr>
    </w:p>
    <w:p w14:paraId="70EA7201" w14:textId="77777777" w:rsidR="002C2600" w:rsidRDefault="002C2600" w:rsidP="00CC0A18">
      <w:pPr>
        <w:rPr>
          <w:szCs w:val="20"/>
        </w:rPr>
      </w:pPr>
    </w:p>
    <w:p w14:paraId="2FC7D10B" w14:textId="77777777" w:rsidR="002C2600" w:rsidRDefault="002C2600" w:rsidP="00CC0A18">
      <w:pPr>
        <w:rPr>
          <w:szCs w:val="20"/>
        </w:rPr>
      </w:pPr>
    </w:p>
    <w:p w14:paraId="0CDD320A" w14:textId="77777777" w:rsidR="002C2600" w:rsidRDefault="002C2600" w:rsidP="00CC0A18">
      <w:pPr>
        <w:rPr>
          <w:szCs w:val="20"/>
        </w:rPr>
      </w:pPr>
    </w:p>
    <w:p w14:paraId="43026E95" w14:textId="77777777" w:rsidR="002C2600" w:rsidRDefault="002C2600" w:rsidP="00CC0A18">
      <w:pPr>
        <w:rPr>
          <w:szCs w:val="20"/>
        </w:rPr>
      </w:pPr>
    </w:p>
    <w:p w14:paraId="28EB3C99" w14:textId="77777777" w:rsidR="002C2600" w:rsidRDefault="002C2600" w:rsidP="00CC0A18">
      <w:pPr>
        <w:rPr>
          <w:szCs w:val="20"/>
        </w:rPr>
      </w:pPr>
    </w:p>
    <w:p w14:paraId="51C4E008" w14:textId="77777777" w:rsidR="002C2600" w:rsidRDefault="002C2600" w:rsidP="00CC0A18">
      <w:pPr>
        <w:rPr>
          <w:szCs w:val="20"/>
        </w:rPr>
      </w:pPr>
    </w:p>
    <w:p w14:paraId="358084B6" w14:textId="77777777" w:rsidR="002C2600" w:rsidRDefault="002C2600" w:rsidP="00CC0A18">
      <w:pPr>
        <w:rPr>
          <w:szCs w:val="20"/>
        </w:rPr>
      </w:pPr>
    </w:p>
    <w:p w14:paraId="2AEA549F" w14:textId="77777777" w:rsidR="002C2600" w:rsidRPr="00D57422" w:rsidRDefault="002C2600" w:rsidP="00CC0A18">
      <w:pPr>
        <w:rPr>
          <w:szCs w:val="20"/>
        </w:rPr>
        <w:sectPr w:rsidR="002C2600" w:rsidRPr="00D57422" w:rsidSect="00CC0A18">
          <w:pgSz w:w="11906" w:h="16838"/>
          <w:pgMar w:top="1440" w:right="1440" w:bottom="1440" w:left="1440" w:header="708" w:footer="708" w:gutter="0"/>
          <w:cols w:space="708"/>
          <w:docGrid w:linePitch="360"/>
        </w:sectPr>
      </w:pPr>
    </w:p>
    <w:p w14:paraId="618AED1C" w14:textId="77777777" w:rsidR="00A9498E" w:rsidRDefault="00A9498E" w:rsidP="00A9498E">
      <w:pPr>
        <w:pStyle w:val="Heading3"/>
      </w:pPr>
      <w:r>
        <w:lastRenderedPageBreak/>
        <w:t>Murray-Darling Basin Australian Capital Territory Metering Report Card</w:t>
      </w:r>
    </w:p>
    <w:p w14:paraId="29B734F9" w14:textId="77777777" w:rsidR="00A9498E" w:rsidRPr="0049718B" w:rsidRDefault="00A9498E" w:rsidP="00A9498E">
      <w:pPr>
        <w:pStyle w:val="Heading3"/>
        <w:rPr>
          <w:b w:val="0"/>
          <w:bCs/>
          <w:sz w:val="22"/>
        </w:rPr>
      </w:pPr>
      <w:r w:rsidRPr="0049718B">
        <w:rPr>
          <w:b w:val="0"/>
          <w:bCs/>
          <w:sz w:val="22"/>
        </w:rPr>
        <w:t>1 July 2023 – 30 June 2024. Progress from 2022-23 metering report card indicated in brackets</w:t>
      </w:r>
    </w:p>
    <w:p w14:paraId="313DD434" w14:textId="77777777" w:rsidR="003001C5" w:rsidRDefault="003001C5" w:rsidP="002D6525"/>
    <w:p w14:paraId="62176C55" w14:textId="7A2DD6DB" w:rsidR="002209E0" w:rsidRPr="000A545D" w:rsidRDefault="002209E0" w:rsidP="002209E0">
      <w:pPr>
        <w:pStyle w:val="TableHeading"/>
        <w:rPr>
          <w:b/>
          <w:bCs/>
          <w:w w:val="110"/>
        </w:rPr>
      </w:pPr>
      <w:r w:rsidRPr="000A545D">
        <w:rPr>
          <w:b/>
          <w:bCs/>
        </w:rPr>
        <w:t xml:space="preserve">Table </w:t>
      </w:r>
      <w:r w:rsidR="00A70C16">
        <w:rPr>
          <w:b/>
          <w:bCs/>
        </w:rPr>
        <w:t>8</w:t>
      </w:r>
      <w:r w:rsidRPr="000A545D">
        <w:rPr>
          <w:b/>
          <w:bCs/>
        </w:rPr>
        <w:t xml:space="preserve">. </w:t>
      </w:r>
      <w:r w:rsidRPr="000A545D">
        <w:rPr>
          <w:b/>
          <w:bCs/>
          <w:w w:val="110"/>
        </w:rPr>
        <w:t>Percentage of water take metered in the ACT</w:t>
      </w:r>
    </w:p>
    <w:tbl>
      <w:tblPr>
        <w:tblStyle w:val="TableGridLight"/>
        <w:tblW w:w="5387" w:type="dxa"/>
        <w:tblLook w:val="04A0" w:firstRow="1" w:lastRow="0" w:firstColumn="1" w:lastColumn="0" w:noHBand="0" w:noVBand="1"/>
      </w:tblPr>
      <w:tblGrid>
        <w:gridCol w:w="3544"/>
        <w:gridCol w:w="1843"/>
      </w:tblGrid>
      <w:tr w:rsidR="002209E0" w14:paraId="6490E2F1" w14:textId="77777777" w:rsidTr="009A381D">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37A3DDF5" w14:textId="77777777" w:rsidR="002209E0" w:rsidRDefault="002209E0" w:rsidP="009A381D">
            <w:pPr>
              <w:pStyle w:val="TableText"/>
            </w:pPr>
            <w:r>
              <w:t xml:space="preserve">Metered water </w:t>
            </w:r>
            <w:proofErr w:type="gramStart"/>
            <w:r>
              <w:t>take</w:t>
            </w:r>
            <w:proofErr w:type="gramEnd"/>
          </w:p>
        </w:tc>
        <w:tc>
          <w:tcPr>
            <w:tcW w:w="1843" w:type="dxa"/>
            <w:shd w:val="clear" w:color="auto" w:fill="auto"/>
          </w:tcPr>
          <w:p w14:paraId="2486DB1E" w14:textId="77777777" w:rsidR="002209E0" w:rsidRDefault="002209E0" w:rsidP="009A381D">
            <w:pPr>
              <w:pStyle w:val="TableText"/>
              <w:rPr>
                <w:w w:val="115"/>
              </w:rPr>
            </w:pPr>
            <w:r>
              <w:t>100%</w:t>
            </w:r>
          </w:p>
        </w:tc>
      </w:tr>
      <w:tr w:rsidR="002209E0" w14:paraId="0BC05D51" w14:textId="77777777" w:rsidTr="009A381D">
        <w:tc>
          <w:tcPr>
            <w:tcW w:w="3544" w:type="dxa"/>
          </w:tcPr>
          <w:p w14:paraId="255F179C" w14:textId="77777777" w:rsidR="002209E0" w:rsidRDefault="002209E0" w:rsidP="009A381D">
            <w:pPr>
              <w:pStyle w:val="TableText"/>
            </w:pPr>
            <w:r>
              <w:t xml:space="preserve">Exempt water </w:t>
            </w:r>
            <w:proofErr w:type="gramStart"/>
            <w:r>
              <w:t>take</w:t>
            </w:r>
            <w:proofErr w:type="gramEnd"/>
          </w:p>
        </w:tc>
        <w:tc>
          <w:tcPr>
            <w:tcW w:w="1843" w:type="dxa"/>
          </w:tcPr>
          <w:p w14:paraId="4C199044" w14:textId="77777777" w:rsidR="002209E0" w:rsidRDefault="002209E0" w:rsidP="009A381D">
            <w:pPr>
              <w:pStyle w:val="TableText"/>
              <w:rPr>
                <w:w w:val="115"/>
              </w:rPr>
            </w:pPr>
            <w:r>
              <w:t>0%</w:t>
            </w:r>
          </w:p>
        </w:tc>
      </w:tr>
      <w:tr w:rsidR="002209E0" w14:paraId="76442FF7" w14:textId="77777777" w:rsidTr="009A381D">
        <w:tc>
          <w:tcPr>
            <w:tcW w:w="3544" w:type="dxa"/>
          </w:tcPr>
          <w:p w14:paraId="6DC8B361" w14:textId="77777777" w:rsidR="002209E0" w:rsidRDefault="002209E0" w:rsidP="009A381D">
            <w:pPr>
              <w:pStyle w:val="TableText"/>
            </w:pPr>
            <w:r>
              <w:t xml:space="preserve">Not yet metered water </w:t>
            </w:r>
            <w:proofErr w:type="gramStart"/>
            <w:r>
              <w:t>take</w:t>
            </w:r>
            <w:proofErr w:type="gramEnd"/>
          </w:p>
        </w:tc>
        <w:tc>
          <w:tcPr>
            <w:tcW w:w="1843" w:type="dxa"/>
          </w:tcPr>
          <w:p w14:paraId="479690F7" w14:textId="77777777" w:rsidR="002209E0" w:rsidRDefault="002209E0" w:rsidP="009A381D">
            <w:pPr>
              <w:pStyle w:val="TableText"/>
              <w:rPr>
                <w:w w:val="115"/>
              </w:rPr>
            </w:pPr>
            <w:r>
              <w:t>0%</w:t>
            </w:r>
          </w:p>
        </w:tc>
      </w:tr>
    </w:tbl>
    <w:p w14:paraId="0A151E88" w14:textId="77777777" w:rsidR="00A404F0" w:rsidRDefault="00A404F0" w:rsidP="00A404F0">
      <w:pPr>
        <w:rPr>
          <w:i/>
          <w:iCs/>
          <w:szCs w:val="20"/>
        </w:rPr>
      </w:pPr>
    </w:p>
    <w:p w14:paraId="02E84D42" w14:textId="6C8C438E" w:rsidR="00A404F0" w:rsidRPr="00A404F0" w:rsidRDefault="00A404F0" w:rsidP="002D6525">
      <w:pPr>
        <w:rPr>
          <w:i/>
          <w:iCs/>
          <w:szCs w:val="20"/>
        </w:rPr>
      </w:pPr>
      <w:r w:rsidRPr="53D51760">
        <w:rPr>
          <w:i/>
          <w:iCs/>
          <w:szCs w:val="20"/>
        </w:rPr>
        <w:t xml:space="preserve">This measure is reported to highlight percentage of </w:t>
      </w:r>
      <w:r>
        <w:rPr>
          <w:i/>
          <w:iCs/>
          <w:szCs w:val="20"/>
        </w:rPr>
        <w:t xml:space="preserve">actual, </w:t>
      </w:r>
      <w:r w:rsidRPr="53D51760">
        <w:rPr>
          <w:i/>
          <w:iCs/>
          <w:szCs w:val="20"/>
        </w:rPr>
        <w:t>meterable water take across the Murray-Darling Basin by each State that is metered. As this metric is influenced by water user behaviour, year-on-year change is not displayed in brackets. Data owner/ sources: Basin jurisdictions</w:t>
      </w:r>
    </w:p>
    <w:p w14:paraId="4F6DD47B" w14:textId="13F97413" w:rsidR="00A27054" w:rsidRPr="000A545D" w:rsidRDefault="00A27054" w:rsidP="00A27054">
      <w:pPr>
        <w:pStyle w:val="TableHeading"/>
        <w:rPr>
          <w:b/>
          <w:bCs/>
          <w:w w:val="110"/>
        </w:rPr>
      </w:pPr>
      <w:r w:rsidRPr="000A545D">
        <w:rPr>
          <w:b/>
          <w:bCs/>
        </w:rPr>
        <w:t xml:space="preserve">Table </w:t>
      </w:r>
      <w:r w:rsidR="00A70C16">
        <w:rPr>
          <w:b/>
          <w:bCs/>
        </w:rPr>
        <w:t>9</w:t>
      </w:r>
      <w:r w:rsidRPr="000A545D">
        <w:rPr>
          <w:b/>
          <w:bCs/>
        </w:rPr>
        <w:t xml:space="preserve">. </w:t>
      </w:r>
      <w:r w:rsidRPr="000A545D">
        <w:rPr>
          <w:b/>
          <w:bCs/>
          <w:w w:val="110"/>
        </w:rPr>
        <w:t>Metering accuracy in the ACT</w:t>
      </w:r>
    </w:p>
    <w:tbl>
      <w:tblPr>
        <w:tblStyle w:val="TableGridLight"/>
        <w:tblW w:w="6237" w:type="dxa"/>
        <w:tblLook w:val="04A0" w:firstRow="1" w:lastRow="0" w:firstColumn="1" w:lastColumn="0" w:noHBand="0" w:noVBand="1"/>
      </w:tblPr>
      <w:tblGrid>
        <w:gridCol w:w="3544"/>
        <w:gridCol w:w="2693"/>
      </w:tblGrid>
      <w:tr w:rsidR="00A27054" w14:paraId="3E138B75" w14:textId="77777777" w:rsidTr="00427D8A">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437D44BB" w14:textId="77777777" w:rsidR="00A27054" w:rsidRPr="000A545D" w:rsidRDefault="00A27054" w:rsidP="009A381D">
            <w:pPr>
              <w:pStyle w:val="TableText"/>
            </w:pPr>
            <w:r w:rsidRPr="000A545D">
              <w:t>AS4747 meters</w:t>
            </w:r>
          </w:p>
        </w:tc>
        <w:tc>
          <w:tcPr>
            <w:tcW w:w="2693" w:type="dxa"/>
            <w:shd w:val="clear" w:color="auto" w:fill="auto"/>
          </w:tcPr>
          <w:p w14:paraId="37C28FCD" w14:textId="42ABE10A" w:rsidR="00A27054" w:rsidRPr="000A545D" w:rsidRDefault="00A27054" w:rsidP="009A381D">
            <w:pPr>
              <w:pStyle w:val="TableText"/>
            </w:pPr>
            <w:r w:rsidRPr="000A545D">
              <w:t>0</w:t>
            </w:r>
            <w:r w:rsidR="004B2B36">
              <w:t>.33</w:t>
            </w:r>
            <w:r w:rsidRPr="000A545D">
              <w:t>%</w:t>
            </w:r>
            <w:r w:rsidR="00427D8A">
              <w:t xml:space="preserve"> </w:t>
            </w:r>
            <w:r w:rsidR="004B2B36">
              <w:t xml:space="preserve">(+0.33%) </w:t>
            </w:r>
          </w:p>
        </w:tc>
      </w:tr>
      <w:tr w:rsidR="00A27054" w14:paraId="7C1706C9" w14:textId="77777777" w:rsidTr="00427D8A">
        <w:tc>
          <w:tcPr>
            <w:tcW w:w="3544" w:type="dxa"/>
          </w:tcPr>
          <w:p w14:paraId="0ED9D522" w14:textId="77777777" w:rsidR="00A27054" w:rsidRPr="000A545D" w:rsidRDefault="00A27054" w:rsidP="009A381D">
            <w:pPr>
              <w:pStyle w:val="TableText"/>
            </w:pPr>
            <w:r w:rsidRPr="000A545D">
              <w:t>Grandfathered meters</w:t>
            </w:r>
          </w:p>
        </w:tc>
        <w:tc>
          <w:tcPr>
            <w:tcW w:w="2693" w:type="dxa"/>
          </w:tcPr>
          <w:p w14:paraId="55D233B8" w14:textId="0380A9B2" w:rsidR="00A27054" w:rsidRPr="000A545D" w:rsidRDefault="004B2B36" w:rsidP="009A381D">
            <w:pPr>
              <w:pStyle w:val="TableText"/>
            </w:pPr>
            <w:r>
              <w:t>4.53%</w:t>
            </w:r>
            <w:r w:rsidR="00427D8A">
              <w:t xml:space="preserve"> </w:t>
            </w:r>
            <w:r w:rsidR="004F11F0">
              <w:t>(+4.53</w:t>
            </w:r>
            <w:r w:rsidR="00303655">
              <w:t>%</w:t>
            </w:r>
            <w:r w:rsidR="004F11F0">
              <w:t>)</w:t>
            </w:r>
          </w:p>
        </w:tc>
      </w:tr>
      <w:tr w:rsidR="00A27054" w14:paraId="07447999" w14:textId="77777777" w:rsidTr="00427D8A">
        <w:tc>
          <w:tcPr>
            <w:tcW w:w="3544" w:type="dxa"/>
          </w:tcPr>
          <w:p w14:paraId="1A6C5145" w14:textId="77777777" w:rsidR="00A27054" w:rsidRPr="000A545D" w:rsidRDefault="00A27054" w:rsidP="009A381D">
            <w:pPr>
              <w:pStyle w:val="TableText"/>
            </w:pPr>
            <w:r w:rsidRPr="000A545D">
              <w:t>All other meters</w:t>
            </w:r>
          </w:p>
        </w:tc>
        <w:tc>
          <w:tcPr>
            <w:tcW w:w="2693" w:type="dxa"/>
          </w:tcPr>
          <w:p w14:paraId="48768E78" w14:textId="23CB969C" w:rsidR="00A27054" w:rsidRPr="000A545D" w:rsidRDefault="00427D8A" w:rsidP="009A381D">
            <w:pPr>
              <w:pStyle w:val="TableText"/>
            </w:pPr>
            <w:r>
              <w:t>95.14</w:t>
            </w:r>
            <w:r w:rsidR="00A27054" w:rsidRPr="000A545D">
              <w:t>%</w:t>
            </w:r>
          </w:p>
        </w:tc>
      </w:tr>
    </w:tbl>
    <w:p w14:paraId="7F25279E" w14:textId="77777777" w:rsidR="00A27054" w:rsidRDefault="00A27054" w:rsidP="002D6525"/>
    <w:p w14:paraId="4A5EC909" w14:textId="5B307846" w:rsidR="00A27054" w:rsidRPr="002322B3" w:rsidRDefault="002322B3" w:rsidP="002D6525">
      <w:pPr>
        <w:rPr>
          <w:i/>
          <w:iCs/>
          <w:szCs w:val="20"/>
        </w:rPr>
      </w:pPr>
      <w:r w:rsidRPr="53D51760">
        <w:rPr>
          <w:i/>
          <w:iCs/>
          <w:szCs w:val="20"/>
        </w:rPr>
        <w:t>This measure is reported to understand the percentages of meters that comply with the State’s metering policy and are therefore deemed accurate (including AS4747 and grandfathered meters). The percentage of AS4747 meters in the measure is intended to show progress Basin States are making in the roll-out of AS4747 metering. Please note that the ‘all other meters’ category may include meters that are not required to be AS4747 compliant or grandfathered. Data owner/sources: Basin jurisdictions</w:t>
      </w:r>
    </w:p>
    <w:p w14:paraId="257B0444" w14:textId="24C70260" w:rsidR="004B2B36" w:rsidRPr="000A545D" w:rsidRDefault="004B2B36" w:rsidP="004B2B36">
      <w:pPr>
        <w:pStyle w:val="TableHeading"/>
        <w:rPr>
          <w:b/>
          <w:bCs/>
          <w:w w:val="110"/>
        </w:rPr>
      </w:pPr>
      <w:r w:rsidRPr="000A545D">
        <w:rPr>
          <w:b/>
          <w:bCs/>
        </w:rPr>
        <w:t>Table 1</w:t>
      </w:r>
      <w:r w:rsidR="00A70C16">
        <w:rPr>
          <w:b/>
          <w:bCs/>
        </w:rPr>
        <w:t>0</w:t>
      </w:r>
      <w:r w:rsidRPr="000A545D">
        <w:rPr>
          <w:b/>
          <w:bCs/>
        </w:rPr>
        <w:t xml:space="preserve">. </w:t>
      </w:r>
      <w:r w:rsidRPr="000A545D">
        <w:rPr>
          <w:b/>
          <w:bCs/>
          <w:w w:val="110"/>
        </w:rPr>
        <w:t>Telemetry coverage</w:t>
      </w:r>
    </w:p>
    <w:tbl>
      <w:tblPr>
        <w:tblStyle w:val="TableGridLight"/>
        <w:tblW w:w="9639" w:type="dxa"/>
        <w:tblLook w:val="04A0" w:firstRow="1" w:lastRow="0" w:firstColumn="1" w:lastColumn="0" w:noHBand="0" w:noVBand="1"/>
      </w:tblPr>
      <w:tblGrid>
        <w:gridCol w:w="7938"/>
        <w:gridCol w:w="1701"/>
      </w:tblGrid>
      <w:tr w:rsidR="004B2B36" w14:paraId="3FA76310" w14:textId="77777777" w:rsidTr="009A381D">
        <w:trPr>
          <w:cnfStyle w:val="100000000000" w:firstRow="1" w:lastRow="0" w:firstColumn="0" w:lastColumn="0" w:oddVBand="0" w:evenVBand="0" w:oddHBand="0" w:evenHBand="0" w:firstRowFirstColumn="0" w:firstRowLastColumn="0" w:lastRowFirstColumn="0" w:lastRowLastColumn="0"/>
        </w:trPr>
        <w:tc>
          <w:tcPr>
            <w:tcW w:w="7938" w:type="dxa"/>
            <w:shd w:val="clear" w:color="auto" w:fill="auto"/>
          </w:tcPr>
          <w:p w14:paraId="7B5F6F7A" w14:textId="77777777" w:rsidR="004B2B36" w:rsidRDefault="004B2B36" w:rsidP="009A381D">
            <w:pPr>
              <w:pStyle w:val="TableText"/>
            </w:pPr>
            <w:r>
              <w:t>Meter % with telemetry connected to the regulator’s data collection system</w:t>
            </w:r>
          </w:p>
        </w:tc>
        <w:tc>
          <w:tcPr>
            <w:tcW w:w="1701" w:type="dxa"/>
            <w:shd w:val="clear" w:color="auto" w:fill="auto"/>
          </w:tcPr>
          <w:p w14:paraId="1744A62A" w14:textId="77777777" w:rsidR="004B2B36" w:rsidRDefault="004B2B36" w:rsidP="009A381D">
            <w:pPr>
              <w:pStyle w:val="TableText"/>
              <w:rPr>
                <w:w w:val="115"/>
              </w:rPr>
            </w:pPr>
            <w:r>
              <w:t>0%</w:t>
            </w:r>
          </w:p>
        </w:tc>
      </w:tr>
      <w:tr w:rsidR="004B2B36" w14:paraId="2E2DF7B3" w14:textId="77777777" w:rsidTr="009A381D">
        <w:tc>
          <w:tcPr>
            <w:tcW w:w="7938" w:type="dxa"/>
          </w:tcPr>
          <w:p w14:paraId="1390336F" w14:textId="77777777" w:rsidR="004B2B36" w:rsidRDefault="004B2B36" w:rsidP="009A381D">
            <w:pPr>
              <w:pStyle w:val="TableText"/>
            </w:pPr>
            <w:r>
              <w:t>Meter % required to have telemetry connected to the regulator’s data collection system, but which are not connected</w:t>
            </w:r>
          </w:p>
        </w:tc>
        <w:tc>
          <w:tcPr>
            <w:tcW w:w="1701" w:type="dxa"/>
          </w:tcPr>
          <w:p w14:paraId="1E11DBE7" w14:textId="77777777" w:rsidR="004B2B36" w:rsidRDefault="004B2B36" w:rsidP="009A381D">
            <w:pPr>
              <w:pStyle w:val="TableText"/>
              <w:rPr>
                <w:w w:val="115"/>
              </w:rPr>
            </w:pPr>
            <w:r>
              <w:t>0%</w:t>
            </w:r>
          </w:p>
        </w:tc>
      </w:tr>
      <w:tr w:rsidR="004B2B36" w14:paraId="4555F4A2" w14:textId="77777777" w:rsidTr="009A381D">
        <w:tc>
          <w:tcPr>
            <w:tcW w:w="7938" w:type="dxa"/>
          </w:tcPr>
          <w:p w14:paraId="34844C25" w14:textId="77777777" w:rsidR="004B2B36" w:rsidRDefault="004B2B36" w:rsidP="009A381D">
            <w:pPr>
              <w:pStyle w:val="TableText"/>
            </w:pPr>
            <w:r>
              <w:t>Meter % with telemetry not required</w:t>
            </w:r>
          </w:p>
        </w:tc>
        <w:tc>
          <w:tcPr>
            <w:tcW w:w="1701" w:type="dxa"/>
          </w:tcPr>
          <w:p w14:paraId="5269F12C" w14:textId="77777777" w:rsidR="004B2B36" w:rsidRDefault="004B2B36" w:rsidP="009A381D">
            <w:pPr>
              <w:pStyle w:val="TableText"/>
              <w:rPr>
                <w:w w:val="115"/>
              </w:rPr>
            </w:pPr>
            <w:r>
              <w:t>100%</w:t>
            </w:r>
          </w:p>
        </w:tc>
      </w:tr>
    </w:tbl>
    <w:p w14:paraId="601821CB" w14:textId="77777777" w:rsidR="00A27054" w:rsidRDefault="00A27054" w:rsidP="002D6525"/>
    <w:p w14:paraId="0C211C35" w14:textId="77777777" w:rsidR="002B72EB" w:rsidRDefault="002B72EB" w:rsidP="002B72EB">
      <w:pPr>
        <w:rPr>
          <w:i/>
          <w:iCs/>
          <w:szCs w:val="20"/>
        </w:rPr>
      </w:pPr>
      <w:r w:rsidRPr="53D51760">
        <w:rPr>
          <w:i/>
          <w:iCs/>
          <w:szCs w:val="20"/>
        </w:rPr>
        <w:t>This measure is reported to identify the percentage of meters with telemetry connected to the Basin jurisdiction’s data system. Data owner/ sources: Basin jurisdictions</w:t>
      </w:r>
    </w:p>
    <w:p w14:paraId="1B97D646" w14:textId="77777777" w:rsidR="005D6AFE" w:rsidRPr="00BE74BB" w:rsidRDefault="005D6AFE" w:rsidP="005D6AFE">
      <w:pPr>
        <w:pStyle w:val="Heading4"/>
        <w:rPr>
          <w:b/>
          <w:bCs/>
        </w:rPr>
      </w:pPr>
      <w:r w:rsidRPr="00BE74BB">
        <w:rPr>
          <w:b/>
          <w:bCs/>
        </w:rPr>
        <w:t>How is meter data collected where telemetry is not used</w:t>
      </w:r>
    </w:p>
    <w:p w14:paraId="388CC9A9" w14:textId="5154C596" w:rsidR="002B72EB" w:rsidRDefault="00DF03B6" w:rsidP="002D6525">
      <w:r>
        <w:t>Licence holders submit manual meter readings to the Environmental Protection Agency (EPA)</w:t>
      </w:r>
      <w:r w:rsidR="00FB464C">
        <w:t xml:space="preserve"> upon request</w:t>
      </w:r>
      <w:r>
        <w:t>.</w:t>
      </w:r>
      <w:r w:rsidR="00FB464C">
        <w:t xml:space="preserve"> </w:t>
      </w:r>
      <w:r w:rsidR="00D464F1">
        <w:t>A risk assessment based off licensed volume of water</w:t>
      </w:r>
      <w:r w:rsidR="00683FA6">
        <w:t xml:space="preserve">, compliance history and other factors is used </w:t>
      </w:r>
      <w:r w:rsidR="00D226B8">
        <w:t xml:space="preserve">to set the frequency of meter readings. </w:t>
      </w:r>
      <w:r w:rsidR="00881D10">
        <w:t xml:space="preserve">A frequency can </w:t>
      </w:r>
      <w:r w:rsidR="00881D10">
        <w:lastRenderedPageBreak/>
        <w:t xml:space="preserve">range from monthly to annual meter readings. </w:t>
      </w:r>
      <w:r w:rsidR="008A3814">
        <w:t>The meter readings are verified through the EPA through routine and proactive inspections.</w:t>
      </w:r>
      <w:r>
        <w:t xml:space="preserve"> </w:t>
      </w:r>
    </w:p>
    <w:p w14:paraId="3F2BC5A4" w14:textId="77777777" w:rsidR="000B78BC" w:rsidRDefault="000B78BC" w:rsidP="000B78BC">
      <w:pPr>
        <w:rPr>
          <w:i/>
          <w:iCs/>
          <w:szCs w:val="20"/>
        </w:rPr>
      </w:pPr>
      <w:r w:rsidRPr="53D51760">
        <w:rPr>
          <w:i/>
          <w:iCs/>
          <w:szCs w:val="20"/>
        </w:rPr>
        <w:t>This measure is reported to identify how meter data is collected and how often when telemetry is not being used. Data owner/sources: Basin jurisdictions</w:t>
      </w:r>
    </w:p>
    <w:p w14:paraId="43193106" w14:textId="77777777" w:rsidR="00F55F23" w:rsidRDefault="00F55F23" w:rsidP="000B78BC">
      <w:pPr>
        <w:rPr>
          <w:i/>
          <w:iCs/>
          <w:szCs w:val="20"/>
        </w:rPr>
      </w:pPr>
    </w:p>
    <w:p w14:paraId="37816098" w14:textId="77777777" w:rsidR="00F55F23" w:rsidRPr="0049718B" w:rsidRDefault="00F55F23" w:rsidP="00F55F23">
      <w:pPr>
        <w:pStyle w:val="Heading3"/>
        <w:rPr>
          <w:sz w:val="24"/>
          <w:szCs w:val="24"/>
        </w:rPr>
      </w:pPr>
      <w:r w:rsidRPr="0049718B">
        <w:rPr>
          <w:sz w:val="24"/>
          <w:szCs w:val="24"/>
        </w:rPr>
        <w:t>ACT provided narrative</w:t>
      </w:r>
    </w:p>
    <w:p w14:paraId="79637DC2" w14:textId="77777777" w:rsidR="00F55F23" w:rsidRDefault="00F55F23" w:rsidP="00F55F23">
      <w:r w:rsidRPr="00231698">
        <w:t>The ACT is currently progressing the implementation of its Non-Urban Metering Policy (the policy), based</w:t>
      </w:r>
      <w:r>
        <w:t xml:space="preserve"> </w:t>
      </w:r>
      <w:r w:rsidRPr="00231698">
        <w:t>on the MAF2 and AS4747 compliance framework. Current projects associated with this work include</w:t>
      </w:r>
      <w:r>
        <w:t xml:space="preserve"> </w:t>
      </w:r>
      <w:r w:rsidRPr="00231698">
        <w:t>education and engagement with licence holders, amendments to licence conditions, as well as proactive</w:t>
      </w:r>
      <w:r>
        <w:t xml:space="preserve"> </w:t>
      </w:r>
      <w:r w:rsidRPr="00231698">
        <w:t>inspections. There were some delays in progressing the implementation of the policy due to ongoing</w:t>
      </w:r>
      <w:r>
        <w:t xml:space="preserve"> </w:t>
      </w:r>
      <w:r w:rsidRPr="00231698">
        <w:t>resourcing issues, required legislative amendments for compliance, as well as a shortage of certified</w:t>
      </w:r>
      <w:r>
        <w:t xml:space="preserve"> </w:t>
      </w:r>
      <w:r w:rsidRPr="00231698">
        <w:t>persons in the ACT. However, the ACT has a planned work schedule which aims to fulfil requirements</w:t>
      </w:r>
      <w:r>
        <w:t xml:space="preserve"> </w:t>
      </w:r>
      <w:r w:rsidRPr="00231698">
        <w:t>of the new policy. Reporting against the metrics in the Metering Report Card will improve as the ACT</w:t>
      </w:r>
      <w:r>
        <w:t xml:space="preserve"> </w:t>
      </w:r>
      <w:r w:rsidRPr="00231698">
        <w:t>continues to implement its policy over the coming 12 months.</w:t>
      </w:r>
    </w:p>
    <w:p w14:paraId="155A2AE1" w14:textId="77777777" w:rsidR="000B78BC" w:rsidRDefault="000B78BC" w:rsidP="000B78BC"/>
    <w:p w14:paraId="6AB53A92" w14:textId="77777777" w:rsidR="00303655" w:rsidRPr="00303655" w:rsidRDefault="00303655" w:rsidP="00303655"/>
    <w:p w14:paraId="7E1C2501" w14:textId="77777777" w:rsidR="00303655" w:rsidRPr="00303655" w:rsidRDefault="00303655" w:rsidP="00303655"/>
    <w:p w14:paraId="460C090C" w14:textId="77777777" w:rsidR="00303655" w:rsidRPr="00303655" w:rsidRDefault="00303655" w:rsidP="00303655"/>
    <w:p w14:paraId="35B56E9B" w14:textId="77777777" w:rsidR="00303655" w:rsidRPr="00303655" w:rsidRDefault="00303655" w:rsidP="00303655"/>
    <w:p w14:paraId="7EFDA5EF" w14:textId="77777777" w:rsidR="00303655" w:rsidRPr="00303655" w:rsidRDefault="00303655" w:rsidP="00303655"/>
    <w:p w14:paraId="4D7F7B99" w14:textId="77777777" w:rsidR="00303655" w:rsidRPr="00303655" w:rsidRDefault="00303655" w:rsidP="00303655"/>
    <w:p w14:paraId="02C37C74" w14:textId="77777777" w:rsidR="00303655" w:rsidRPr="00303655" w:rsidRDefault="00303655" w:rsidP="00303655"/>
    <w:p w14:paraId="6DEADF90" w14:textId="77777777" w:rsidR="00303655" w:rsidRPr="00303655" w:rsidRDefault="00303655" w:rsidP="00303655"/>
    <w:p w14:paraId="2AC35696" w14:textId="77777777" w:rsidR="00303655" w:rsidRPr="00303655" w:rsidRDefault="00303655" w:rsidP="00303655"/>
    <w:p w14:paraId="2552A5F2" w14:textId="77777777" w:rsidR="00303655" w:rsidRPr="00303655" w:rsidRDefault="00303655" w:rsidP="00303655"/>
    <w:p w14:paraId="31408817" w14:textId="77777777" w:rsidR="00303655" w:rsidRPr="00303655" w:rsidRDefault="00303655" w:rsidP="00303655"/>
    <w:p w14:paraId="2285FD68" w14:textId="77777777" w:rsidR="00303655" w:rsidRDefault="00303655" w:rsidP="00303655">
      <w:pPr>
        <w:ind w:firstLine="720"/>
      </w:pPr>
    </w:p>
    <w:p w14:paraId="7693A192" w14:textId="77777777" w:rsidR="00303655" w:rsidRDefault="00303655" w:rsidP="00303655">
      <w:pPr>
        <w:ind w:firstLine="720"/>
      </w:pPr>
    </w:p>
    <w:p w14:paraId="57A1284A" w14:textId="77777777" w:rsidR="00303655" w:rsidRDefault="00303655" w:rsidP="00303655">
      <w:pPr>
        <w:ind w:firstLine="720"/>
      </w:pPr>
    </w:p>
    <w:p w14:paraId="24DDD117" w14:textId="77777777" w:rsidR="00303655" w:rsidRDefault="00303655" w:rsidP="00303655">
      <w:pPr>
        <w:ind w:firstLine="720"/>
      </w:pPr>
    </w:p>
    <w:p w14:paraId="7D9EBD46" w14:textId="77777777" w:rsidR="00303655" w:rsidRDefault="00303655" w:rsidP="00303655">
      <w:pPr>
        <w:ind w:firstLine="720"/>
      </w:pPr>
    </w:p>
    <w:p w14:paraId="47161333" w14:textId="77777777" w:rsidR="00303655" w:rsidRDefault="00303655" w:rsidP="00303655">
      <w:pPr>
        <w:ind w:firstLine="720"/>
      </w:pPr>
    </w:p>
    <w:p w14:paraId="21998883" w14:textId="77777777" w:rsidR="00303655" w:rsidRDefault="00303655" w:rsidP="00303655">
      <w:pPr>
        <w:rPr>
          <w:i/>
          <w:iCs/>
          <w:szCs w:val="20"/>
        </w:rPr>
      </w:pPr>
      <w:r w:rsidRPr="00A861EF">
        <w:rPr>
          <w:i/>
          <w:iCs/>
          <w:szCs w:val="20"/>
        </w:rPr>
        <w:t>The IGWC makes no claim as to the accuracy of the data shown on this page. Data is collated and supplied directly from the states</w:t>
      </w:r>
    </w:p>
    <w:p w14:paraId="45EFF512" w14:textId="77777777" w:rsidR="00303655" w:rsidRPr="00303655" w:rsidRDefault="00303655" w:rsidP="00303655">
      <w:pPr>
        <w:ind w:firstLine="720"/>
      </w:pPr>
    </w:p>
    <w:p w14:paraId="5A8E15AB" w14:textId="77777777" w:rsidR="009C3C86" w:rsidRDefault="009C3C86" w:rsidP="009C3C86">
      <w:pPr>
        <w:pStyle w:val="Heading3"/>
      </w:pPr>
      <w:r>
        <w:lastRenderedPageBreak/>
        <w:t>Murray-Darling Basin New South Wales Metering Report Card</w:t>
      </w:r>
    </w:p>
    <w:p w14:paraId="17E23A48" w14:textId="77777777" w:rsidR="009C3C86" w:rsidRPr="0049718B" w:rsidRDefault="009C3C86" w:rsidP="009C3C86">
      <w:pPr>
        <w:pStyle w:val="Heading3"/>
        <w:rPr>
          <w:b w:val="0"/>
          <w:bCs/>
          <w:sz w:val="22"/>
        </w:rPr>
      </w:pPr>
      <w:r w:rsidRPr="0049718B">
        <w:rPr>
          <w:b w:val="0"/>
          <w:bCs/>
          <w:sz w:val="22"/>
        </w:rPr>
        <w:t>1 July 2023 – 30 June 2024. Progress from 2022-23 metering report card indicated in brackets</w:t>
      </w:r>
    </w:p>
    <w:p w14:paraId="5FD6E9B7" w14:textId="77777777" w:rsidR="000D0B17" w:rsidRDefault="000D0B17" w:rsidP="00352403">
      <w:pPr>
        <w:pStyle w:val="Heading3"/>
      </w:pPr>
    </w:p>
    <w:p w14:paraId="38EC432B" w14:textId="491A22E1" w:rsidR="00F52D7C" w:rsidRPr="000A545D" w:rsidRDefault="00F52D7C" w:rsidP="00F52D7C">
      <w:pPr>
        <w:pStyle w:val="TableHeading"/>
        <w:rPr>
          <w:b/>
          <w:bCs/>
          <w:w w:val="110"/>
        </w:rPr>
      </w:pPr>
      <w:r w:rsidRPr="000A545D">
        <w:rPr>
          <w:b/>
          <w:bCs/>
        </w:rPr>
        <w:t>Table 1</w:t>
      </w:r>
      <w:r w:rsidR="00A70C16">
        <w:rPr>
          <w:b/>
          <w:bCs/>
        </w:rPr>
        <w:t>1</w:t>
      </w:r>
      <w:r w:rsidRPr="000A545D">
        <w:rPr>
          <w:b/>
          <w:bCs/>
        </w:rPr>
        <w:t xml:space="preserve">. </w:t>
      </w:r>
      <w:r w:rsidRPr="000A545D">
        <w:rPr>
          <w:b/>
          <w:bCs/>
          <w:w w:val="110"/>
        </w:rPr>
        <w:t>Percentage of water take metered in NSW</w:t>
      </w:r>
    </w:p>
    <w:tbl>
      <w:tblPr>
        <w:tblStyle w:val="TableGridLight"/>
        <w:tblW w:w="5387" w:type="dxa"/>
        <w:tblLook w:val="04A0" w:firstRow="1" w:lastRow="0" w:firstColumn="1" w:lastColumn="0" w:noHBand="0" w:noVBand="1"/>
      </w:tblPr>
      <w:tblGrid>
        <w:gridCol w:w="3544"/>
        <w:gridCol w:w="1843"/>
      </w:tblGrid>
      <w:tr w:rsidR="00F52D7C" w14:paraId="75055FE2" w14:textId="77777777" w:rsidTr="009A381D">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5AD9AD2C" w14:textId="77777777" w:rsidR="00F52D7C" w:rsidRDefault="00F52D7C" w:rsidP="009A381D">
            <w:pPr>
              <w:pStyle w:val="TableText"/>
            </w:pPr>
            <w:r>
              <w:t xml:space="preserve">Metered water </w:t>
            </w:r>
            <w:proofErr w:type="gramStart"/>
            <w:r>
              <w:t>take</w:t>
            </w:r>
            <w:proofErr w:type="gramEnd"/>
          </w:p>
        </w:tc>
        <w:tc>
          <w:tcPr>
            <w:tcW w:w="1843" w:type="dxa"/>
            <w:shd w:val="clear" w:color="auto" w:fill="auto"/>
          </w:tcPr>
          <w:p w14:paraId="6BD5680B" w14:textId="03F899FA" w:rsidR="00F52D7C" w:rsidRDefault="008363FC" w:rsidP="009A381D">
            <w:pPr>
              <w:pStyle w:val="TableText"/>
              <w:rPr>
                <w:w w:val="115"/>
              </w:rPr>
            </w:pPr>
            <w:r>
              <w:t>80.72</w:t>
            </w:r>
            <w:r w:rsidR="00F52D7C">
              <w:t>%</w:t>
            </w:r>
          </w:p>
        </w:tc>
      </w:tr>
      <w:tr w:rsidR="00F52D7C" w14:paraId="1F7C43BE" w14:textId="77777777" w:rsidTr="009A381D">
        <w:tc>
          <w:tcPr>
            <w:tcW w:w="3544" w:type="dxa"/>
          </w:tcPr>
          <w:p w14:paraId="6A3C64E6" w14:textId="77777777" w:rsidR="00F52D7C" w:rsidRDefault="00F52D7C" w:rsidP="009A381D">
            <w:pPr>
              <w:pStyle w:val="TableText"/>
            </w:pPr>
            <w:r>
              <w:t xml:space="preserve">Exempt water </w:t>
            </w:r>
            <w:proofErr w:type="gramStart"/>
            <w:r>
              <w:t>take</w:t>
            </w:r>
            <w:proofErr w:type="gramEnd"/>
          </w:p>
        </w:tc>
        <w:tc>
          <w:tcPr>
            <w:tcW w:w="1843" w:type="dxa"/>
          </w:tcPr>
          <w:p w14:paraId="29F7B8E0" w14:textId="43029F36" w:rsidR="00F52D7C" w:rsidRDefault="00F52D7C" w:rsidP="009A381D">
            <w:pPr>
              <w:pStyle w:val="TableText"/>
              <w:rPr>
                <w:w w:val="115"/>
              </w:rPr>
            </w:pPr>
            <w:r>
              <w:t>4.4</w:t>
            </w:r>
            <w:r w:rsidR="001B78A3">
              <w:t>6</w:t>
            </w:r>
            <w:r>
              <w:t>%</w:t>
            </w:r>
          </w:p>
        </w:tc>
      </w:tr>
      <w:tr w:rsidR="00F52D7C" w14:paraId="1988B519" w14:textId="77777777" w:rsidTr="009A381D">
        <w:tc>
          <w:tcPr>
            <w:tcW w:w="3544" w:type="dxa"/>
          </w:tcPr>
          <w:p w14:paraId="7D3F85BE" w14:textId="77777777" w:rsidR="00F52D7C" w:rsidRDefault="00F52D7C" w:rsidP="009A381D">
            <w:pPr>
              <w:pStyle w:val="TableText"/>
            </w:pPr>
            <w:r>
              <w:t xml:space="preserve">Not yet metered water </w:t>
            </w:r>
            <w:proofErr w:type="gramStart"/>
            <w:r>
              <w:t>take</w:t>
            </w:r>
            <w:proofErr w:type="gramEnd"/>
          </w:p>
        </w:tc>
        <w:tc>
          <w:tcPr>
            <w:tcW w:w="1843" w:type="dxa"/>
          </w:tcPr>
          <w:p w14:paraId="08FAD34C" w14:textId="07C0B88A" w:rsidR="00F52D7C" w:rsidRDefault="00F52D7C" w:rsidP="009A381D">
            <w:pPr>
              <w:pStyle w:val="TableText"/>
              <w:rPr>
                <w:w w:val="115"/>
              </w:rPr>
            </w:pPr>
            <w:r>
              <w:t>1</w:t>
            </w:r>
            <w:r w:rsidR="00F533BC">
              <w:t>4.82</w:t>
            </w:r>
            <w:r>
              <w:t>%</w:t>
            </w:r>
          </w:p>
        </w:tc>
      </w:tr>
    </w:tbl>
    <w:p w14:paraId="60DA7CA2" w14:textId="77777777" w:rsidR="00F52D7C" w:rsidRDefault="00F52D7C" w:rsidP="00F52D7C"/>
    <w:p w14:paraId="2A752528" w14:textId="6C801707" w:rsidR="00162BED" w:rsidRPr="00162BED" w:rsidRDefault="00162BED" w:rsidP="00F52D7C">
      <w:pPr>
        <w:rPr>
          <w:i/>
          <w:iCs/>
          <w:szCs w:val="20"/>
        </w:rPr>
      </w:pPr>
      <w:r w:rsidRPr="53D51760">
        <w:rPr>
          <w:i/>
          <w:iCs/>
          <w:szCs w:val="20"/>
        </w:rPr>
        <w:t xml:space="preserve">This measure is reported to highlight percentage of </w:t>
      </w:r>
      <w:r>
        <w:rPr>
          <w:i/>
          <w:iCs/>
          <w:szCs w:val="20"/>
        </w:rPr>
        <w:t xml:space="preserve">actual, </w:t>
      </w:r>
      <w:r w:rsidRPr="53D51760">
        <w:rPr>
          <w:i/>
          <w:iCs/>
          <w:szCs w:val="20"/>
        </w:rPr>
        <w:t>meterable water take across the Murray-Darling Basin by each State that is metered. As this metric is influenced by water user behaviour, year-on-year change is not displayed in brackets. Data owner/sources: Basin jurisdictions</w:t>
      </w:r>
    </w:p>
    <w:p w14:paraId="727FF125" w14:textId="70BFD1A1" w:rsidR="00580E90" w:rsidRPr="000A545D" w:rsidRDefault="00580E90" w:rsidP="00580E90">
      <w:pPr>
        <w:pStyle w:val="TableHeading"/>
        <w:rPr>
          <w:b/>
          <w:bCs/>
          <w:w w:val="110"/>
        </w:rPr>
      </w:pPr>
      <w:r w:rsidRPr="000A545D">
        <w:rPr>
          <w:b/>
          <w:bCs/>
        </w:rPr>
        <w:t>Table 1</w:t>
      </w:r>
      <w:r w:rsidR="00A70C16">
        <w:rPr>
          <w:b/>
          <w:bCs/>
        </w:rPr>
        <w:t>2</w:t>
      </w:r>
      <w:r w:rsidRPr="000A545D">
        <w:rPr>
          <w:b/>
          <w:bCs/>
        </w:rPr>
        <w:t xml:space="preserve">. </w:t>
      </w:r>
      <w:r w:rsidRPr="000A545D">
        <w:rPr>
          <w:b/>
          <w:bCs/>
          <w:w w:val="110"/>
        </w:rPr>
        <w:t>Metering accuracy in NSW</w:t>
      </w:r>
    </w:p>
    <w:tbl>
      <w:tblPr>
        <w:tblStyle w:val="TableGridLight"/>
        <w:tblW w:w="5670" w:type="dxa"/>
        <w:tblLook w:val="04A0" w:firstRow="1" w:lastRow="0" w:firstColumn="1" w:lastColumn="0" w:noHBand="0" w:noVBand="1"/>
      </w:tblPr>
      <w:tblGrid>
        <w:gridCol w:w="3544"/>
        <w:gridCol w:w="2126"/>
      </w:tblGrid>
      <w:tr w:rsidR="00580E90" w14:paraId="6068BE34" w14:textId="77777777" w:rsidTr="009A381D">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3153077D" w14:textId="77777777" w:rsidR="00580E90" w:rsidRPr="000A545D" w:rsidRDefault="00580E90" w:rsidP="009A381D">
            <w:pPr>
              <w:pStyle w:val="TableText"/>
            </w:pPr>
            <w:r w:rsidRPr="000A545D">
              <w:t>AS4747 meters</w:t>
            </w:r>
          </w:p>
        </w:tc>
        <w:tc>
          <w:tcPr>
            <w:tcW w:w="2126" w:type="dxa"/>
            <w:shd w:val="clear" w:color="auto" w:fill="auto"/>
          </w:tcPr>
          <w:p w14:paraId="59530161" w14:textId="52BB46BA" w:rsidR="00580E90" w:rsidRPr="000A545D" w:rsidRDefault="0015079A" w:rsidP="009A381D">
            <w:pPr>
              <w:pStyle w:val="TableText"/>
            </w:pPr>
            <w:r>
              <w:t>32</w:t>
            </w:r>
            <w:r w:rsidR="00580E90" w:rsidRPr="000A545D">
              <w:t>.</w:t>
            </w:r>
            <w:r>
              <w:t>18</w:t>
            </w:r>
            <w:r w:rsidR="00580E90" w:rsidRPr="000A545D">
              <w:t>% (+</w:t>
            </w:r>
            <w:r>
              <w:t>2</w:t>
            </w:r>
            <w:r w:rsidR="00580E90" w:rsidRPr="000A545D">
              <w:t>.</w:t>
            </w:r>
            <w:r>
              <w:t>98</w:t>
            </w:r>
            <w:r w:rsidR="00580E90" w:rsidRPr="000A545D">
              <w:t>%)</w:t>
            </w:r>
          </w:p>
        </w:tc>
      </w:tr>
      <w:tr w:rsidR="00580E90" w14:paraId="7C50C6EB" w14:textId="77777777" w:rsidTr="009A381D">
        <w:tc>
          <w:tcPr>
            <w:tcW w:w="3544" w:type="dxa"/>
          </w:tcPr>
          <w:p w14:paraId="2D55B42C" w14:textId="77777777" w:rsidR="00580E90" w:rsidRPr="000A545D" w:rsidRDefault="00580E90" w:rsidP="009A381D">
            <w:pPr>
              <w:pStyle w:val="TableText"/>
            </w:pPr>
            <w:r w:rsidRPr="000A545D">
              <w:t>Grandfathered meters</w:t>
            </w:r>
          </w:p>
        </w:tc>
        <w:tc>
          <w:tcPr>
            <w:tcW w:w="2126" w:type="dxa"/>
          </w:tcPr>
          <w:p w14:paraId="4BEDC94F" w14:textId="72A1F1E2" w:rsidR="00580E90" w:rsidRPr="000A545D" w:rsidRDefault="00844DBB" w:rsidP="009A381D">
            <w:pPr>
              <w:pStyle w:val="TableText"/>
            </w:pPr>
            <w:r>
              <w:t>12</w:t>
            </w:r>
            <w:r w:rsidR="00580E90" w:rsidRPr="000A545D">
              <w:t>.</w:t>
            </w:r>
            <w:r>
              <w:t>22</w:t>
            </w:r>
            <w:r w:rsidR="00580E90" w:rsidRPr="000A545D">
              <w:t>% (+</w:t>
            </w:r>
            <w:r>
              <w:t>5</w:t>
            </w:r>
            <w:r w:rsidR="00580E90" w:rsidRPr="000A545D">
              <w:t>.</w:t>
            </w:r>
            <w:r>
              <w:t>89</w:t>
            </w:r>
            <w:r w:rsidR="00580E90" w:rsidRPr="000A545D">
              <w:t>%)</w:t>
            </w:r>
          </w:p>
        </w:tc>
      </w:tr>
      <w:tr w:rsidR="00580E90" w14:paraId="67810614" w14:textId="77777777" w:rsidTr="009A381D">
        <w:tc>
          <w:tcPr>
            <w:tcW w:w="3544" w:type="dxa"/>
          </w:tcPr>
          <w:p w14:paraId="41EC22CD" w14:textId="77777777" w:rsidR="00580E90" w:rsidRPr="000A545D" w:rsidRDefault="00580E90" w:rsidP="009A381D">
            <w:pPr>
              <w:pStyle w:val="TableText"/>
            </w:pPr>
            <w:r w:rsidRPr="000A545D">
              <w:t>All other meters</w:t>
            </w:r>
          </w:p>
        </w:tc>
        <w:tc>
          <w:tcPr>
            <w:tcW w:w="2126" w:type="dxa"/>
          </w:tcPr>
          <w:p w14:paraId="1AFFEF03" w14:textId="156E44C1" w:rsidR="00580E90" w:rsidRPr="000A545D" w:rsidRDefault="004D316A" w:rsidP="009A381D">
            <w:pPr>
              <w:pStyle w:val="TableText"/>
            </w:pPr>
            <w:r>
              <w:t>55</w:t>
            </w:r>
            <w:r w:rsidR="00580E90" w:rsidRPr="000A545D">
              <w:t>.</w:t>
            </w:r>
            <w:r>
              <w:t>6</w:t>
            </w:r>
            <w:r w:rsidR="00580E90" w:rsidRPr="000A545D">
              <w:t>%</w:t>
            </w:r>
          </w:p>
        </w:tc>
      </w:tr>
    </w:tbl>
    <w:p w14:paraId="2A0A9196" w14:textId="77777777" w:rsidR="00580E90" w:rsidRDefault="00580E90" w:rsidP="00F52D7C"/>
    <w:p w14:paraId="2B13F329" w14:textId="10C37367" w:rsidR="00E91A66" w:rsidRPr="00E91A66" w:rsidRDefault="00E91A66" w:rsidP="00F52D7C">
      <w:pPr>
        <w:rPr>
          <w:i/>
          <w:iCs/>
          <w:szCs w:val="20"/>
        </w:rPr>
      </w:pPr>
      <w:r w:rsidRPr="00217B25">
        <w:rPr>
          <w:i/>
          <w:iCs/>
          <w:szCs w:val="20"/>
        </w:rPr>
        <w:t>This measure is reported to understand the percentages of meters that comply with the State’s metering policy and are therefore deemed accurate (including AS4747 and grandfathered meters). The percentage of AS4747 meters in the measure is intended to show progress Basin States are making in the roll-out of AS4747 metering. Please note that the ‘all other meters’ category may include meters that are not required to be AS4747 compliant or grandfathered. Data owner/sources: Basin jurisdictions</w:t>
      </w:r>
    </w:p>
    <w:p w14:paraId="3A007B4F" w14:textId="77777777" w:rsidR="006D659E" w:rsidRDefault="006D659E" w:rsidP="00F52D7C"/>
    <w:p w14:paraId="3E55F115" w14:textId="0E4625E0" w:rsidR="006D659E" w:rsidRPr="000A545D" w:rsidRDefault="006D659E" w:rsidP="006D659E">
      <w:pPr>
        <w:pStyle w:val="TableHeading"/>
        <w:rPr>
          <w:b/>
          <w:bCs/>
          <w:w w:val="110"/>
        </w:rPr>
      </w:pPr>
      <w:r w:rsidRPr="000A545D">
        <w:rPr>
          <w:b/>
          <w:bCs/>
        </w:rPr>
        <w:t>Table 1</w:t>
      </w:r>
      <w:r w:rsidR="00A70C16">
        <w:rPr>
          <w:b/>
          <w:bCs/>
        </w:rPr>
        <w:t>3</w:t>
      </w:r>
      <w:r w:rsidRPr="000A545D">
        <w:rPr>
          <w:b/>
          <w:bCs/>
        </w:rPr>
        <w:t xml:space="preserve">. </w:t>
      </w:r>
      <w:r w:rsidRPr="000A545D">
        <w:rPr>
          <w:b/>
          <w:bCs/>
          <w:w w:val="110"/>
        </w:rPr>
        <w:t>Telemetry coverage</w:t>
      </w:r>
    </w:p>
    <w:tbl>
      <w:tblPr>
        <w:tblStyle w:val="TableGridLight"/>
        <w:tblW w:w="9639" w:type="dxa"/>
        <w:tblLook w:val="04A0" w:firstRow="1" w:lastRow="0" w:firstColumn="1" w:lastColumn="0" w:noHBand="0" w:noVBand="1"/>
      </w:tblPr>
      <w:tblGrid>
        <w:gridCol w:w="7371"/>
        <w:gridCol w:w="2268"/>
      </w:tblGrid>
      <w:tr w:rsidR="006D659E" w14:paraId="29499458" w14:textId="77777777" w:rsidTr="009A381D">
        <w:trPr>
          <w:cnfStyle w:val="100000000000" w:firstRow="1" w:lastRow="0" w:firstColumn="0" w:lastColumn="0" w:oddVBand="0" w:evenVBand="0" w:oddHBand="0" w:evenHBand="0" w:firstRowFirstColumn="0" w:firstRowLastColumn="0" w:lastRowFirstColumn="0" w:lastRowLastColumn="0"/>
        </w:trPr>
        <w:tc>
          <w:tcPr>
            <w:tcW w:w="7371" w:type="dxa"/>
            <w:shd w:val="clear" w:color="auto" w:fill="auto"/>
          </w:tcPr>
          <w:p w14:paraId="020E88E0" w14:textId="77777777" w:rsidR="006D659E" w:rsidRDefault="006D659E" w:rsidP="009A381D">
            <w:pPr>
              <w:pStyle w:val="TableText"/>
            </w:pPr>
            <w:r>
              <w:t>Meter % with telemetry connected to the regulator’s data collection system</w:t>
            </w:r>
          </w:p>
        </w:tc>
        <w:tc>
          <w:tcPr>
            <w:tcW w:w="2268" w:type="dxa"/>
            <w:shd w:val="clear" w:color="auto" w:fill="auto"/>
          </w:tcPr>
          <w:p w14:paraId="02A5AF7A" w14:textId="6C1E0D79" w:rsidR="006D659E" w:rsidRDefault="006D659E" w:rsidP="009A381D">
            <w:pPr>
              <w:pStyle w:val="TableText"/>
              <w:rPr>
                <w:w w:val="115"/>
              </w:rPr>
            </w:pPr>
            <w:r>
              <w:t>2</w:t>
            </w:r>
            <w:r w:rsidR="00B315B2">
              <w:t>9</w:t>
            </w:r>
            <w:r>
              <w:t>.</w:t>
            </w:r>
            <w:r w:rsidR="00B315B2">
              <w:t>25</w:t>
            </w:r>
            <w:r>
              <w:t>% (+</w:t>
            </w:r>
            <w:r w:rsidR="00B315B2">
              <w:t>6</w:t>
            </w:r>
            <w:r>
              <w:t>.</w:t>
            </w:r>
            <w:r w:rsidR="00B315B2">
              <w:t>68</w:t>
            </w:r>
            <w:r>
              <w:t>%)</w:t>
            </w:r>
          </w:p>
        </w:tc>
      </w:tr>
      <w:tr w:rsidR="006D659E" w14:paraId="09EBA06F" w14:textId="77777777" w:rsidTr="009A381D">
        <w:tc>
          <w:tcPr>
            <w:tcW w:w="7371" w:type="dxa"/>
          </w:tcPr>
          <w:p w14:paraId="06CCC737" w14:textId="77777777" w:rsidR="006D659E" w:rsidRDefault="006D659E" w:rsidP="009A381D">
            <w:pPr>
              <w:pStyle w:val="TableText"/>
            </w:pPr>
            <w:r>
              <w:t>Meter % required to have telemetry connected to the regulator’s data collection system, but which are not connected</w:t>
            </w:r>
          </w:p>
        </w:tc>
        <w:tc>
          <w:tcPr>
            <w:tcW w:w="2268" w:type="dxa"/>
          </w:tcPr>
          <w:p w14:paraId="79032D3E" w14:textId="78E7F764" w:rsidR="006D659E" w:rsidRDefault="006D659E" w:rsidP="009A381D">
            <w:pPr>
              <w:pStyle w:val="TableText"/>
              <w:rPr>
                <w:w w:val="115"/>
              </w:rPr>
            </w:pPr>
            <w:r>
              <w:t>1</w:t>
            </w:r>
            <w:r w:rsidR="00CE11A4">
              <w:t>6</w:t>
            </w:r>
            <w:r>
              <w:t>.</w:t>
            </w:r>
            <w:r w:rsidR="00CE11A4">
              <w:t>65</w:t>
            </w:r>
            <w:r>
              <w:t>%</w:t>
            </w:r>
          </w:p>
        </w:tc>
      </w:tr>
      <w:tr w:rsidR="006D659E" w14:paraId="27275F34" w14:textId="77777777" w:rsidTr="009A381D">
        <w:tc>
          <w:tcPr>
            <w:tcW w:w="7371" w:type="dxa"/>
          </w:tcPr>
          <w:p w14:paraId="2F766E02" w14:textId="77777777" w:rsidR="006D659E" w:rsidRDefault="006D659E" w:rsidP="009A381D">
            <w:pPr>
              <w:pStyle w:val="TableText"/>
            </w:pPr>
            <w:r>
              <w:t>Meter % with telemetry not required</w:t>
            </w:r>
          </w:p>
        </w:tc>
        <w:tc>
          <w:tcPr>
            <w:tcW w:w="2268" w:type="dxa"/>
          </w:tcPr>
          <w:p w14:paraId="6D671898" w14:textId="5018D909" w:rsidR="006D659E" w:rsidRDefault="00D967BF" w:rsidP="009A381D">
            <w:pPr>
              <w:pStyle w:val="TableText"/>
              <w:rPr>
                <w:w w:val="115"/>
              </w:rPr>
            </w:pPr>
            <w:r>
              <w:t>54</w:t>
            </w:r>
            <w:r w:rsidR="006D659E">
              <w:t>.1%</w:t>
            </w:r>
          </w:p>
        </w:tc>
      </w:tr>
    </w:tbl>
    <w:p w14:paraId="46802D48" w14:textId="77777777" w:rsidR="006D659E" w:rsidRDefault="006D659E" w:rsidP="00F52D7C"/>
    <w:p w14:paraId="43DF2C8B" w14:textId="77777777" w:rsidR="00900E92" w:rsidRDefault="00900E92" w:rsidP="00900E92">
      <w:r w:rsidRPr="00217B25">
        <w:rPr>
          <w:i/>
          <w:iCs/>
          <w:szCs w:val="20"/>
        </w:rPr>
        <w:t>This measure is reported to identify the percentage of meters with telemetry connected to the Basin jurisdiction’s data system. Data owner/sources: Basin jurisdictions</w:t>
      </w:r>
    </w:p>
    <w:p w14:paraId="2D2A1E75" w14:textId="77777777" w:rsidR="00900E92" w:rsidRDefault="00900E92" w:rsidP="00F52D7C"/>
    <w:p w14:paraId="25636C00" w14:textId="77777777" w:rsidR="00900E92" w:rsidRDefault="00900E92" w:rsidP="00F52D7C"/>
    <w:p w14:paraId="09A21F69" w14:textId="7280DD7A" w:rsidR="0004422F" w:rsidRPr="000A545D" w:rsidRDefault="0004422F" w:rsidP="0004422F">
      <w:pPr>
        <w:pStyle w:val="TableHeading"/>
        <w:rPr>
          <w:b/>
          <w:bCs/>
          <w:w w:val="110"/>
        </w:rPr>
      </w:pPr>
      <w:r w:rsidRPr="000A545D">
        <w:rPr>
          <w:b/>
          <w:bCs/>
        </w:rPr>
        <w:lastRenderedPageBreak/>
        <w:t>Table 1</w:t>
      </w:r>
      <w:r w:rsidR="00A70C16">
        <w:rPr>
          <w:b/>
          <w:bCs/>
        </w:rPr>
        <w:t>4</w:t>
      </w:r>
      <w:r w:rsidRPr="000A545D">
        <w:rPr>
          <w:b/>
          <w:bCs/>
        </w:rPr>
        <w:t xml:space="preserve">. </w:t>
      </w:r>
      <w:r w:rsidRPr="000A545D">
        <w:rPr>
          <w:b/>
          <w:bCs/>
          <w:w w:val="110"/>
        </w:rPr>
        <w:t>Percentage of entitlement volume metered in NSW</w:t>
      </w:r>
    </w:p>
    <w:tbl>
      <w:tblPr>
        <w:tblStyle w:val="TableGridLight"/>
        <w:tblW w:w="9639" w:type="dxa"/>
        <w:tblLook w:val="04A0" w:firstRow="1" w:lastRow="0" w:firstColumn="1" w:lastColumn="0" w:noHBand="0" w:noVBand="1"/>
      </w:tblPr>
      <w:tblGrid>
        <w:gridCol w:w="7371"/>
        <w:gridCol w:w="2268"/>
      </w:tblGrid>
      <w:tr w:rsidR="0004422F" w14:paraId="5C11BA65" w14:textId="77777777" w:rsidTr="009A381D">
        <w:trPr>
          <w:cnfStyle w:val="100000000000" w:firstRow="1" w:lastRow="0" w:firstColumn="0" w:lastColumn="0" w:oddVBand="0" w:evenVBand="0" w:oddHBand="0" w:evenHBand="0" w:firstRowFirstColumn="0" w:firstRowLastColumn="0" w:lastRowFirstColumn="0" w:lastRowLastColumn="0"/>
        </w:trPr>
        <w:tc>
          <w:tcPr>
            <w:tcW w:w="7371" w:type="dxa"/>
            <w:shd w:val="clear" w:color="auto" w:fill="auto"/>
          </w:tcPr>
          <w:p w14:paraId="2B9BA522" w14:textId="77777777" w:rsidR="0004422F" w:rsidRDefault="0004422F" w:rsidP="009A381D">
            <w:pPr>
              <w:pStyle w:val="TableText"/>
            </w:pPr>
            <w:r>
              <w:t>Metered entitlement volume</w:t>
            </w:r>
          </w:p>
        </w:tc>
        <w:tc>
          <w:tcPr>
            <w:tcW w:w="2268" w:type="dxa"/>
            <w:shd w:val="clear" w:color="auto" w:fill="auto"/>
          </w:tcPr>
          <w:p w14:paraId="0D1AE6B7" w14:textId="54EF2289" w:rsidR="0004422F" w:rsidRDefault="0004422F" w:rsidP="009A381D">
            <w:pPr>
              <w:pStyle w:val="TableText"/>
              <w:rPr>
                <w:w w:val="115"/>
              </w:rPr>
            </w:pPr>
            <w:r>
              <w:t>8</w:t>
            </w:r>
            <w:r w:rsidR="00A66B2A">
              <w:t>7</w:t>
            </w:r>
            <w:r>
              <w:t>.</w:t>
            </w:r>
            <w:r w:rsidR="00A66B2A">
              <w:t>44</w:t>
            </w:r>
            <w:r>
              <w:t>%</w:t>
            </w:r>
          </w:p>
        </w:tc>
      </w:tr>
      <w:tr w:rsidR="0004422F" w14:paraId="72D80B0B" w14:textId="77777777" w:rsidTr="009A381D">
        <w:tc>
          <w:tcPr>
            <w:tcW w:w="7371" w:type="dxa"/>
          </w:tcPr>
          <w:p w14:paraId="2F288C36" w14:textId="77777777" w:rsidR="0004422F" w:rsidRDefault="0004422F" w:rsidP="009A381D">
            <w:pPr>
              <w:pStyle w:val="TableText"/>
            </w:pPr>
            <w:r>
              <w:t>Exempt entitlement volume</w:t>
            </w:r>
          </w:p>
        </w:tc>
        <w:tc>
          <w:tcPr>
            <w:tcW w:w="2268" w:type="dxa"/>
          </w:tcPr>
          <w:p w14:paraId="4197AD16" w14:textId="0C215FC9" w:rsidR="0004422F" w:rsidRDefault="0004422F" w:rsidP="009A381D">
            <w:pPr>
              <w:pStyle w:val="TableText"/>
              <w:rPr>
                <w:w w:val="115"/>
              </w:rPr>
            </w:pPr>
            <w:r>
              <w:t>2.</w:t>
            </w:r>
            <w:r w:rsidR="001824AC">
              <w:t>49</w:t>
            </w:r>
            <w:r>
              <w:t>%</w:t>
            </w:r>
          </w:p>
        </w:tc>
      </w:tr>
      <w:tr w:rsidR="0004422F" w14:paraId="72A48EAE" w14:textId="77777777" w:rsidTr="009A381D">
        <w:tc>
          <w:tcPr>
            <w:tcW w:w="7371" w:type="dxa"/>
          </w:tcPr>
          <w:p w14:paraId="652C8DF8" w14:textId="77777777" w:rsidR="0004422F" w:rsidRDefault="0004422F" w:rsidP="009A381D">
            <w:pPr>
              <w:pStyle w:val="TableText"/>
            </w:pPr>
            <w:r>
              <w:t>Not yet metered entitlement volume</w:t>
            </w:r>
          </w:p>
        </w:tc>
        <w:tc>
          <w:tcPr>
            <w:tcW w:w="2268" w:type="dxa"/>
          </w:tcPr>
          <w:p w14:paraId="794F4F5D" w14:textId="42B15CBB" w:rsidR="0004422F" w:rsidRDefault="00FD033B" w:rsidP="009A381D">
            <w:pPr>
              <w:pStyle w:val="TableText"/>
              <w:rPr>
                <w:w w:val="115"/>
              </w:rPr>
            </w:pPr>
            <w:r>
              <w:t>10</w:t>
            </w:r>
            <w:r w:rsidR="0004422F">
              <w:t>.</w:t>
            </w:r>
            <w:r>
              <w:t>07</w:t>
            </w:r>
            <w:r w:rsidR="0004422F">
              <w:t>%</w:t>
            </w:r>
          </w:p>
        </w:tc>
      </w:tr>
    </w:tbl>
    <w:p w14:paraId="758EFD8E" w14:textId="77777777" w:rsidR="0004422F" w:rsidRDefault="0004422F" w:rsidP="00F52D7C"/>
    <w:p w14:paraId="1131A5C4" w14:textId="77777777" w:rsidR="005305E4" w:rsidRPr="00217B25" w:rsidRDefault="005305E4" w:rsidP="005305E4">
      <w:pPr>
        <w:rPr>
          <w:i/>
          <w:iCs/>
          <w:szCs w:val="20"/>
        </w:rPr>
      </w:pPr>
      <w:r w:rsidRPr="00217B25">
        <w:rPr>
          <w:i/>
          <w:iCs/>
          <w:szCs w:val="20"/>
        </w:rPr>
        <w:t>This measure is reported to highlight percentage of entitlement volume across the Murray-Darling Basin by each State that is metered, assuming a 100% utilisation of entitlement. Data provision for this metric was optional by States. Data owner/sources: Basin jurisdictions</w:t>
      </w:r>
    </w:p>
    <w:p w14:paraId="12A41031" w14:textId="05990978" w:rsidR="001C60CD" w:rsidRPr="000A545D" w:rsidRDefault="001C60CD" w:rsidP="001C60CD">
      <w:pPr>
        <w:pStyle w:val="TableHeading"/>
        <w:rPr>
          <w:b/>
          <w:bCs/>
          <w:w w:val="110"/>
        </w:rPr>
      </w:pPr>
      <w:r w:rsidRPr="000A545D">
        <w:rPr>
          <w:b/>
          <w:bCs/>
        </w:rPr>
        <w:t>Table 1</w:t>
      </w:r>
      <w:r w:rsidR="00A70C16">
        <w:rPr>
          <w:b/>
          <w:bCs/>
        </w:rPr>
        <w:t>5</w:t>
      </w:r>
      <w:r w:rsidRPr="000A545D">
        <w:rPr>
          <w:b/>
          <w:bCs/>
        </w:rPr>
        <w:t xml:space="preserve">. </w:t>
      </w:r>
      <w:r w:rsidRPr="000A545D">
        <w:rPr>
          <w:b/>
          <w:bCs/>
          <w:w w:val="110"/>
        </w:rPr>
        <w:t>How is meter data collected where telemetry is not used</w:t>
      </w:r>
    </w:p>
    <w:p w14:paraId="3B0DE9AA" w14:textId="77777777" w:rsidR="001C60CD" w:rsidRPr="008D20CB" w:rsidRDefault="001C60CD" w:rsidP="001C60CD">
      <w:pPr>
        <w:rPr>
          <w:b/>
          <w:bCs/>
          <w:w w:val="110"/>
          <w:sz w:val="24"/>
          <w:szCs w:val="24"/>
        </w:rPr>
      </w:pPr>
      <w:r>
        <w:t xml:space="preserve">Approval holders submit meter reads to </w:t>
      </w:r>
      <w:proofErr w:type="spellStart"/>
      <w:r>
        <w:t>WaterNSW</w:t>
      </w:r>
      <w:proofErr w:type="spellEnd"/>
      <w:r>
        <w:t xml:space="preserve"> as per the schedule below. When submitting meter reads, if no water is taken that also needs to be declared. Non-telemetered meters have their data loggers annually downloaded by </w:t>
      </w:r>
      <w:proofErr w:type="spellStart"/>
      <w:r>
        <w:t>WaterNSW</w:t>
      </w:r>
      <w:proofErr w:type="spellEnd"/>
      <w:r>
        <w:t>. Logbooks with meter records must also be kept for five years.</w:t>
      </w:r>
    </w:p>
    <w:tbl>
      <w:tblPr>
        <w:tblStyle w:val="TableGridLight"/>
        <w:tblW w:w="0" w:type="auto"/>
        <w:tblLook w:val="04A0" w:firstRow="1" w:lastRow="0" w:firstColumn="1" w:lastColumn="0" w:noHBand="0" w:noVBand="1"/>
      </w:tblPr>
      <w:tblGrid>
        <w:gridCol w:w="2255"/>
        <w:gridCol w:w="2772"/>
        <w:gridCol w:w="1861"/>
        <w:gridCol w:w="2138"/>
      </w:tblGrid>
      <w:tr w:rsidR="001C60CD" w14:paraId="142C47C6" w14:textId="77777777" w:rsidTr="009A381D">
        <w:trPr>
          <w:cnfStyle w:val="100000000000" w:firstRow="1" w:lastRow="0" w:firstColumn="0" w:lastColumn="0" w:oddVBand="0" w:evenVBand="0" w:oddHBand="0" w:evenHBand="0" w:firstRowFirstColumn="0" w:firstRowLastColumn="0" w:lastRowFirstColumn="0" w:lastRowLastColumn="0"/>
        </w:trPr>
        <w:tc>
          <w:tcPr>
            <w:tcW w:w="2409" w:type="dxa"/>
          </w:tcPr>
          <w:p w14:paraId="1FC9EBA3" w14:textId="77777777" w:rsidR="001C60CD" w:rsidRDefault="001C60CD" w:rsidP="009A381D">
            <w:pPr>
              <w:pStyle w:val="TableHeader"/>
            </w:pPr>
          </w:p>
        </w:tc>
        <w:tc>
          <w:tcPr>
            <w:tcW w:w="2978" w:type="dxa"/>
          </w:tcPr>
          <w:p w14:paraId="20618DA1" w14:textId="77777777" w:rsidR="001C60CD" w:rsidRPr="00CC19F8" w:rsidRDefault="001C60CD" w:rsidP="009A381D">
            <w:pPr>
              <w:pStyle w:val="TableHeader"/>
              <w:rPr>
                <w:color w:val="E7E6E6" w:themeColor="background2"/>
              </w:rPr>
            </w:pPr>
            <w:r w:rsidRPr="00CC19F8">
              <w:rPr>
                <w:color w:val="E7E6E6" w:themeColor="background2"/>
              </w:rPr>
              <w:t>Recording frequency</w:t>
            </w:r>
          </w:p>
        </w:tc>
        <w:tc>
          <w:tcPr>
            <w:tcW w:w="1984" w:type="dxa"/>
          </w:tcPr>
          <w:p w14:paraId="598322EB" w14:textId="77777777" w:rsidR="001C60CD" w:rsidRPr="00CC19F8" w:rsidRDefault="001C60CD" w:rsidP="009A381D">
            <w:pPr>
              <w:pStyle w:val="TableHeader"/>
              <w:rPr>
                <w:color w:val="E7E6E6" w:themeColor="background2"/>
              </w:rPr>
            </w:pPr>
            <w:r w:rsidRPr="00CC19F8">
              <w:rPr>
                <w:color w:val="E7E6E6" w:themeColor="background2"/>
              </w:rPr>
              <w:t>Report monthly</w:t>
            </w:r>
          </w:p>
        </w:tc>
        <w:tc>
          <w:tcPr>
            <w:tcW w:w="2267" w:type="dxa"/>
          </w:tcPr>
          <w:p w14:paraId="16DF6B83" w14:textId="77777777" w:rsidR="001C60CD" w:rsidRPr="00CC19F8" w:rsidRDefault="001C60CD" w:rsidP="009A381D">
            <w:pPr>
              <w:pStyle w:val="TableHeader"/>
              <w:rPr>
                <w:color w:val="E7E6E6" w:themeColor="background2"/>
              </w:rPr>
            </w:pPr>
            <w:r w:rsidRPr="00CC19F8">
              <w:rPr>
                <w:color w:val="E7E6E6" w:themeColor="background2"/>
              </w:rPr>
              <w:t>Report annually</w:t>
            </w:r>
          </w:p>
        </w:tc>
      </w:tr>
      <w:tr w:rsidR="001C60CD" w14:paraId="580952F6" w14:textId="77777777" w:rsidTr="009A381D">
        <w:trPr>
          <w:trHeight w:val="1121"/>
        </w:trPr>
        <w:tc>
          <w:tcPr>
            <w:tcW w:w="2409" w:type="dxa"/>
          </w:tcPr>
          <w:p w14:paraId="01CA3FD7" w14:textId="77777777" w:rsidR="001C60CD" w:rsidRDefault="001C60CD" w:rsidP="009A381D">
            <w:pPr>
              <w:pStyle w:val="TableText"/>
            </w:pPr>
            <w:r>
              <w:t>Works required to meter before the metering reform compliance date</w:t>
            </w:r>
          </w:p>
        </w:tc>
        <w:tc>
          <w:tcPr>
            <w:tcW w:w="2978" w:type="dxa"/>
          </w:tcPr>
          <w:p w14:paraId="46FFC477" w14:textId="77777777" w:rsidR="001C60CD" w:rsidRDefault="001C60CD" w:rsidP="009A381D">
            <w:pPr>
              <w:pStyle w:val="TableText"/>
            </w:pPr>
            <w:r>
              <w:t>The water user manually records licensed water take in a logbook each time water is taken. Some exemptions apply in some areas where an operational meter and data logger is installed.</w:t>
            </w:r>
          </w:p>
        </w:tc>
        <w:tc>
          <w:tcPr>
            <w:tcW w:w="1984" w:type="dxa"/>
          </w:tcPr>
          <w:p w14:paraId="5D20ED43" w14:textId="77777777" w:rsidR="001C60CD" w:rsidRDefault="001C60CD" w:rsidP="009A381D">
            <w:pPr>
              <w:pStyle w:val="TableText"/>
            </w:pPr>
            <w:r>
              <w:t>N/A</w:t>
            </w:r>
          </w:p>
        </w:tc>
        <w:tc>
          <w:tcPr>
            <w:tcW w:w="2267" w:type="dxa"/>
          </w:tcPr>
          <w:p w14:paraId="533B00A0" w14:textId="77777777" w:rsidR="001C60CD" w:rsidRDefault="001C60CD" w:rsidP="009A381D">
            <w:pPr>
              <w:pStyle w:val="TableText"/>
            </w:pPr>
            <w:proofErr w:type="spellStart"/>
            <w:r>
              <w:t>WaterNSW</w:t>
            </w:r>
            <w:proofErr w:type="spellEnd"/>
            <w:r>
              <w:t xml:space="preserve"> reads the meter at least annually (and in some cases meters are read quarterly, such as for regulated rivers)</w:t>
            </w:r>
          </w:p>
          <w:p w14:paraId="1993D970" w14:textId="77777777" w:rsidR="001C60CD" w:rsidRPr="0077560D" w:rsidRDefault="001C60CD" w:rsidP="009A381D">
            <w:pPr>
              <w:pStyle w:val="TableText"/>
            </w:pPr>
          </w:p>
        </w:tc>
      </w:tr>
      <w:tr w:rsidR="001C60CD" w14:paraId="41FFA089" w14:textId="77777777" w:rsidTr="009A381D">
        <w:tc>
          <w:tcPr>
            <w:tcW w:w="2409" w:type="dxa"/>
          </w:tcPr>
          <w:p w14:paraId="78C086D3" w14:textId="77777777" w:rsidR="001C60CD" w:rsidRDefault="001C60CD" w:rsidP="009A381D">
            <w:pPr>
              <w:pStyle w:val="TableText"/>
            </w:pPr>
            <w:r>
              <w:t>Works required to meter after the metering reform compliance date</w:t>
            </w:r>
          </w:p>
        </w:tc>
        <w:tc>
          <w:tcPr>
            <w:tcW w:w="2978" w:type="dxa"/>
          </w:tcPr>
          <w:p w14:paraId="0D01363B" w14:textId="77777777" w:rsidR="001C60CD" w:rsidRDefault="001C60CD" w:rsidP="009A381D">
            <w:pPr>
              <w:pStyle w:val="TableText"/>
            </w:pPr>
            <w:r>
              <w:t>Licensed water take is automatically recorded by Local Intelligence Device (logged hourly)</w:t>
            </w:r>
          </w:p>
        </w:tc>
        <w:tc>
          <w:tcPr>
            <w:tcW w:w="1984" w:type="dxa"/>
          </w:tcPr>
          <w:p w14:paraId="028A265E" w14:textId="77777777" w:rsidR="001C60CD" w:rsidRDefault="001C60CD" w:rsidP="009A381D">
            <w:pPr>
              <w:pStyle w:val="TableText"/>
            </w:pPr>
            <w:r>
              <w:t>Approval holder submits a meter read</w:t>
            </w:r>
          </w:p>
        </w:tc>
        <w:tc>
          <w:tcPr>
            <w:tcW w:w="2267" w:type="dxa"/>
          </w:tcPr>
          <w:p w14:paraId="08EE88B8" w14:textId="77777777" w:rsidR="001C60CD" w:rsidRDefault="001C60CD" w:rsidP="009A381D">
            <w:pPr>
              <w:pStyle w:val="TableText"/>
            </w:pPr>
            <w:proofErr w:type="spellStart"/>
            <w:r>
              <w:t>WaterNSW</w:t>
            </w:r>
            <w:proofErr w:type="spellEnd"/>
            <w:r>
              <w:t xml:space="preserve"> downloads Local Intelligence Device data annually</w:t>
            </w:r>
          </w:p>
        </w:tc>
      </w:tr>
    </w:tbl>
    <w:p w14:paraId="544FB723" w14:textId="77777777" w:rsidR="005305E4" w:rsidRDefault="005305E4" w:rsidP="00F52D7C"/>
    <w:p w14:paraId="59CFB663" w14:textId="77777777" w:rsidR="001D7B75" w:rsidRPr="00217B25" w:rsidRDefault="001D7B75" w:rsidP="001D7B75">
      <w:pPr>
        <w:rPr>
          <w:i/>
          <w:iCs/>
          <w:szCs w:val="20"/>
        </w:rPr>
      </w:pPr>
      <w:r w:rsidRPr="00217B25">
        <w:rPr>
          <w:i/>
          <w:iCs/>
          <w:szCs w:val="20"/>
        </w:rPr>
        <w:t>This measure is reported to identify how meter data is collected and how often when telemetry is not being used. Data owner/sources: Basin jurisdictions</w:t>
      </w:r>
    </w:p>
    <w:p w14:paraId="1094E9AE" w14:textId="77777777" w:rsidR="001D7B75" w:rsidRDefault="001D7B75" w:rsidP="001D7B75">
      <w:pPr>
        <w:pStyle w:val="Heading3"/>
        <w:rPr>
          <w:sz w:val="24"/>
          <w:szCs w:val="24"/>
        </w:rPr>
      </w:pPr>
      <w:r w:rsidRPr="00B97D13">
        <w:rPr>
          <w:sz w:val="24"/>
          <w:szCs w:val="24"/>
        </w:rPr>
        <w:t>NSW provided narrative</w:t>
      </w:r>
    </w:p>
    <w:p w14:paraId="3BD57966" w14:textId="77777777" w:rsidR="001D7B75" w:rsidRPr="00050FB7" w:rsidRDefault="001D7B75" w:rsidP="001D7B75">
      <w:r w:rsidRPr="00050FB7">
        <w:t>Metering requirements were introduced in NSW in the early 1980s for regulated rivers and in 2003 for</w:t>
      </w:r>
      <w:r>
        <w:t xml:space="preserve"> </w:t>
      </w:r>
      <w:r w:rsidRPr="00050FB7">
        <w:t>major inland alluvial groundwater sources.</w:t>
      </w:r>
    </w:p>
    <w:p w14:paraId="079F18F2" w14:textId="77777777" w:rsidR="001D7B75" w:rsidRPr="00050FB7" w:rsidRDefault="001D7B75" w:rsidP="001D7B75">
      <w:r w:rsidRPr="00050FB7">
        <w:t>In December 2018, the NSW Government introduced a new non-urban water metering framework to</w:t>
      </w:r>
      <w:r>
        <w:t xml:space="preserve"> </w:t>
      </w:r>
      <w:r w:rsidRPr="00050FB7">
        <w:t>ensure robust and fair water management across the state. The framework requires all water supply</w:t>
      </w:r>
      <w:r>
        <w:t xml:space="preserve"> </w:t>
      </w:r>
      <w:r w:rsidRPr="00050FB7">
        <w:t>works to have metering equipment that complies with the Australian Standard (AS4747), unless an</w:t>
      </w:r>
      <w:r>
        <w:t xml:space="preserve"> </w:t>
      </w:r>
      <w:r w:rsidRPr="00050FB7">
        <w:t>exemption applies. Existing meters can be retained provided they are validated as accurate to AS4747</w:t>
      </w:r>
      <w:r>
        <w:t xml:space="preserve"> </w:t>
      </w:r>
      <w:r w:rsidRPr="00050FB7">
        <w:t>requirements (+/-5% field accuracy).</w:t>
      </w:r>
    </w:p>
    <w:p w14:paraId="7D8CBC0D" w14:textId="77777777" w:rsidR="001D7B75" w:rsidRPr="00050FB7" w:rsidRDefault="001D7B75" w:rsidP="001D7B75">
      <w:r w:rsidRPr="00050FB7">
        <w:t>The new water metering framework has been rolled out in 4 stages, commencing 2020 and planned to</w:t>
      </w:r>
      <w:r>
        <w:t xml:space="preserve"> </w:t>
      </w:r>
      <w:r w:rsidRPr="00050FB7">
        <w:t xml:space="preserve">finish in 2024. The purpose of the staged approach is to ensure all water </w:t>
      </w:r>
      <w:r w:rsidRPr="00050FB7">
        <w:lastRenderedPageBreak/>
        <w:t>users have enough time to</w:t>
      </w:r>
      <w:r>
        <w:t xml:space="preserve"> </w:t>
      </w:r>
      <w:r w:rsidRPr="00050FB7">
        <w:t>comply with the new rules and the focus is on the highest risk categories first. For this report period,</w:t>
      </w:r>
      <w:r>
        <w:t xml:space="preserve"> </w:t>
      </w:r>
      <w:r w:rsidRPr="00050FB7">
        <w:t>the new water metering framework has commenced for all areas in the Murray-Darling Basin.</w:t>
      </w:r>
    </w:p>
    <w:p w14:paraId="1B172B25" w14:textId="77777777" w:rsidR="001D7B75" w:rsidRPr="00050FB7" w:rsidRDefault="001D7B75" w:rsidP="001D7B75">
      <w:r w:rsidRPr="00050FB7">
        <w:t>For the volume of water take, metered usage data was used where available, and entitlement was used</w:t>
      </w:r>
      <w:r>
        <w:t xml:space="preserve"> </w:t>
      </w:r>
      <w:r w:rsidRPr="00050FB7">
        <w:t>where metered usage data was not available. The volume of metered water take has increased over the</w:t>
      </w:r>
      <w:r>
        <w:t xml:space="preserve"> </w:t>
      </w:r>
      <w:r w:rsidRPr="00050FB7">
        <w:t>reporting period, as has the count of AS4747 meters and telemetry as NSW has continued the roll out of</w:t>
      </w:r>
      <w:r>
        <w:t xml:space="preserve"> t</w:t>
      </w:r>
      <w:r w:rsidRPr="00050FB7">
        <w:t>he new water metering framework.</w:t>
      </w:r>
    </w:p>
    <w:p w14:paraId="62DEFDFC" w14:textId="77777777" w:rsidR="001D7B75" w:rsidRPr="00050FB7" w:rsidRDefault="001D7B75" w:rsidP="001D7B75">
      <w:r w:rsidRPr="00050FB7">
        <w:t>While the meter and telemetry rate has continued to increase, rates are still considered to be too low.</w:t>
      </w:r>
      <w:r>
        <w:t xml:space="preserve"> </w:t>
      </w:r>
      <w:r w:rsidRPr="00050FB7">
        <w:t>The NSW Government has recently completed its review of the non-urban metering framework and has</w:t>
      </w:r>
      <w:r>
        <w:t xml:space="preserve"> </w:t>
      </w:r>
      <w:r w:rsidRPr="00050FB7">
        <w:t>released the ‘Recommendations report – Review of the NSW non-urban metering framework’.</w:t>
      </w:r>
    </w:p>
    <w:p w14:paraId="1FC29AB2" w14:textId="77777777" w:rsidR="001D7B75" w:rsidRDefault="001D7B75" w:rsidP="001D7B75">
      <w:r w:rsidRPr="00050FB7">
        <w:t>The recommendations from the report will assist in speeding up implementation by making it quicker,</w:t>
      </w:r>
      <w:r>
        <w:t xml:space="preserve"> </w:t>
      </w:r>
      <w:r w:rsidRPr="00050FB7">
        <w:t>easier and cheaper for many water users to comply with the non-urban metering rules. Over the next</w:t>
      </w:r>
      <w:r>
        <w:t xml:space="preserve"> </w:t>
      </w:r>
      <w:r w:rsidRPr="00050FB7">
        <w:t>12 months, the most important actions to accelerate compliance will be prioritised. These priorities will</w:t>
      </w:r>
      <w:r>
        <w:t xml:space="preserve"> </w:t>
      </w:r>
      <w:r w:rsidRPr="00050FB7">
        <w:t>be reviewed and updated yearly in response to performance data and feedback from stakeholders.</w:t>
      </w:r>
    </w:p>
    <w:p w14:paraId="07B55298" w14:textId="77777777" w:rsidR="001D7B75" w:rsidRDefault="001D7B75" w:rsidP="001D7B75"/>
    <w:p w14:paraId="522E3FF9" w14:textId="77777777" w:rsidR="001D7B75" w:rsidRDefault="001D7B75" w:rsidP="001D7B75"/>
    <w:p w14:paraId="53591A7C" w14:textId="77777777" w:rsidR="001D7B75" w:rsidRDefault="001D7B75" w:rsidP="001D7B75"/>
    <w:p w14:paraId="1C59D786" w14:textId="77777777" w:rsidR="001D7B75" w:rsidRDefault="001D7B75" w:rsidP="001D7B75"/>
    <w:p w14:paraId="3DADE64E" w14:textId="77777777" w:rsidR="001D7B75" w:rsidRDefault="001D7B75" w:rsidP="001D7B75"/>
    <w:p w14:paraId="536901C5" w14:textId="77777777" w:rsidR="001D7B75" w:rsidRDefault="001D7B75" w:rsidP="001D7B75"/>
    <w:p w14:paraId="7E75CEAF" w14:textId="77777777" w:rsidR="001D7B75" w:rsidRDefault="001D7B75" w:rsidP="001D7B75"/>
    <w:p w14:paraId="088713E7" w14:textId="77777777" w:rsidR="001D7B75" w:rsidRDefault="001D7B75" w:rsidP="001D7B75"/>
    <w:p w14:paraId="41133001" w14:textId="77777777" w:rsidR="001D7B75" w:rsidRDefault="001D7B75" w:rsidP="001D7B75"/>
    <w:p w14:paraId="18255ADA" w14:textId="77777777" w:rsidR="001D7B75" w:rsidRDefault="001D7B75" w:rsidP="001D7B75"/>
    <w:p w14:paraId="6C1B116B" w14:textId="77777777" w:rsidR="001D7B75" w:rsidRDefault="001D7B75" w:rsidP="001D7B75"/>
    <w:p w14:paraId="657826DC" w14:textId="77777777" w:rsidR="001D7B75" w:rsidRDefault="001D7B75" w:rsidP="001D7B75"/>
    <w:p w14:paraId="4D77C2D4" w14:textId="77777777" w:rsidR="001D7B75" w:rsidRDefault="001D7B75" w:rsidP="001D7B75"/>
    <w:p w14:paraId="067A10FE" w14:textId="77777777" w:rsidR="001D7B75" w:rsidRDefault="001D7B75" w:rsidP="001D7B75"/>
    <w:p w14:paraId="13EA88D0" w14:textId="77777777" w:rsidR="001D7B75" w:rsidRDefault="001D7B75" w:rsidP="001D7B75"/>
    <w:p w14:paraId="278F514E" w14:textId="77777777" w:rsidR="001D7B75" w:rsidRDefault="001D7B75" w:rsidP="001D7B75"/>
    <w:p w14:paraId="402EEA96" w14:textId="77777777" w:rsidR="001D7B75" w:rsidRDefault="001D7B75" w:rsidP="001D7B75"/>
    <w:p w14:paraId="62EA60BF" w14:textId="77777777" w:rsidR="001D7B75" w:rsidRDefault="001D7B75" w:rsidP="001D7B75"/>
    <w:p w14:paraId="548E5A93" w14:textId="77777777" w:rsidR="001D7B75" w:rsidRDefault="001D7B75" w:rsidP="001D7B75"/>
    <w:p w14:paraId="65EFAD72" w14:textId="65E8A945" w:rsidR="000D0B17" w:rsidRDefault="001D7B75" w:rsidP="003F7194">
      <w:pPr>
        <w:rPr>
          <w:i/>
          <w:iCs/>
          <w:szCs w:val="20"/>
        </w:rPr>
      </w:pPr>
      <w:r w:rsidRPr="00AC2D25">
        <w:rPr>
          <w:i/>
          <w:iCs/>
          <w:szCs w:val="20"/>
        </w:rPr>
        <w:t>The IGWC makes no claim as to the accuracy of the data shown on this page. Data and state overview is collated and supplied directly from the state</w:t>
      </w:r>
    </w:p>
    <w:p w14:paraId="67D1F938" w14:textId="77777777" w:rsidR="00586DD5" w:rsidRDefault="00586DD5" w:rsidP="00586DD5">
      <w:pPr>
        <w:pStyle w:val="Heading3"/>
      </w:pPr>
      <w:r>
        <w:lastRenderedPageBreak/>
        <w:t>Murray-Darling Basin Queensland Metering Report Card</w:t>
      </w:r>
    </w:p>
    <w:p w14:paraId="7D52D5CC" w14:textId="77777777" w:rsidR="00586DD5" w:rsidRPr="0036604B" w:rsidRDefault="00586DD5" w:rsidP="00586DD5">
      <w:pPr>
        <w:pStyle w:val="Heading3"/>
        <w:rPr>
          <w:b w:val="0"/>
          <w:bCs/>
          <w:sz w:val="22"/>
        </w:rPr>
      </w:pPr>
      <w:r w:rsidRPr="0036604B">
        <w:rPr>
          <w:b w:val="0"/>
          <w:bCs/>
          <w:sz w:val="22"/>
        </w:rPr>
        <w:t>1 July 2023 – 30 June 2024. Progress from 2022-23 metering report card indicated in brackets</w:t>
      </w:r>
    </w:p>
    <w:p w14:paraId="0F9F4025" w14:textId="52147C8D" w:rsidR="00535C82" w:rsidRPr="000A545D" w:rsidRDefault="00535C82" w:rsidP="00535C82">
      <w:pPr>
        <w:pStyle w:val="TableHeading"/>
        <w:rPr>
          <w:b/>
          <w:bCs/>
          <w:w w:val="110"/>
        </w:rPr>
      </w:pPr>
      <w:r w:rsidRPr="000A545D">
        <w:rPr>
          <w:b/>
          <w:bCs/>
        </w:rPr>
        <w:t>Table 1</w:t>
      </w:r>
      <w:r w:rsidR="005216F6">
        <w:rPr>
          <w:b/>
          <w:bCs/>
        </w:rPr>
        <w:t>6</w:t>
      </w:r>
      <w:r w:rsidRPr="000A545D">
        <w:rPr>
          <w:b/>
          <w:bCs/>
        </w:rPr>
        <w:t xml:space="preserve">. </w:t>
      </w:r>
      <w:r w:rsidRPr="000A545D">
        <w:rPr>
          <w:b/>
          <w:bCs/>
          <w:w w:val="110"/>
        </w:rPr>
        <w:t>Percentage of water take metered in Queensland</w:t>
      </w:r>
    </w:p>
    <w:tbl>
      <w:tblPr>
        <w:tblStyle w:val="TableGridLight"/>
        <w:tblW w:w="5387" w:type="dxa"/>
        <w:tblLook w:val="04A0" w:firstRow="1" w:lastRow="0" w:firstColumn="1" w:lastColumn="0" w:noHBand="0" w:noVBand="1"/>
      </w:tblPr>
      <w:tblGrid>
        <w:gridCol w:w="3544"/>
        <w:gridCol w:w="1843"/>
      </w:tblGrid>
      <w:tr w:rsidR="00535C82" w14:paraId="40EF383C" w14:textId="77777777" w:rsidTr="009A381D">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6B6C8CC7" w14:textId="77777777" w:rsidR="00535C82" w:rsidRPr="000A545D" w:rsidRDefault="00535C82" w:rsidP="009A381D">
            <w:pPr>
              <w:pStyle w:val="TableText"/>
            </w:pPr>
            <w:r w:rsidRPr="000A545D">
              <w:t xml:space="preserve">Metered water </w:t>
            </w:r>
            <w:proofErr w:type="gramStart"/>
            <w:r w:rsidRPr="000A545D">
              <w:t>take</w:t>
            </w:r>
            <w:proofErr w:type="gramEnd"/>
          </w:p>
        </w:tc>
        <w:tc>
          <w:tcPr>
            <w:tcW w:w="1843" w:type="dxa"/>
            <w:shd w:val="clear" w:color="auto" w:fill="auto"/>
          </w:tcPr>
          <w:p w14:paraId="3E61971E" w14:textId="7AAB8AD7" w:rsidR="00535C82" w:rsidRPr="000A545D" w:rsidRDefault="00535C82" w:rsidP="009A381D">
            <w:pPr>
              <w:pStyle w:val="TableText"/>
            </w:pPr>
            <w:r>
              <w:t>68</w:t>
            </w:r>
            <w:r w:rsidRPr="000A545D">
              <w:t>%</w:t>
            </w:r>
          </w:p>
        </w:tc>
      </w:tr>
      <w:tr w:rsidR="00535C82" w14:paraId="3346AF1F" w14:textId="77777777" w:rsidTr="009A381D">
        <w:tc>
          <w:tcPr>
            <w:tcW w:w="3544" w:type="dxa"/>
          </w:tcPr>
          <w:p w14:paraId="7D411123" w14:textId="11E3BD89" w:rsidR="00535C82" w:rsidRPr="000A545D" w:rsidRDefault="00535C82" w:rsidP="009A381D">
            <w:pPr>
              <w:pStyle w:val="TableText"/>
            </w:pPr>
            <w:r>
              <w:t>Unmetered</w:t>
            </w:r>
            <w:r w:rsidRPr="000A545D">
              <w:t xml:space="preserve"> take</w:t>
            </w:r>
          </w:p>
        </w:tc>
        <w:tc>
          <w:tcPr>
            <w:tcW w:w="1843" w:type="dxa"/>
          </w:tcPr>
          <w:p w14:paraId="443B555D" w14:textId="7B784EA6" w:rsidR="00535C82" w:rsidRPr="000A545D" w:rsidRDefault="00535C82" w:rsidP="009A381D">
            <w:pPr>
              <w:pStyle w:val="TableText"/>
            </w:pPr>
            <w:r>
              <w:t>32</w:t>
            </w:r>
            <w:r w:rsidRPr="000A545D">
              <w:t>%</w:t>
            </w:r>
          </w:p>
        </w:tc>
      </w:tr>
    </w:tbl>
    <w:p w14:paraId="46CB4D4F" w14:textId="77777777" w:rsidR="003F7194" w:rsidRPr="003F7194" w:rsidRDefault="003F7194" w:rsidP="003F7194">
      <w:pPr>
        <w:rPr>
          <w:i/>
          <w:iCs/>
          <w:szCs w:val="20"/>
        </w:rPr>
      </w:pPr>
    </w:p>
    <w:p w14:paraId="47A44E6B" w14:textId="77777777" w:rsidR="00365D02" w:rsidRPr="00217B25" w:rsidRDefault="00365D02" w:rsidP="00365D02">
      <w:pPr>
        <w:tabs>
          <w:tab w:val="left" w:pos="1683"/>
        </w:tabs>
        <w:rPr>
          <w:i/>
          <w:iCs/>
          <w:szCs w:val="20"/>
        </w:rPr>
      </w:pPr>
      <w:r w:rsidRPr="00217B25">
        <w:rPr>
          <w:i/>
          <w:iCs/>
          <w:szCs w:val="20"/>
        </w:rPr>
        <w:t xml:space="preserve">This measure is reported to highlight percentage of </w:t>
      </w:r>
      <w:r>
        <w:rPr>
          <w:i/>
          <w:iCs/>
          <w:szCs w:val="20"/>
        </w:rPr>
        <w:t xml:space="preserve">actual, </w:t>
      </w:r>
      <w:r w:rsidRPr="00217B25">
        <w:rPr>
          <w:i/>
          <w:iCs/>
          <w:szCs w:val="20"/>
        </w:rPr>
        <w:t>meterable water take across the Murray-Darling Basin by each State that is metered. As this metric is influenced by water user behaviour, year-on-year change is not displayed in brackets. Please note, for Queensland the proportion of unmetered water take also includes take that is exempt from metering requirements. Data owner/sources: Basin jurisdictions</w:t>
      </w:r>
    </w:p>
    <w:p w14:paraId="6C397843" w14:textId="16BDE8D3" w:rsidR="009F01C5" w:rsidRPr="000A545D" w:rsidRDefault="009F01C5" w:rsidP="009F01C5">
      <w:pPr>
        <w:pStyle w:val="TableHeading"/>
        <w:rPr>
          <w:b/>
          <w:bCs/>
          <w:w w:val="110"/>
        </w:rPr>
      </w:pPr>
      <w:r w:rsidRPr="000A545D">
        <w:rPr>
          <w:b/>
          <w:bCs/>
        </w:rPr>
        <w:t>Table 1</w:t>
      </w:r>
      <w:r w:rsidR="005216F6">
        <w:rPr>
          <w:b/>
          <w:bCs/>
        </w:rPr>
        <w:t>7</w:t>
      </w:r>
      <w:r w:rsidRPr="000A545D">
        <w:rPr>
          <w:b/>
          <w:bCs/>
        </w:rPr>
        <w:t xml:space="preserve">. </w:t>
      </w:r>
      <w:r w:rsidRPr="000A545D">
        <w:rPr>
          <w:b/>
          <w:bCs/>
          <w:w w:val="110"/>
        </w:rPr>
        <w:t>Metering accuracy in Queensland</w:t>
      </w:r>
    </w:p>
    <w:tbl>
      <w:tblPr>
        <w:tblStyle w:val="TableGridLight"/>
        <w:tblW w:w="5670" w:type="dxa"/>
        <w:tblLook w:val="04A0" w:firstRow="1" w:lastRow="0" w:firstColumn="1" w:lastColumn="0" w:noHBand="0" w:noVBand="1"/>
      </w:tblPr>
      <w:tblGrid>
        <w:gridCol w:w="3544"/>
        <w:gridCol w:w="2126"/>
      </w:tblGrid>
      <w:tr w:rsidR="009F01C5" w14:paraId="12044F8E" w14:textId="77777777" w:rsidTr="009A381D">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73C78D7C" w14:textId="77777777" w:rsidR="009F01C5" w:rsidRDefault="009F01C5" w:rsidP="009A381D">
            <w:pPr>
              <w:pStyle w:val="TableText"/>
            </w:pPr>
            <w:r>
              <w:t>AS4747 meters</w:t>
            </w:r>
          </w:p>
        </w:tc>
        <w:tc>
          <w:tcPr>
            <w:tcW w:w="2126" w:type="dxa"/>
            <w:shd w:val="clear" w:color="auto" w:fill="auto"/>
          </w:tcPr>
          <w:p w14:paraId="498BC4A8" w14:textId="3D90277B" w:rsidR="009F01C5" w:rsidRDefault="00DB43FA" w:rsidP="009A381D">
            <w:pPr>
              <w:pStyle w:val="TableText"/>
              <w:rPr>
                <w:w w:val="115"/>
              </w:rPr>
            </w:pPr>
            <w:r>
              <w:t>32.5</w:t>
            </w:r>
            <w:r w:rsidR="009F01C5">
              <w:t>% (+1</w:t>
            </w:r>
            <w:r w:rsidR="005F459F">
              <w:t>4.5</w:t>
            </w:r>
            <w:r w:rsidR="009F01C5">
              <w:t>%)</w:t>
            </w:r>
          </w:p>
        </w:tc>
      </w:tr>
      <w:tr w:rsidR="009F01C5" w14:paraId="065411EC" w14:textId="77777777" w:rsidTr="009A381D">
        <w:tc>
          <w:tcPr>
            <w:tcW w:w="3544" w:type="dxa"/>
          </w:tcPr>
          <w:p w14:paraId="4A6CAAFD" w14:textId="77777777" w:rsidR="009F01C5" w:rsidRDefault="009F01C5" w:rsidP="009A381D">
            <w:pPr>
              <w:pStyle w:val="TableText"/>
            </w:pPr>
            <w:r>
              <w:t>Grandfathered meters</w:t>
            </w:r>
          </w:p>
        </w:tc>
        <w:tc>
          <w:tcPr>
            <w:tcW w:w="2126" w:type="dxa"/>
          </w:tcPr>
          <w:p w14:paraId="45E892C9" w14:textId="6CF96C2F" w:rsidR="009F01C5" w:rsidRDefault="003C5697" w:rsidP="009A381D">
            <w:pPr>
              <w:pStyle w:val="TableText"/>
              <w:rPr>
                <w:w w:val="115"/>
              </w:rPr>
            </w:pPr>
            <w:r>
              <w:t>36.3</w:t>
            </w:r>
            <w:r w:rsidR="009F01C5">
              <w:t>%</w:t>
            </w:r>
            <w:r>
              <w:t xml:space="preserve"> (+36.3%)</w:t>
            </w:r>
          </w:p>
        </w:tc>
      </w:tr>
      <w:tr w:rsidR="009F01C5" w14:paraId="5A4C22A7" w14:textId="77777777" w:rsidTr="009A381D">
        <w:tc>
          <w:tcPr>
            <w:tcW w:w="3544" w:type="dxa"/>
          </w:tcPr>
          <w:p w14:paraId="62404999" w14:textId="77777777" w:rsidR="009F01C5" w:rsidRDefault="009F01C5" w:rsidP="009A381D">
            <w:pPr>
              <w:pStyle w:val="TableText"/>
            </w:pPr>
            <w:r>
              <w:t>All other meters</w:t>
            </w:r>
          </w:p>
        </w:tc>
        <w:tc>
          <w:tcPr>
            <w:tcW w:w="2126" w:type="dxa"/>
          </w:tcPr>
          <w:p w14:paraId="57545BA1" w14:textId="06BC79FC" w:rsidR="009F01C5" w:rsidRDefault="00BE7681" w:rsidP="009A381D">
            <w:pPr>
              <w:pStyle w:val="TableText"/>
              <w:rPr>
                <w:w w:val="115"/>
              </w:rPr>
            </w:pPr>
            <w:r>
              <w:t>31.5</w:t>
            </w:r>
            <w:r w:rsidR="009F01C5">
              <w:t>%</w:t>
            </w:r>
          </w:p>
        </w:tc>
      </w:tr>
    </w:tbl>
    <w:p w14:paraId="7674CA7B" w14:textId="77777777" w:rsidR="000D0B17" w:rsidRDefault="000D0B17" w:rsidP="00352403">
      <w:pPr>
        <w:pStyle w:val="Heading3"/>
      </w:pPr>
    </w:p>
    <w:p w14:paraId="0D0AF0F2" w14:textId="51FD7477" w:rsidR="000D0B17" w:rsidRDefault="008141D1" w:rsidP="008141D1">
      <w:pPr>
        <w:rPr>
          <w:i/>
          <w:iCs/>
        </w:rPr>
      </w:pPr>
      <w:r w:rsidRPr="008141D1">
        <w:rPr>
          <w:i/>
          <w:iCs/>
        </w:rPr>
        <w:t>This measure is reported to understand the percentages of meters that comply with the State’s metering policy and are therefore deemed accurate (including AS4747 and grandfathered meters). The percentage of AS4747 meters in the measure is intended to show progress Basin States are making in the rollout of AS4747 metering. Please note that the ‘all other meters’ category may include meters that are not required to be AS4747 compliant or grandfathered. Data owner/sources: Basin jurisdictions</w:t>
      </w:r>
    </w:p>
    <w:p w14:paraId="356C34F9" w14:textId="373064D9" w:rsidR="004A59C4" w:rsidRPr="003270E8" w:rsidRDefault="003270E8" w:rsidP="003270E8">
      <w:pPr>
        <w:pStyle w:val="TableHeading"/>
        <w:rPr>
          <w:b/>
          <w:bCs/>
          <w:w w:val="110"/>
        </w:rPr>
      </w:pPr>
      <w:r w:rsidRPr="000A545D">
        <w:rPr>
          <w:b/>
          <w:bCs/>
        </w:rPr>
        <w:t>Table 1</w:t>
      </w:r>
      <w:r w:rsidR="005216F6">
        <w:rPr>
          <w:b/>
          <w:bCs/>
        </w:rPr>
        <w:t>8</w:t>
      </w:r>
      <w:r w:rsidRPr="000A545D">
        <w:rPr>
          <w:b/>
          <w:bCs/>
        </w:rPr>
        <w:t xml:space="preserve">. </w:t>
      </w:r>
      <w:r w:rsidRPr="000A545D">
        <w:rPr>
          <w:b/>
          <w:bCs/>
          <w:w w:val="110"/>
        </w:rPr>
        <w:t>Telemetry coverage</w:t>
      </w:r>
    </w:p>
    <w:tbl>
      <w:tblPr>
        <w:tblStyle w:val="TableGridLight"/>
        <w:tblW w:w="9639" w:type="dxa"/>
        <w:tblLook w:val="04A0" w:firstRow="1" w:lastRow="0" w:firstColumn="1" w:lastColumn="0" w:noHBand="0" w:noVBand="1"/>
      </w:tblPr>
      <w:tblGrid>
        <w:gridCol w:w="7371"/>
        <w:gridCol w:w="2268"/>
      </w:tblGrid>
      <w:tr w:rsidR="004A59C4" w14:paraId="1B25B6BB" w14:textId="77777777" w:rsidTr="009A381D">
        <w:trPr>
          <w:cnfStyle w:val="100000000000" w:firstRow="1" w:lastRow="0" w:firstColumn="0" w:lastColumn="0" w:oddVBand="0" w:evenVBand="0" w:oddHBand="0" w:evenHBand="0" w:firstRowFirstColumn="0" w:firstRowLastColumn="0" w:lastRowFirstColumn="0" w:lastRowLastColumn="0"/>
        </w:trPr>
        <w:tc>
          <w:tcPr>
            <w:tcW w:w="7371" w:type="dxa"/>
            <w:shd w:val="clear" w:color="auto" w:fill="auto"/>
          </w:tcPr>
          <w:p w14:paraId="0CA29FBA" w14:textId="77777777" w:rsidR="004A59C4" w:rsidRDefault="004A59C4" w:rsidP="009A381D">
            <w:pPr>
              <w:pStyle w:val="TableText"/>
            </w:pPr>
            <w:r>
              <w:t>Meter % with telemetry connected to the regulator’s data collection system</w:t>
            </w:r>
          </w:p>
        </w:tc>
        <w:tc>
          <w:tcPr>
            <w:tcW w:w="2268" w:type="dxa"/>
            <w:shd w:val="clear" w:color="auto" w:fill="auto"/>
          </w:tcPr>
          <w:p w14:paraId="55D6591E" w14:textId="5E95B6EE" w:rsidR="004A59C4" w:rsidRDefault="009147A6" w:rsidP="009A381D">
            <w:pPr>
              <w:pStyle w:val="TableText"/>
              <w:rPr>
                <w:w w:val="115"/>
              </w:rPr>
            </w:pPr>
            <w:r>
              <w:t>3</w:t>
            </w:r>
            <w:r w:rsidR="004A59C4">
              <w:t>%</w:t>
            </w:r>
            <w:r>
              <w:t xml:space="preserve"> (+3%)</w:t>
            </w:r>
          </w:p>
        </w:tc>
      </w:tr>
      <w:tr w:rsidR="004A59C4" w14:paraId="6831E09F" w14:textId="77777777" w:rsidTr="009A381D">
        <w:tc>
          <w:tcPr>
            <w:tcW w:w="7371" w:type="dxa"/>
          </w:tcPr>
          <w:p w14:paraId="10DFEDD1" w14:textId="77777777" w:rsidR="004A59C4" w:rsidRDefault="004A59C4" w:rsidP="009A381D">
            <w:pPr>
              <w:pStyle w:val="TableText"/>
            </w:pPr>
            <w:r>
              <w:t>Meter % required to have telemetry connected to the regulator’s data collection system, but which are not connected</w:t>
            </w:r>
          </w:p>
        </w:tc>
        <w:tc>
          <w:tcPr>
            <w:tcW w:w="2268" w:type="dxa"/>
          </w:tcPr>
          <w:p w14:paraId="79B32225" w14:textId="6A1E535A" w:rsidR="004A59C4" w:rsidRDefault="009147A6" w:rsidP="009A381D">
            <w:pPr>
              <w:pStyle w:val="TableText"/>
              <w:rPr>
                <w:w w:val="115"/>
              </w:rPr>
            </w:pPr>
            <w:r>
              <w:t>45</w:t>
            </w:r>
            <w:r w:rsidR="004A59C4">
              <w:t>%</w:t>
            </w:r>
          </w:p>
        </w:tc>
      </w:tr>
      <w:tr w:rsidR="004A59C4" w14:paraId="0095A23E" w14:textId="77777777" w:rsidTr="009A381D">
        <w:tc>
          <w:tcPr>
            <w:tcW w:w="7371" w:type="dxa"/>
          </w:tcPr>
          <w:p w14:paraId="5C832547" w14:textId="77777777" w:rsidR="004A59C4" w:rsidRDefault="004A59C4" w:rsidP="009A381D">
            <w:pPr>
              <w:pStyle w:val="TableText"/>
            </w:pPr>
            <w:r>
              <w:t>Meter % with telemetry not required</w:t>
            </w:r>
          </w:p>
        </w:tc>
        <w:tc>
          <w:tcPr>
            <w:tcW w:w="2268" w:type="dxa"/>
          </w:tcPr>
          <w:p w14:paraId="2E39F5C0" w14:textId="44803413" w:rsidR="004A59C4" w:rsidRDefault="009147A6" w:rsidP="009A381D">
            <w:pPr>
              <w:pStyle w:val="TableText"/>
              <w:rPr>
                <w:w w:val="115"/>
              </w:rPr>
            </w:pPr>
            <w:r>
              <w:t>52</w:t>
            </w:r>
            <w:r w:rsidR="004A59C4">
              <w:t>%</w:t>
            </w:r>
          </w:p>
        </w:tc>
      </w:tr>
    </w:tbl>
    <w:p w14:paraId="4C5FA751" w14:textId="77777777" w:rsidR="004A59C4" w:rsidRDefault="004A59C4" w:rsidP="008141D1">
      <w:pPr>
        <w:rPr>
          <w:i/>
          <w:iCs/>
        </w:rPr>
      </w:pPr>
    </w:p>
    <w:p w14:paraId="3C8277C8" w14:textId="77777777" w:rsidR="00DE6F06" w:rsidRPr="00217B25" w:rsidRDefault="00DE6F06" w:rsidP="00DE6F06">
      <w:pPr>
        <w:rPr>
          <w:i/>
          <w:iCs/>
          <w:szCs w:val="20"/>
        </w:rPr>
      </w:pPr>
      <w:r w:rsidRPr="00217B25">
        <w:rPr>
          <w:i/>
          <w:iCs/>
          <w:szCs w:val="20"/>
        </w:rPr>
        <w:t>This measure is reported to identify the percentage of meters with telemetry connected to the Basin jurisdiction’s data system. Data owner/sources: Basin jurisdictions</w:t>
      </w:r>
    </w:p>
    <w:p w14:paraId="4A6A6759" w14:textId="77777777" w:rsidR="00120C3B" w:rsidRPr="00BE74BB" w:rsidRDefault="00120C3B" w:rsidP="00120C3B">
      <w:pPr>
        <w:pStyle w:val="Heading4"/>
        <w:rPr>
          <w:b/>
          <w:bCs/>
        </w:rPr>
      </w:pPr>
      <w:r w:rsidRPr="00BE74BB">
        <w:rPr>
          <w:b/>
          <w:bCs/>
        </w:rPr>
        <w:t>How is meter data collected where telemetry is not used</w:t>
      </w:r>
    </w:p>
    <w:p w14:paraId="61029E5E" w14:textId="3C1A4441" w:rsidR="00DE6F06" w:rsidRDefault="00576C42" w:rsidP="008141D1">
      <w:pPr>
        <w:rPr>
          <w:i/>
          <w:iCs/>
        </w:rPr>
      </w:pPr>
      <w:proofErr w:type="spellStart"/>
      <w:r>
        <w:rPr>
          <w:i/>
          <w:iCs/>
        </w:rPr>
        <w:t>Self meter</w:t>
      </w:r>
      <w:proofErr w:type="spellEnd"/>
      <w:r>
        <w:rPr>
          <w:i/>
          <w:iCs/>
        </w:rPr>
        <w:t xml:space="preserve"> reads provided to the department at the following intervals:</w:t>
      </w:r>
    </w:p>
    <w:p w14:paraId="1ED54433" w14:textId="029DE3F0" w:rsidR="00576C42" w:rsidRDefault="004078A2" w:rsidP="00576C42">
      <w:pPr>
        <w:pStyle w:val="ListParagraph"/>
        <w:numPr>
          <w:ilvl w:val="0"/>
          <w:numId w:val="46"/>
        </w:numPr>
        <w:rPr>
          <w:i/>
          <w:iCs/>
        </w:rPr>
      </w:pPr>
      <w:r>
        <w:rPr>
          <w:i/>
          <w:iCs/>
        </w:rPr>
        <w:t>Groundwater meters read 6 monthly</w:t>
      </w:r>
    </w:p>
    <w:p w14:paraId="320E37E1" w14:textId="3D87DE7D" w:rsidR="004078A2" w:rsidRDefault="002607E4" w:rsidP="00576C42">
      <w:pPr>
        <w:pStyle w:val="ListParagraph"/>
        <w:numPr>
          <w:ilvl w:val="0"/>
          <w:numId w:val="46"/>
        </w:numPr>
        <w:rPr>
          <w:i/>
          <w:iCs/>
        </w:rPr>
      </w:pPr>
      <w:r>
        <w:rPr>
          <w:i/>
          <w:iCs/>
        </w:rPr>
        <w:t>Supplemented water meters read monthly or quarterly</w:t>
      </w:r>
    </w:p>
    <w:p w14:paraId="6751EBA2" w14:textId="0A6C5AD8" w:rsidR="002607E4" w:rsidRDefault="00CB5EEB" w:rsidP="00576C42">
      <w:pPr>
        <w:pStyle w:val="ListParagraph"/>
        <w:numPr>
          <w:ilvl w:val="0"/>
          <w:numId w:val="46"/>
        </w:numPr>
        <w:rPr>
          <w:i/>
          <w:iCs/>
        </w:rPr>
      </w:pPr>
      <w:proofErr w:type="spellStart"/>
      <w:r>
        <w:rPr>
          <w:i/>
          <w:iCs/>
        </w:rPr>
        <w:t>Un</w:t>
      </w:r>
      <w:r w:rsidR="000C07AB">
        <w:rPr>
          <w:i/>
          <w:iCs/>
        </w:rPr>
        <w:t>supplemented</w:t>
      </w:r>
      <w:proofErr w:type="spellEnd"/>
      <w:r w:rsidR="000C07AB">
        <w:rPr>
          <w:i/>
          <w:iCs/>
        </w:rPr>
        <w:t xml:space="preserve"> water meters read annually</w:t>
      </w:r>
    </w:p>
    <w:p w14:paraId="3D8635C6" w14:textId="29418AE8" w:rsidR="00534325" w:rsidRDefault="0010736A" w:rsidP="00534325">
      <w:pPr>
        <w:pStyle w:val="ListParagraph"/>
        <w:numPr>
          <w:ilvl w:val="0"/>
          <w:numId w:val="46"/>
        </w:numPr>
        <w:rPr>
          <w:i/>
          <w:iCs/>
        </w:rPr>
      </w:pPr>
      <w:r>
        <w:rPr>
          <w:i/>
          <w:iCs/>
        </w:rPr>
        <w:t xml:space="preserve">Overland flow </w:t>
      </w:r>
      <w:r w:rsidR="00D01DE2">
        <w:rPr>
          <w:i/>
          <w:iCs/>
        </w:rPr>
        <w:t xml:space="preserve">and water harvesting measured </w:t>
      </w:r>
      <w:r w:rsidR="00CB5EEB">
        <w:rPr>
          <w:i/>
          <w:iCs/>
        </w:rPr>
        <w:t>throughout take events</w:t>
      </w:r>
    </w:p>
    <w:p w14:paraId="60D13CDD" w14:textId="77777777" w:rsidR="00534325" w:rsidRPr="00217B25" w:rsidRDefault="00534325" w:rsidP="00534325">
      <w:pPr>
        <w:rPr>
          <w:i/>
          <w:iCs/>
          <w:szCs w:val="20"/>
        </w:rPr>
      </w:pPr>
      <w:r w:rsidRPr="00217B25">
        <w:rPr>
          <w:i/>
          <w:iCs/>
          <w:szCs w:val="20"/>
        </w:rPr>
        <w:lastRenderedPageBreak/>
        <w:t>This measure is reported to identify how meter data is collected and how often when telemetry is not being used. Data owner/sources: Basin jurisdictions</w:t>
      </w:r>
    </w:p>
    <w:p w14:paraId="5618D1C3" w14:textId="77777777" w:rsidR="00534325" w:rsidRPr="005A4BB4" w:rsidRDefault="00534325" w:rsidP="00534325">
      <w:pPr>
        <w:pStyle w:val="Heading3"/>
        <w:rPr>
          <w:sz w:val="24"/>
          <w:szCs w:val="24"/>
        </w:rPr>
      </w:pPr>
      <w:r w:rsidRPr="005A4BB4">
        <w:rPr>
          <w:sz w:val="24"/>
          <w:szCs w:val="24"/>
        </w:rPr>
        <w:t>Queensland provided narrative</w:t>
      </w:r>
    </w:p>
    <w:p w14:paraId="1133F9C3" w14:textId="77777777" w:rsidR="00534325" w:rsidRPr="00BD1267" w:rsidRDefault="00534325" w:rsidP="00534325">
      <w:r w:rsidRPr="00BD1267">
        <w:t>In 2023-24, Queensland (QLD) made significant progress implementing its non-urban water measurement</w:t>
      </w:r>
      <w:r>
        <w:t xml:space="preserve"> </w:t>
      </w:r>
      <w:r w:rsidRPr="00BD1267">
        <w:t>policy in the Queensland Murray-Darling Basin (QMDB). Legislation establishing the policy’s water</w:t>
      </w:r>
      <w:r>
        <w:t xml:space="preserve"> </w:t>
      </w:r>
      <w:r w:rsidRPr="00BD1267">
        <w:t>measurement framework was passed by the Queensland Parliament in September 2023. This legislation</w:t>
      </w:r>
      <w:r>
        <w:t xml:space="preserve"> </w:t>
      </w:r>
      <w:r w:rsidRPr="00BD1267">
        <w:t>along with complimentary amendments to Queensland’s water regulation to establish the operational</w:t>
      </w:r>
      <w:r>
        <w:t xml:space="preserve"> </w:t>
      </w:r>
      <w:r w:rsidRPr="00BD1267">
        <w:t>requirements for improved water measurement commenced in July 2024.</w:t>
      </w:r>
    </w:p>
    <w:p w14:paraId="1201721A" w14:textId="77777777" w:rsidR="00534325" w:rsidRPr="00BD1267" w:rsidRDefault="00534325" w:rsidP="00534325">
      <w:r w:rsidRPr="00BD1267">
        <w:t>Meter revalidation activities to ensure meters continue to meet Queensland’s water measurement</w:t>
      </w:r>
      <w:r>
        <w:t xml:space="preserve"> </w:t>
      </w:r>
      <w:r w:rsidRPr="00BD1267">
        <w:t>standards continued across the QMDB. Meter revalidations were completed in nine surface water and</w:t>
      </w:r>
      <w:r>
        <w:t xml:space="preserve"> </w:t>
      </w:r>
      <w:r w:rsidRPr="00BD1267">
        <w:t>underground water management areas across the Condamine and Balonne, Border Rivers and Moonie</w:t>
      </w:r>
      <w:r>
        <w:t xml:space="preserve"> </w:t>
      </w:r>
      <w:r w:rsidRPr="00BD1267">
        <w:t xml:space="preserve">and Warrego, Paroo, Bulloo and </w:t>
      </w:r>
      <w:proofErr w:type="spellStart"/>
      <w:r w:rsidRPr="00BD1267">
        <w:t>Nebine</w:t>
      </w:r>
      <w:proofErr w:type="spellEnd"/>
      <w:r w:rsidRPr="00BD1267">
        <w:t xml:space="preserve"> water plan areas. The next phase of revalidations commenced in</w:t>
      </w:r>
      <w:r>
        <w:t xml:space="preserve"> </w:t>
      </w:r>
      <w:r w:rsidRPr="00BD1267">
        <w:t>one underground water management area in the Border Rivers and Moonie water plan area in December</w:t>
      </w:r>
      <w:r>
        <w:t xml:space="preserve"> </w:t>
      </w:r>
      <w:r w:rsidRPr="00BD1267">
        <w:t>2023 and were due for completion by 30 November 2024.</w:t>
      </w:r>
    </w:p>
    <w:p w14:paraId="5C831521" w14:textId="77777777" w:rsidR="00534325" w:rsidRPr="00BD1267" w:rsidRDefault="00534325" w:rsidP="00534325">
      <w:r w:rsidRPr="00BD1267">
        <w:t>New metering activities also commenced in late 2023 in thirteen surface and underground water</w:t>
      </w:r>
      <w:r>
        <w:t xml:space="preserve"> </w:t>
      </w:r>
      <w:r w:rsidRPr="00BD1267">
        <w:t>management areas in parts of the Border Rivers and Moonie, and Condamine and Balonne water plan</w:t>
      </w:r>
      <w:r>
        <w:t xml:space="preserve"> </w:t>
      </w:r>
      <w:r w:rsidRPr="00BD1267">
        <w:t>areas, with meters required to be installed by October 2024 and April 2025 respectively.</w:t>
      </w:r>
    </w:p>
    <w:p w14:paraId="2BCE69FB" w14:textId="77777777" w:rsidR="00534325" w:rsidRDefault="00534325" w:rsidP="00534325">
      <w:r w:rsidRPr="00BD1267">
        <w:t>The installation of telemetry devices on surface water meters, in line with Queensland’s water</w:t>
      </w:r>
      <w:r>
        <w:t xml:space="preserve"> </w:t>
      </w:r>
      <w:r w:rsidRPr="00BD1267">
        <w:t>measurement policy, also commenced in six water management areas under Queensland’s Telemetry</w:t>
      </w:r>
      <w:r>
        <w:t xml:space="preserve"> </w:t>
      </w:r>
      <w:r w:rsidRPr="00BD1267">
        <w:t>Subsidy Program. This program fully subsidises the cost of supply, installation and one year of data for</w:t>
      </w:r>
      <w:r>
        <w:t xml:space="preserve"> </w:t>
      </w:r>
      <w:r w:rsidRPr="00BD1267">
        <w:t>each device and is supported by a combination of Australian and Queensland Government funding.</w:t>
      </w:r>
    </w:p>
    <w:p w14:paraId="28C4979B" w14:textId="77777777" w:rsidR="00534325" w:rsidRDefault="00534325" w:rsidP="00534325"/>
    <w:p w14:paraId="18F8CB7C" w14:textId="77777777" w:rsidR="00534325" w:rsidRDefault="00534325" w:rsidP="00534325"/>
    <w:p w14:paraId="59AB4CFE" w14:textId="77777777" w:rsidR="00170719" w:rsidRDefault="00170719" w:rsidP="00534325"/>
    <w:p w14:paraId="1D543ECE" w14:textId="77777777" w:rsidR="00170719" w:rsidRDefault="00170719" w:rsidP="00534325"/>
    <w:p w14:paraId="6F3287D3" w14:textId="77777777" w:rsidR="00170719" w:rsidRDefault="00170719" w:rsidP="00534325"/>
    <w:p w14:paraId="6B3D159F" w14:textId="77777777" w:rsidR="00170719" w:rsidRDefault="00170719" w:rsidP="00534325"/>
    <w:p w14:paraId="6397B93E" w14:textId="77777777" w:rsidR="00170719" w:rsidRDefault="00170719" w:rsidP="00534325"/>
    <w:p w14:paraId="7CF2FFC0" w14:textId="77777777" w:rsidR="00170719" w:rsidRDefault="00170719" w:rsidP="00534325"/>
    <w:p w14:paraId="6C11282F" w14:textId="77777777" w:rsidR="00170719" w:rsidRDefault="00170719" w:rsidP="00534325"/>
    <w:p w14:paraId="45DF89AD" w14:textId="77777777" w:rsidR="00170719" w:rsidRDefault="00170719" w:rsidP="00534325"/>
    <w:p w14:paraId="5670C34A" w14:textId="77777777" w:rsidR="00170719" w:rsidRDefault="00170719" w:rsidP="00534325"/>
    <w:p w14:paraId="1B8ABAED" w14:textId="77777777" w:rsidR="00170719" w:rsidRDefault="00170719" w:rsidP="00534325"/>
    <w:p w14:paraId="7614724D" w14:textId="77777777" w:rsidR="00170719" w:rsidRDefault="00170719" w:rsidP="00534325"/>
    <w:p w14:paraId="1BA3140A" w14:textId="77777777" w:rsidR="00534325" w:rsidRDefault="00534325" w:rsidP="00534325"/>
    <w:p w14:paraId="5A447BC1" w14:textId="77777777" w:rsidR="00534325" w:rsidRDefault="00534325" w:rsidP="00534325">
      <w:pPr>
        <w:rPr>
          <w:i/>
          <w:iCs/>
          <w:szCs w:val="20"/>
        </w:rPr>
      </w:pPr>
      <w:r w:rsidRPr="00EE0886">
        <w:rPr>
          <w:i/>
          <w:iCs/>
          <w:szCs w:val="20"/>
        </w:rPr>
        <w:t>The IGWC makes no claim as to the accuracy of the data shown on this page. Data and state overview is collated and supplied directly from the states</w:t>
      </w:r>
    </w:p>
    <w:p w14:paraId="6EBD73CF" w14:textId="77777777" w:rsidR="00972C7B" w:rsidRDefault="00972C7B" w:rsidP="00972C7B">
      <w:pPr>
        <w:pStyle w:val="Heading3"/>
      </w:pPr>
      <w:r>
        <w:lastRenderedPageBreak/>
        <w:t>Murray-Darling Basin South Australia Metering Report Card</w:t>
      </w:r>
    </w:p>
    <w:p w14:paraId="7510CD13" w14:textId="77777777" w:rsidR="00972C7B" w:rsidRPr="00E04A9F" w:rsidRDefault="00972C7B" w:rsidP="00972C7B">
      <w:pPr>
        <w:pStyle w:val="Heading3"/>
        <w:rPr>
          <w:b w:val="0"/>
          <w:bCs/>
          <w:sz w:val="22"/>
        </w:rPr>
      </w:pPr>
      <w:r w:rsidRPr="00E04A9F">
        <w:rPr>
          <w:b w:val="0"/>
          <w:bCs/>
          <w:sz w:val="22"/>
        </w:rPr>
        <w:t>1 July 2023 – 30 June 2024. Progress from 2022-23 metering report card indicated in brackets</w:t>
      </w:r>
    </w:p>
    <w:p w14:paraId="532BD6C7" w14:textId="77777777" w:rsidR="00271911" w:rsidRDefault="00271911" w:rsidP="00534325">
      <w:pPr>
        <w:rPr>
          <w:i/>
          <w:iCs/>
          <w:szCs w:val="20"/>
        </w:rPr>
      </w:pPr>
    </w:p>
    <w:p w14:paraId="5880F92B" w14:textId="161BDB65" w:rsidR="00C62253" w:rsidRPr="00C62253" w:rsidRDefault="00C62253" w:rsidP="00C62253">
      <w:pPr>
        <w:pStyle w:val="TableHeading"/>
        <w:rPr>
          <w:b/>
          <w:bCs/>
          <w:w w:val="110"/>
        </w:rPr>
      </w:pPr>
      <w:r w:rsidRPr="00A01A7C">
        <w:rPr>
          <w:b/>
          <w:bCs/>
        </w:rPr>
        <w:t xml:space="preserve">Table </w:t>
      </w:r>
      <w:r w:rsidR="005216F6">
        <w:rPr>
          <w:b/>
          <w:bCs/>
        </w:rPr>
        <w:t>19</w:t>
      </w:r>
      <w:r w:rsidRPr="00A01A7C">
        <w:rPr>
          <w:b/>
          <w:bCs/>
        </w:rPr>
        <w:t xml:space="preserve">. </w:t>
      </w:r>
      <w:r w:rsidRPr="00A01A7C">
        <w:rPr>
          <w:b/>
          <w:bCs/>
          <w:w w:val="110"/>
        </w:rPr>
        <w:t>Percentage of water take metered in South Australia</w:t>
      </w:r>
    </w:p>
    <w:tbl>
      <w:tblPr>
        <w:tblStyle w:val="TableGridLight"/>
        <w:tblW w:w="5387" w:type="dxa"/>
        <w:tblLook w:val="04A0" w:firstRow="1" w:lastRow="0" w:firstColumn="1" w:lastColumn="0" w:noHBand="0" w:noVBand="1"/>
      </w:tblPr>
      <w:tblGrid>
        <w:gridCol w:w="3544"/>
        <w:gridCol w:w="1843"/>
      </w:tblGrid>
      <w:tr w:rsidR="00AA7EE5" w14:paraId="2E518FCB" w14:textId="77777777" w:rsidTr="009A381D">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046C2DB0" w14:textId="77777777" w:rsidR="00AA7EE5" w:rsidRPr="003D7A59" w:rsidRDefault="00AA7EE5" w:rsidP="009A381D">
            <w:pPr>
              <w:pStyle w:val="TableText"/>
            </w:pPr>
            <w:r w:rsidRPr="003D7A59">
              <w:t xml:space="preserve">Metered water </w:t>
            </w:r>
            <w:proofErr w:type="gramStart"/>
            <w:r w:rsidRPr="003D7A59">
              <w:t>take</w:t>
            </w:r>
            <w:proofErr w:type="gramEnd"/>
          </w:p>
        </w:tc>
        <w:tc>
          <w:tcPr>
            <w:tcW w:w="1843" w:type="dxa"/>
            <w:shd w:val="clear" w:color="auto" w:fill="auto"/>
          </w:tcPr>
          <w:p w14:paraId="45216CA3" w14:textId="0052810C" w:rsidR="00AA7EE5" w:rsidRPr="003D7A59" w:rsidRDefault="00AA7EE5" w:rsidP="009A381D">
            <w:pPr>
              <w:pStyle w:val="TableText"/>
            </w:pPr>
            <w:r w:rsidRPr="003D7A59">
              <w:t>9</w:t>
            </w:r>
            <w:r w:rsidR="00984347">
              <w:t>9</w:t>
            </w:r>
            <w:r w:rsidRPr="003D7A59">
              <w:t>.</w:t>
            </w:r>
            <w:r w:rsidR="00984347">
              <w:t>3</w:t>
            </w:r>
            <w:r w:rsidRPr="003D7A59">
              <w:t>%</w:t>
            </w:r>
          </w:p>
        </w:tc>
      </w:tr>
      <w:tr w:rsidR="00AA7EE5" w14:paraId="495EFD58" w14:textId="77777777" w:rsidTr="009A381D">
        <w:tc>
          <w:tcPr>
            <w:tcW w:w="3544" w:type="dxa"/>
          </w:tcPr>
          <w:p w14:paraId="0A062BC7" w14:textId="77777777" w:rsidR="00AA7EE5" w:rsidRPr="003D7A59" w:rsidRDefault="00AA7EE5" w:rsidP="009A381D">
            <w:pPr>
              <w:pStyle w:val="TableText"/>
            </w:pPr>
            <w:r w:rsidRPr="003D7A59">
              <w:t xml:space="preserve">Exempt water </w:t>
            </w:r>
            <w:proofErr w:type="gramStart"/>
            <w:r w:rsidRPr="003D7A59">
              <w:t>take</w:t>
            </w:r>
            <w:proofErr w:type="gramEnd"/>
          </w:p>
        </w:tc>
        <w:tc>
          <w:tcPr>
            <w:tcW w:w="1843" w:type="dxa"/>
          </w:tcPr>
          <w:p w14:paraId="29CA1A48" w14:textId="790FD485" w:rsidR="00AA7EE5" w:rsidRPr="003D7A59" w:rsidRDefault="00984347" w:rsidP="009A381D">
            <w:pPr>
              <w:pStyle w:val="TableText"/>
            </w:pPr>
            <w:r>
              <w:t>0.7</w:t>
            </w:r>
            <w:r w:rsidR="00AA7EE5" w:rsidRPr="003D7A59">
              <w:t>%</w:t>
            </w:r>
          </w:p>
        </w:tc>
      </w:tr>
      <w:tr w:rsidR="00AA7EE5" w14:paraId="6651CEDE" w14:textId="77777777" w:rsidTr="009A381D">
        <w:tc>
          <w:tcPr>
            <w:tcW w:w="3544" w:type="dxa"/>
          </w:tcPr>
          <w:p w14:paraId="5C29F3DB" w14:textId="77777777" w:rsidR="00AA7EE5" w:rsidRPr="003D7A59" w:rsidRDefault="00AA7EE5" w:rsidP="009A381D">
            <w:pPr>
              <w:pStyle w:val="TableText"/>
            </w:pPr>
            <w:r w:rsidRPr="003D7A59">
              <w:t xml:space="preserve">Not yet metered water </w:t>
            </w:r>
            <w:proofErr w:type="gramStart"/>
            <w:r w:rsidRPr="003D7A59">
              <w:t>take</w:t>
            </w:r>
            <w:proofErr w:type="gramEnd"/>
          </w:p>
        </w:tc>
        <w:tc>
          <w:tcPr>
            <w:tcW w:w="1843" w:type="dxa"/>
          </w:tcPr>
          <w:p w14:paraId="507CFF0F" w14:textId="77777777" w:rsidR="00AA7EE5" w:rsidRPr="003D7A59" w:rsidRDefault="00AA7EE5" w:rsidP="009A381D">
            <w:pPr>
              <w:pStyle w:val="TableText"/>
            </w:pPr>
            <w:r w:rsidRPr="003D7A59">
              <w:t>0%</w:t>
            </w:r>
          </w:p>
        </w:tc>
      </w:tr>
    </w:tbl>
    <w:p w14:paraId="781A979F" w14:textId="77777777" w:rsidR="00972C7B" w:rsidRDefault="00972C7B" w:rsidP="00534325">
      <w:pPr>
        <w:rPr>
          <w:i/>
          <w:iCs/>
          <w:szCs w:val="20"/>
        </w:rPr>
      </w:pPr>
    </w:p>
    <w:p w14:paraId="55273F36" w14:textId="77777777" w:rsidR="00984347" w:rsidRDefault="00984347" w:rsidP="00984347">
      <w:pPr>
        <w:rPr>
          <w:i/>
          <w:iCs/>
          <w:szCs w:val="20"/>
        </w:rPr>
      </w:pPr>
      <w:r w:rsidRPr="00217B25">
        <w:rPr>
          <w:i/>
          <w:iCs/>
          <w:szCs w:val="20"/>
        </w:rPr>
        <w:t xml:space="preserve">This measure is reported to highlight percentage of </w:t>
      </w:r>
      <w:r>
        <w:rPr>
          <w:i/>
          <w:iCs/>
          <w:szCs w:val="20"/>
        </w:rPr>
        <w:t xml:space="preserve">actual, </w:t>
      </w:r>
      <w:r w:rsidRPr="00217B25">
        <w:rPr>
          <w:i/>
          <w:iCs/>
          <w:szCs w:val="20"/>
        </w:rPr>
        <w:t>meterable water take across the Murray-Darling Basin by each State that is metered. As this metric is influenced by water user behaviour, year-on-year change is not displayed in brackets. Data owner/sources: Basin jurisdictions</w:t>
      </w:r>
    </w:p>
    <w:p w14:paraId="2455143C" w14:textId="77777777" w:rsidR="00FA089E" w:rsidRDefault="00FA089E" w:rsidP="00984347">
      <w:pPr>
        <w:rPr>
          <w:i/>
          <w:iCs/>
          <w:szCs w:val="20"/>
        </w:rPr>
      </w:pPr>
    </w:p>
    <w:p w14:paraId="3EDEB236" w14:textId="6A8FD11D" w:rsidR="00984347" w:rsidRPr="00FA089E" w:rsidRDefault="00FA089E" w:rsidP="00FA089E">
      <w:pPr>
        <w:pStyle w:val="TableHeading"/>
        <w:rPr>
          <w:b/>
          <w:bCs/>
          <w:w w:val="110"/>
        </w:rPr>
      </w:pPr>
      <w:r w:rsidRPr="00DD3E75">
        <w:rPr>
          <w:b/>
          <w:bCs/>
        </w:rPr>
        <w:t>Table 2</w:t>
      </w:r>
      <w:r w:rsidR="005216F6">
        <w:rPr>
          <w:b/>
          <w:bCs/>
        </w:rPr>
        <w:t>0</w:t>
      </w:r>
      <w:r w:rsidRPr="00DD3E75">
        <w:rPr>
          <w:b/>
          <w:bCs/>
        </w:rPr>
        <w:t xml:space="preserve">. </w:t>
      </w:r>
      <w:r w:rsidRPr="00DD3E75">
        <w:rPr>
          <w:b/>
          <w:bCs/>
          <w:w w:val="110"/>
        </w:rPr>
        <w:t>Metering accuracy in South Australia</w:t>
      </w:r>
    </w:p>
    <w:tbl>
      <w:tblPr>
        <w:tblStyle w:val="TableGridLight"/>
        <w:tblW w:w="6379" w:type="dxa"/>
        <w:tblLook w:val="04A0" w:firstRow="1" w:lastRow="0" w:firstColumn="1" w:lastColumn="0" w:noHBand="0" w:noVBand="1"/>
      </w:tblPr>
      <w:tblGrid>
        <w:gridCol w:w="3544"/>
        <w:gridCol w:w="2835"/>
      </w:tblGrid>
      <w:tr w:rsidR="00850AEF" w14:paraId="2E9C44B8" w14:textId="77777777" w:rsidTr="000B08F2">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5E51274F" w14:textId="77777777" w:rsidR="00850AEF" w:rsidRPr="00DD3E75" w:rsidRDefault="00850AEF" w:rsidP="009A381D">
            <w:pPr>
              <w:pStyle w:val="TableText"/>
            </w:pPr>
            <w:r w:rsidRPr="00DD3E75">
              <w:t>AS4747 meters</w:t>
            </w:r>
          </w:p>
        </w:tc>
        <w:tc>
          <w:tcPr>
            <w:tcW w:w="2835" w:type="dxa"/>
            <w:shd w:val="clear" w:color="auto" w:fill="auto"/>
          </w:tcPr>
          <w:p w14:paraId="6A5DE161" w14:textId="77277E55" w:rsidR="00850AEF" w:rsidRPr="00DD3E75" w:rsidRDefault="00341EDD" w:rsidP="009A381D">
            <w:pPr>
              <w:pStyle w:val="TableText"/>
            </w:pPr>
            <w:r>
              <w:t>14</w:t>
            </w:r>
            <w:r w:rsidR="00850AEF" w:rsidRPr="00DD3E75">
              <w:t>.</w:t>
            </w:r>
            <w:r>
              <w:t>4</w:t>
            </w:r>
            <w:r w:rsidR="00850AEF" w:rsidRPr="00DD3E75">
              <w:t>% (+</w:t>
            </w:r>
            <w:r w:rsidR="000B08F2">
              <w:t>4</w:t>
            </w:r>
            <w:r w:rsidR="00850AEF" w:rsidRPr="00DD3E75">
              <w:t>.</w:t>
            </w:r>
            <w:r w:rsidR="000B08F2">
              <w:t>9</w:t>
            </w:r>
            <w:r w:rsidR="00850AEF" w:rsidRPr="00DD3E75">
              <w:t>%)</w:t>
            </w:r>
          </w:p>
        </w:tc>
      </w:tr>
      <w:tr w:rsidR="00850AEF" w14:paraId="658AAF24" w14:textId="77777777" w:rsidTr="000B08F2">
        <w:tc>
          <w:tcPr>
            <w:tcW w:w="3544" w:type="dxa"/>
          </w:tcPr>
          <w:p w14:paraId="3C0511B3" w14:textId="77777777" w:rsidR="00850AEF" w:rsidRPr="00DD3E75" w:rsidRDefault="00850AEF" w:rsidP="009A381D">
            <w:pPr>
              <w:pStyle w:val="TableText"/>
            </w:pPr>
            <w:r w:rsidRPr="00DD3E75">
              <w:t>Grandfathered meters</w:t>
            </w:r>
          </w:p>
        </w:tc>
        <w:tc>
          <w:tcPr>
            <w:tcW w:w="2835" w:type="dxa"/>
          </w:tcPr>
          <w:p w14:paraId="2984C51D" w14:textId="24D145C0" w:rsidR="00850AEF" w:rsidRPr="00DD3E75" w:rsidRDefault="00341EDD" w:rsidP="009A381D">
            <w:pPr>
              <w:pStyle w:val="TableText"/>
            </w:pPr>
            <w:r>
              <w:t>85.6</w:t>
            </w:r>
            <w:r w:rsidR="00850AEF" w:rsidRPr="00DD3E75">
              <w:t>%</w:t>
            </w:r>
          </w:p>
        </w:tc>
      </w:tr>
      <w:tr w:rsidR="00850AEF" w14:paraId="482975BA" w14:textId="77777777" w:rsidTr="000B08F2">
        <w:tc>
          <w:tcPr>
            <w:tcW w:w="3544" w:type="dxa"/>
          </w:tcPr>
          <w:p w14:paraId="146DEE78" w14:textId="77777777" w:rsidR="00850AEF" w:rsidRPr="00DD3E75" w:rsidRDefault="00850AEF" w:rsidP="009A381D">
            <w:pPr>
              <w:pStyle w:val="TableText"/>
            </w:pPr>
            <w:r w:rsidRPr="00DD3E75">
              <w:t>All other meters</w:t>
            </w:r>
          </w:p>
        </w:tc>
        <w:tc>
          <w:tcPr>
            <w:tcW w:w="2835" w:type="dxa"/>
          </w:tcPr>
          <w:p w14:paraId="586224C5" w14:textId="77777777" w:rsidR="00850AEF" w:rsidRPr="00DD3E75" w:rsidRDefault="00850AEF" w:rsidP="009A381D">
            <w:pPr>
              <w:pStyle w:val="TableText"/>
            </w:pPr>
            <w:r w:rsidRPr="00DD3E75">
              <w:t>0%</w:t>
            </w:r>
          </w:p>
        </w:tc>
      </w:tr>
    </w:tbl>
    <w:p w14:paraId="1E4E5103" w14:textId="77777777" w:rsidR="00984347" w:rsidRPr="00217B25" w:rsidRDefault="00984347" w:rsidP="00984347">
      <w:pPr>
        <w:rPr>
          <w:i/>
          <w:iCs/>
          <w:szCs w:val="20"/>
        </w:rPr>
      </w:pPr>
    </w:p>
    <w:p w14:paraId="72AC60CC" w14:textId="77777777" w:rsidR="00341EDD" w:rsidRDefault="00341EDD" w:rsidP="00341EDD">
      <w:pPr>
        <w:rPr>
          <w:i/>
          <w:iCs/>
          <w:szCs w:val="20"/>
        </w:rPr>
      </w:pPr>
      <w:r w:rsidRPr="00217B25">
        <w:rPr>
          <w:i/>
          <w:iCs/>
          <w:szCs w:val="20"/>
        </w:rPr>
        <w:t>This measure is reported to understand the percentages of meters that comply with the State’s metering policy and are therefore deemed accurate (including AS4747 and grandfathered meters). The percentage of AS4747 meters in the measure is intended to show progress Basin States are making in the roll-out of AS4747 metering. Please note that the ‘all other meters’ category may include meters that are not required to be AS4747 compliant or grandfathered. Data owner/sources: Basin jurisdictions</w:t>
      </w:r>
    </w:p>
    <w:p w14:paraId="3E7B9BD0" w14:textId="496B0498" w:rsidR="00D362AD" w:rsidRPr="009B059C" w:rsidRDefault="009B059C" w:rsidP="009B059C">
      <w:pPr>
        <w:pStyle w:val="TableHeading"/>
        <w:rPr>
          <w:b/>
          <w:bCs/>
          <w:w w:val="110"/>
        </w:rPr>
      </w:pPr>
      <w:r w:rsidRPr="00DD3E75">
        <w:rPr>
          <w:b/>
          <w:bCs/>
        </w:rPr>
        <w:t>Table 2</w:t>
      </w:r>
      <w:r w:rsidR="005216F6">
        <w:rPr>
          <w:b/>
          <w:bCs/>
        </w:rPr>
        <w:t>1</w:t>
      </w:r>
      <w:r w:rsidRPr="00DD3E75">
        <w:rPr>
          <w:b/>
          <w:bCs/>
        </w:rPr>
        <w:t xml:space="preserve">. </w:t>
      </w:r>
      <w:r w:rsidRPr="00DD3E75">
        <w:rPr>
          <w:b/>
          <w:bCs/>
          <w:w w:val="110"/>
        </w:rPr>
        <w:t>Telemetry coverage</w:t>
      </w:r>
    </w:p>
    <w:tbl>
      <w:tblPr>
        <w:tblStyle w:val="TableGridLight"/>
        <w:tblW w:w="9639" w:type="dxa"/>
        <w:tblLook w:val="04A0" w:firstRow="1" w:lastRow="0" w:firstColumn="1" w:lastColumn="0" w:noHBand="0" w:noVBand="1"/>
      </w:tblPr>
      <w:tblGrid>
        <w:gridCol w:w="7938"/>
        <w:gridCol w:w="1701"/>
      </w:tblGrid>
      <w:tr w:rsidR="00D362AD" w14:paraId="485EF159" w14:textId="77777777" w:rsidTr="009A381D">
        <w:trPr>
          <w:cnfStyle w:val="100000000000" w:firstRow="1" w:lastRow="0" w:firstColumn="0" w:lastColumn="0" w:oddVBand="0" w:evenVBand="0" w:oddHBand="0" w:evenHBand="0" w:firstRowFirstColumn="0" w:firstRowLastColumn="0" w:lastRowFirstColumn="0" w:lastRowLastColumn="0"/>
        </w:trPr>
        <w:tc>
          <w:tcPr>
            <w:tcW w:w="7938" w:type="dxa"/>
            <w:shd w:val="clear" w:color="auto" w:fill="auto"/>
          </w:tcPr>
          <w:p w14:paraId="0F7CFFA8" w14:textId="77777777" w:rsidR="00D362AD" w:rsidRDefault="00D362AD" w:rsidP="009A381D">
            <w:pPr>
              <w:pStyle w:val="TableText"/>
            </w:pPr>
            <w:r>
              <w:t>Meter % with telemetry connected to the regulator’s data collection system</w:t>
            </w:r>
          </w:p>
        </w:tc>
        <w:tc>
          <w:tcPr>
            <w:tcW w:w="1701" w:type="dxa"/>
            <w:shd w:val="clear" w:color="auto" w:fill="auto"/>
          </w:tcPr>
          <w:p w14:paraId="49687BB7" w14:textId="77777777" w:rsidR="00D362AD" w:rsidRDefault="00D362AD" w:rsidP="009A381D">
            <w:pPr>
              <w:pStyle w:val="TableText"/>
              <w:rPr>
                <w:w w:val="115"/>
              </w:rPr>
            </w:pPr>
            <w:r>
              <w:t>0%</w:t>
            </w:r>
          </w:p>
        </w:tc>
      </w:tr>
      <w:tr w:rsidR="00D362AD" w14:paraId="4B797B74" w14:textId="77777777" w:rsidTr="009A381D">
        <w:tc>
          <w:tcPr>
            <w:tcW w:w="7938" w:type="dxa"/>
          </w:tcPr>
          <w:p w14:paraId="7D5DC350" w14:textId="77777777" w:rsidR="00D362AD" w:rsidRDefault="00D362AD" w:rsidP="009A381D">
            <w:pPr>
              <w:pStyle w:val="TableText"/>
            </w:pPr>
            <w:r>
              <w:t>Meter % required to have telemetry connected to the regulator’s data collection system, but which are not connected</w:t>
            </w:r>
          </w:p>
        </w:tc>
        <w:tc>
          <w:tcPr>
            <w:tcW w:w="1701" w:type="dxa"/>
          </w:tcPr>
          <w:p w14:paraId="111AC80E" w14:textId="43F1BF45" w:rsidR="00D362AD" w:rsidRDefault="00D362AD" w:rsidP="009A381D">
            <w:pPr>
              <w:pStyle w:val="TableText"/>
              <w:rPr>
                <w:w w:val="115"/>
              </w:rPr>
            </w:pPr>
            <w:r>
              <w:t>0.</w:t>
            </w:r>
            <w:r w:rsidR="00485A56">
              <w:t>3</w:t>
            </w:r>
            <w:r>
              <w:t>%</w:t>
            </w:r>
          </w:p>
        </w:tc>
      </w:tr>
      <w:tr w:rsidR="00D362AD" w14:paraId="34B9D511" w14:textId="77777777" w:rsidTr="009A381D">
        <w:tc>
          <w:tcPr>
            <w:tcW w:w="7938" w:type="dxa"/>
          </w:tcPr>
          <w:p w14:paraId="0E81FE17" w14:textId="77777777" w:rsidR="00D362AD" w:rsidRDefault="00D362AD" w:rsidP="009A381D">
            <w:pPr>
              <w:pStyle w:val="TableText"/>
            </w:pPr>
            <w:r>
              <w:t>Meter % with telemetry not required</w:t>
            </w:r>
          </w:p>
        </w:tc>
        <w:tc>
          <w:tcPr>
            <w:tcW w:w="1701" w:type="dxa"/>
          </w:tcPr>
          <w:p w14:paraId="2BFD6FE1" w14:textId="2C43A537" w:rsidR="00D362AD" w:rsidRDefault="00D362AD" w:rsidP="009A381D">
            <w:pPr>
              <w:pStyle w:val="TableText"/>
              <w:rPr>
                <w:w w:val="115"/>
              </w:rPr>
            </w:pPr>
            <w:r>
              <w:t>99.7%</w:t>
            </w:r>
          </w:p>
        </w:tc>
      </w:tr>
    </w:tbl>
    <w:p w14:paraId="787083CB" w14:textId="77777777" w:rsidR="00D362AD" w:rsidRPr="00217B25" w:rsidRDefault="00D362AD" w:rsidP="00341EDD">
      <w:pPr>
        <w:rPr>
          <w:i/>
          <w:iCs/>
          <w:szCs w:val="20"/>
        </w:rPr>
      </w:pPr>
    </w:p>
    <w:p w14:paraId="613A5202" w14:textId="3D2CC3E7" w:rsidR="00414272" w:rsidRDefault="006C4EAA" w:rsidP="008609B0">
      <w:pPr>
        <w:rPr>
          <w:i/>
          <w:iCs/>
          <w:szCs w:val="20"/>
        </w:rPr>
      </w:pPr>
      <w:r w:rsidRPr="00217B25">
        <w:rPr>
          <w:i/>
          <w:iCs/>
          <w:szCs w:val="20"/>
        </w:rPr>
        <w:t>This measure is reported to identify the percentage of meters with telemetry connected to the Basin jurisdiction’s data system. Data owner/sources: Basin jurisdictions</w:t>
      </w:r>
    </w:p>
    <w:p w14:paraId="190B9031" w14:textId="77777777" w:rsidR="008609B0" w:rsidRDefault="008609B0" w:rsidP="008609B0">
      <w:pPr>
        <w:rPr>
          <w:i/>
          <w:iCs/>
          <w:szCs w:val="20"/>
        </w:rPr>
      </w:pPr>
    </w:p>
    <w:p w14:paraId="128754E0" w14:textId="77777777" w:rsidR="008609B0" w:rsidRPr="008609B0" w:rsidRDefault="008609B0" w:rsidP="008609B0">
      <w:pPr>
        <w:rPr>
          <w:i/>
          <w:iCs/>
          <w:szCs w:val="20"/>
        </w:rPr>
      </w:pPr>
    </w:p>
    <w:p w14:paraId="7623D95F" w14:textId="77777777" w:rsidR="00414272" w:rsidRDefault="00414272" w:rsidP="00534325">
      <w:pPr>
        <w:pStyle w:val="ListParagraph"/>
        <w:ind w:left="0"/>
        <w:rPr>
          <w:i/>
          <w:iCs/>
        </w:rPr>
      </w:pPr>
    </w:p>
    <w:p w14:paraId="4056B0D4" w14:textId="61F2485D" w:rsidR="00414272" w:rsidRPr="00DD3E75" w:rsidRDefault="00414272" w:rsidP="00414272">
      <w:pPr>
        <w:pStyle w:val="TableHeading"/>
        <w:rPr>
          <w:b/>
          <w:bCs/>
          <w:w w:val="110"/>
        </w:rPr>
      </w:pPr>
      <w:r w:rsidRPr="00DD3E75">
        <w:rPr>
          <w:b/>
          <w:bCs/>
        </w:rPr>
        <w:lastRenderedPageBreak/>
        <w:t>Table 2</w:t>
      </w:r>
      <w:r w:rsidR="005216F6">
        <w:rPr>
          <w:b/>
          <w:bCs/>
        </w:rPr>
        <w:t>2</w:t>
      </w:r>
      <w:r w:rsidRPr="00DD3E75">
        <w:rPr>
          <w:b/>
          <w:bCs/>
        </w:rPr>
        <w:t xml:space="preserve">. </w:t>
      </w:r>
      <w:r w:rsidRPr="00DD3E75">
        <w:rPr>
          <w:b/>
          <w:bCs/>
          <w:w w:val="110"/>
        </w:rPr>
        <w:t>How is meter data collected where telemetry is not used</w:t>
      </w:r>
    </w:p>
    <w:tbl>
      <w:tblPr>
        <w:tblStyle w:val="TableGridLight"/>
        <w:tblW w:w="0" w:type="auto"/>
        <w:tblLook w:val="04A0" w:firstRow="1" w:lastRow="0" w:firstColumn="1" w:lastColumn="0" w:noHBand="0" w:noVBand="1"/>
      </w:tblPr>
      <w:tblGrid>
        <w:gridCol w:w="3119"/>
        <w:gridCol w:w="3402"/>
      </w:tblGrid>
      <w:tr w:rsidR="00414272" w14:paraId="773DDB6B" w14:textId="77777777" w:rsidTr="009A381D">
        <w:trPr>
          <w:cnfStyle w:val="100000000000" w:firstRow="1" w:lastRow="0" w:firstColumn="0" w:lastColumn="0" w:oddVBand="0" w:evenVBand="0" w:oddHBand="0" w:evenHBand="0" w:firstRowFirstColumn="0" w:firstRowLastColumn="0" w:lastRowFirstColumn="0" w:lastRowLastColumn="0"/>
        </w:trPr>
        <w:tc>
          <w:tcPr>
            <w:tcW w:w="3119" w:type="dxa"/>
          </w:tcPr>
          <w:p w14:paraId="58CA7933" w14:textId="77777777" w:rsidR="00414272" w:rsidRPr="00CC19F8" w:rsidRDefault="00414272" w:rsidP="009A381D">
            <w:pPr>
              <w:pStyle w:val="TableHeader"/>
            </w:pPr>
            <w:r>
              <w:t>Area</w:t>
            </w:r>
          </w:p>
        </w:tc>
        <w:tc>
          <w:tcPr>
            <w:tcW w:w="3402" w:type="dxa"/>
          </w:tcPr>
          <w:p w14:paraId="6A987E9A" w14:textId="77777777" w:rsidR="00414272" w:rsidRPr="00CC19F8" w:rsidRDefault="00414272" w:rsidP="009A381D">
            <w:pPr>
              <w:pStyle w:val="TableHeader"/>
            </w:pPr>
            <w:r>
              <w:t>Data collection frequency</w:t>
            </w:r>
          </w:p>
        </w:tc>
      </w:tr>
      <w:tr w:rsidR="00414272" w14:paraId="4A3661A9" w14:textId="77777777" w:rsidTr="009A381D">
        <w:trPr>
          <w:trHeight w:val="334"/>
        </w:trPr>
        <w:tc>
          <w:tcPr>
            <w:tcW w:w="3119" w:type="dxa"/>
          </w:tcPr>
          <w:p w14:paraId="1B179348" w14:textId="77777777" w:rsidR="00414272" w:rsidRDefault="00414272" w:rsidP="009A381D">
            <w:pPr>
              <w:pStyle w:val="TableText"/>
            </w:pPr>
            <w:r>
              <w:t>Angas Bremer</w:t>
            </w:r>
          </w:p>
        </w:tc>
        <w:tc>
          <w:tcPr>
            <w:tcW w:w="3402" w:type="dxa"/>
          </w:tcPr>
          <w:p w14:paraId="7279EAEC" w14:textId="77777777" w:rsidR="00414272" w:rsidRPr="0077560D" w:rsidRDefault="00414272" w:rsidP="009A381D">
            <w:pPr>
              <w:pStyle w:val="TableText"/>
            </w:pPr>
            <w:r>
              <w:t>Annually</w:t>
            </w:r>
          </w:p>
        </w:tc>
      </w:tr>
      <w:tr w:rsidR="00414272" w14:paraId="3F68A3BC" w14:textId="77777777" w:rsidTr="009A381D">
        <w:tc>
          <w:tcPr>
            <w:tcW w:w="3119" w:type="dxa"/>
          </w:tcPr>
          <w:p w14:paraId="234D6909" w14:textId="77777777" w:rsidR="00414272" w:rsidRDefault="00414272" w:rsidP="009A381D">
            <w:pPr>
              <w:pStyle w:val="TableText"/>
            </w:pPr>
            <w:r>
              <w:t>Eastern Mount Lofty Ranges</w:t>
            </w:r>
          </w:p>
        </w:tc>
        <w:tc>
          <w:tcPr>
            <w:tcW w:w="3402" w:type="dxa"/>
          </w:tcPr>
          <w:p w14:paraId="6BC35389" w14:textId="77777777" w:rsidR="00414272" w:rsidRDefault="00414272" w:rsidP="009A381D">
            <w:pPr>
              <w:pStyle w:val="TableText"/>
            </w:pPr>
            <w:r>
              <w:t>Annually</w:t>
            </w:r>
          </w:p>
        </w:tc>
      </w:tr>
      <w:tr w:rsidR="00414272" w14:paraId="3EB599F1" w14:textId="77777777" w:rsidTr="009A381D">
        <w:tc>
          <w:tcPr>
            <w:tcW w:w="3119" w:type="dxa"/>
          </w:tcPr>
          <w:p w14:paraId="2C5E2B9B" w14:textId="77777777" w:rsidR="00414272" w:rsidRDefault="00414272" w:rsidP="009A381D">
            <w:pPr>
              <w:pStyle w:val="TableText"/>
            </w:pPr>
            <w:r>
              <w:t>Marne Saunders</w:t>
            </w:r>
            <w:r>
              <w:tab/>
            </w:r>
          </w:p>
        </w:tc>
        <w:tc>
          <w:tcPr>
            <w:tcW w:w="3402" w:type="dxa"/>
          </w:tcPr>
          <w:p w14:paraId="33BB97A6" w14:textId="77777777" w:rsidR="00414272" w:rsidRDefault="00414272" w:rsidP="009A381D">
            <w:pPr>
              <w:pStyle w:val="TableText"/>
            </w:pPr>
            <w:r>
              <w:t>Annually</w:t>
            </w:r>
          </w:p>
        </w:tc>
      </w:tr>
      <w:tr w:rsidR="00414272" w14:paraId="68D11A4C" w14:textId="77777777" w:rsidTr="009A381D">
        <w:tc>
          <w:tcPr>
            <w:tcW w:w="3119" w:type="dxa"/>
          </w:tcPr>
          <w:p w14:paraId="57DF75D6" w14:textId="77777777" w:rsidR="00414272" w:rsidRDefault="00414272" w:rsidP="009A381D">
            <w:pPr>
              <w:pStyle w:val="TableText"/>
            </w:pPr>
            <w:r>
              <w:t>Mallee</w:t>
            </w:r>
          </w:p>
        </w:tc>
        <w:tc>
          <w:tcPr>
            <w:tcW w:w="3402" w:type="dxa"/>
          </w:tcPr>
          <w:p w14:paraId="32B870EE" w14:textId="77777777" w:rsidR="00414272" w:rsidRDefault="00414272" w:rsidP="009A381D">
            <w:pPr>
              <w:pStyle w:val="TableText"/>
            </w:pPr>
            <w:r>
              <w:t>Annually</w:t>
            </w:r>
          </w:p>
        </w:tc>
      </w:tr>
      <w:tr w:rsidR="00414272" w14:paraId="1225B2BF" w14:textId="77777777" w:rsidTr="009A381D">
        <w:tc>
          <w:tcPr>
            <w:tcW w:w="3119" w:type="dxa"/>
          </w:tcPr>
          <w:p w14:paraId="38EACC85" w14:textId="77777777" w:rsidR="00414272" w:rsidRDefault="00414272" w:rsidP="009A381D">
            <w:pPr>
              <w:pStyle w:val="TableText"/>
            </w:pPr>
            <w:r>
              <w:t>Peake Roby Sherlock</w:t>
            </w:r>
          </w:p>
        </w:tc>
        <w:tc>
          <w:tcPr>
            <w:tcW w:w="3402" w:type="dxa"/>
          </w:tcPr>
          <w:p w14:paraId="22B4EE46" w14:textId="77777777" w:rsidR="00414272" w:rsidRDefault="00414272" w:rsidP="009A381D">
            <w:pPr>
              <w:pStyle w:val="TableText"/>
            </w:pPr>
            <w:r>
              <w:t>Annually</w:t>
            </w:r>
          </w:p>
        </w:tc>
      </w:tr>
      <w:tr w:rsidR="00414272" w14:paraId="15A03E2C" w14:textId="77777777" w:rsidTr="009A381D">
        <w:tc>
          <w:tcPr>
            <w:tcW w:w="3119" w:type="dxa"/>
          </w:tcPr>
          <w:p w14:paraId="4B470F85" w14:textId="77777777" w:rsidR="00414272" w:rsidRDefault="00414272" w:rsidP="009A381D">
            <w:pPr>
              <w:pStyle w:val="TableText"/>
            </w:pPr>
            <w:r>
              <w:t>River Murray</w:t>
            </w:r>
          </w:p>
        </w:tc>
        <w:tc>
          <w:tcPr>
            <w:tcW w:w="3402" w:type="dxa"/>
          </w:tcPr>
          <w:p w14:paraId="002B3BC2" w14:textId="77777777" w:rsidR="00414272" w:rsidRDefault="00414272" w:rsidP="009A381D">
            <w:pPr>
              <w:pStyle w:val="TableText"/>
            </w:pPr>
            <w:r>
              <w:t>Quarterly</w:t>
            </w:r>
          </w:p>
        </w:tc>
      </w:tr>
    </w:tbl>
    <w:p w14:paraId="3022C119" w14:textId="77777777" w:rsidR="00414272" w:rsidRDefault="00414272" w:rsidP="00534325">
      <w:pPr>
        <w:pStyle w:val="ListParagraph"/>
        <w:ind w:left="0"/>
        <w:rPr>
          <w:i/>
          <w:iCs/>
        </w:rPr>
      </w:pPr>
    </w:p>
    <w:p w14:paraId="6EF307F7" w14:textId="77777777" w:rsidR="00CC2852" w:rsidRPr="00217B25" w:rsidRDefault="00CC2852" w:rsidP="00CC2852">
      <w:pPr>
        <w:rPr>
          <w:i/>
          <w:iCs/>
          <w:szCs w:val="20"/>
        </w:rPr>
      </w:pPr>
      <w:r w:rsidRPr="00217B25">
        <w:rPr>
          <w:i/>
          <w:iCs/>
          <w:szCs w:val="20"/>
        </w:rPr>
        <w:t>This measure is reported to identify how meter data is collected and how often when telemetry is not being used. Data owner/sources: Basin jurisdictions</w:t>
      </w:r>
    </w:p>
    <w:p w14:paraId="135CECBF" w14:textId="77777777" w:rsidR="00CC2852" w:rsidRDefault="00CC2852" w:rsidP="00534325">
      <w:pPr>
        <w:pStyle w:val="ListParagraph"/>
        <w:ind w:left="0"/>
        <w:rPr>
          <w:i/>
          <w:iCs/>
        </w:rPr>
      </w:pPr>
    </w:p>
    <w:p w14:paraId="21827A13" w14:textId="77777777" w:rsidR="008609B0" w:rsidRPr="00E04A9F" w:rsidRDefault="008609B0" w:rsidP="008609B0">
      <w:pPr>
        <w:pStyle w:val="Heading3"/>
        <w:rPr>
          <w:sz w:val="24"/>
          <w:szCs w:val="24"/>
        </w:rPr>
      </w:pPr>
      <w:r w:rsidRPr="00E04A9F">
        <w:rPr>
          <w:sz w:val="24"/>
          <w:szCs w:val="24"/>
        </w:rPr>
        <w:t>South Australia provided narrative</w:t>
      </w:r>
    </w:p>
    <w:p w14:paraId="2591FB01" w14:textId="77777777" w:rsidR="008609B0" w:rsidRPr="0054786C" w:rsidRDefault="008609B0" w:rsidP="008609B0">
      <w:pPr>
        <w:rPr>
          <w:szCs w:val="20"/>
        </w:rPr>
      </w:pPr>
      <w:r w:rsidRPr="0054786C">
        <w:rPr>
          <w:szCs w:val="20"/>
        </w:rPr>
        <w:t xml:space="preserve">In South </w:t>
      </w:r>
      <w:r>
        <w:rPr>
          <w:szCs w:val="20"/>
        </w:rPr>
        <w:t>Australia</w:t>
      </w:r>
      <w:r w:rsidRPr="0054786C">
        <w:rPr>
          <w:szCs w:val="20"/>
        </w:rPr>
        <w:t xml:space="preserve">, </w:t>
      </w:r>
      <w:r>
        <w:rPr>
          <w:szCs w:val="20"/>
        </w:rPr>
        <w:t xml:space="preserve">metering of all licensed water take is mandatory, </w:t>
      </w:r>
      <w:proofErr w:type="gramStart"/>
      <w:r>
        <w:rPr>
          <w:szCs w:val="20"/>
        </w:rPr>
        <w:t>with the exception</w:t>
      </w:r>
      <w:r w:rsidRPr="0054786C">
        <w:rPr>
          <w:szCs w:val="20"/>
        </w:rPr>
        <w:t xml:space="preserve"> of</w:t>
      </w:r>
      <w:proofErr w:type="gramEnd"/>
      <w:r w:rsidRPr="0054786C">
        <w:rPr>
          <w:szCs w:val="20"/>
        </w:rPr>
        <w:t xml:space="preserve"> low-risk water</w:t>
      </w:r>
      <w:r>
        <w:rPr>
          <w:szCs w:val="20"/>
        </w:rPr>
        <w:t xml:space="preserve"> </w:t>
      </w:r>
      <w:r w:rsidRPr="0054786C">
        <w:rPr>
          <w:szCs w:val="20"/>
        </w:rPr>
        <w:t>use (e.g., stock and domestic and as outlined in regional Metering Implementation Plans). In 2023-24,</w:t>
      </w:r>
      <w:r>
        <w:rPr>
          <w:szCs w:val="20"/>
        </w:rPr>
        <w:t xml:space="preserve"> </w:t>
      </w:r>
      <w:r w:rsidRPr="0054786C">
        <w:rPr>
          <w:szCs w:val="20"/>
        </w:rPr>
        <w:t xml:space="preserve">metered water </w:t>
      </w:r>
      <w:proofErr w:type="gramStart"/>
      <w:r w:rsidRPr="0054786C">
        <w:rPr>
          <w:szCs w:val="20"/>
        </w:rPr>
        <w:t>take</w:t>
      </w:r>
      <w:proofErr w:type="gramEnd"/>
      <w:r w:rsidRPr="0054786C">
        <w:rPr>
          <w:szCs w:val="20"/>
        </w:rPr>
        <w:t xml:space="preserve"> (530 gigalitres) accounted for 99.3% of the volume of water taken from the South</w:t>
      </w:r>
      <w:r>
        <w:rPr>
          <w:szCs w:val="20"/>
        </w:rPr>
        <w:t xml:space="preserve"> </w:t>
      </w:r>
      <w:r w:rsidRPr="0054786C">
        <w:rPr>
          <w:szCs w:val="20"/>
        </w:rPr>
        <w:t>Australian portion of the Murray-Darling Basin (MDB).</w:t>
      </w:r>
    </w:p>
    <w:p w14:paraId="6C570F81" w14:textId="77777777" w:rsidR="008609B0" w:rsidRPr="0054786C" w:rsidRDefault="008609B0" w:rsidP="008609B0">
      <w:pPr>
        <w:rPr>
          <w:szCs w:val="20"/>
        </w:rPr>
      </w:pPr>
      <w:r w:rsidRPr="0054786C">
        <w:rPr>
          <w:szCs w:val="20"/>
        </w:rPr>
        <w:t>A large proportion of South Australia’s meters are grandfathered due to South Australia’s early</w:t>
      </w:r>
      <w:r>
        <w:rPr>
          <w:szCs w:val="20"/>
        </w:rPr>
        <w:t xml:space="preserve"> </w:t>
      </w:r>
      <w:r w:rsidRPr="0054786C">
        <w:rPr>
          <w:szCs w:val="20"/>
        </w:rPr>
        <w:t>adoption of metering over 50 years ago. South Australia introduced legislation in 2019, prescribing</w:t>
      </w:r>
      <w:r>
        <w:rPr>
          <w:szCs w:val="20"/>
        </w:rPr>
        <w:t xml:space="preserve"> </w:t>
      </w:r>
      <w:r w:rsidRPr="0054786C">
        <w:rPr>
          <w:szCs w:val="20"/>
        </w:rPr>
        <w:t>that all replacement meters must be compliant with Australian Standard AS4747 (AS4747). In 2023-24,</w:t>
      </w:r>
      <w:r>
        <w:rPr>
          <w:szCs w:val="20"/>
        </w:rPr>
        <w:t xml:space="preserve"> </w:t>
      </w:r>
      <w:r w:rsidRPr="0054786C">
        <w:rPr>
          <w:szCs w:val="20"/>
        </w:rPr>
        <w:t>the proportion of AS4747 compliant meters in South Australia’s MDB meter fleet increased from 9.5%</w:t>
      </w:r>
      <w:r>
        <w:rPr>
          <w:szCs w:val="20"/>
        </w:rPr>
        <w:t xml:space="preserve"> </w:t>
      </w:r>
      <w:r w:rsidRPr="0054786C">
        <w:rPr>
          <w:szCs w:val="20"/>
        </w:rPr>
        <w:t>to 14.4%. All meters in South Australia are compliant with the state’s metering policy (i.e., being either</w:t>
      </w:r>
      <w:r>
        <w:rPr>
          <w:szCs w:val="20"/>
        </w:rPr>
        <w:t xml:space="preserve"> </w:t>
      </w:r>
      <w:r w:rsidRPr="0054786C">
        <w:rPr>
          <w:szCs w:val="20"/>
        </w:rPr>
        <w:t>grandfathered or AS4747 compliant). Review of South Australia’s metering framework is ongoing,</w:t>
      </w:r>
      <w:r>
        <w:rPr>
          <w:szCs w:val="20"/>
        </w:rPr>
        <w:t xml:space="preserve"> </w:t>
      </w:r>
      <w:r w:rsidRPr="0054786C">
        <w:rPr>
          <w:szCs w:val="20"/>
        </w:rPr>
        <w:t>noting that the revision of the MAF2 will commence in 2025.</w:t>
      </w:r>
    </w:p>
    <w:p w14:paraId="62FAC644" w14:textId="77777777" w:rsidR="008609B0" w:rsidRPr="0054786C" w:rsidRDefault="008609B0" w:rsidP="008609B0">
      <w:pPr>
        <w:rPr>
          <w:szCs w:val="20"/>
        </w:rPr>
      </w:pPr>
      <w:r w:rsidRPr="0054786C">
        <w:rPr>
          <w:szCs w:val="20"/>
        </w:rPr>
        <w:t>Meter reading reporting frequency remained unchanged in 2023-24, with the volume of water used by</w:t>
      </w:r>
      <w:r>
        <w:rPr>
          <w:szCs w:val="20"/>
        </w:rPr>
        <w:t xml:space="preserve"> </w:t>
      </w:r>
      <w:r w:rsidRPr="0054786C">
        <w:rPr>
          <w:szCs w:val="20"/>
        </w:rPr>
        <w:t>each licence holder being accounted for via meter reads quarterly in the River Murray and annually</w:t>
      </w:r>
      <w:r>
        <w:rPr>
          <w:szCs w:val="20"/>
        </w:rPr>
        <w:t xml:space="preserve"> </w:t>
      </w:r>
      <w:r w:rsidRPr="0054786C">
        <w:rPr>
          <w:szCs w:val="20"/>
        </w:rPr>
        <w:t>for other areas of the MDB. Compliance rates continue to reach 98-99% across the state, supported</w:t>
      </w:r>
      <w:r>
        <w:rPr>
          <w:szCs w:val="20"/>
        </w:rPr>
        <w:t xml:space="preserve"> </w:t>
      </w:r>
      <w:r w:rsidRPr="0054786C">
        <w:rPr>
          <w:szCs w:val="20"/>
        </w:rPr>
        <w:t>by legislated financial penalties for every kilolitre of unauthorised water take and a minimum of 10% of</w:t>
      </w:r>
      <w:r>
        <w:rPr>
          <w:szCs w:val="20"/>
        </w:rPr>
        <w:t xml:space="preserve"> </w:t>
      </w:r>
      <w:r w:rsidRPr="0054786C">
        <w:rPr>
          <w:szCs w:val="20"/>
        </w:rPr>
        <w:t>licensed sites being compliance visited each year.</w:t>
      </w:r>
    </w:p>
    <w:p w14:paraId="49950907" w14:textId="77777777" w:rsidR="008609B0" w:rsidRPr="0054786C" w:rsidRDefault="008609B0" w:rsidP="008609B0">
      <w:pPr>
        <w:rPr>
          <w:szCs w:val="20"/>
        </w:rPr>
      </w:pPr>
      <w:r w:rsidRPr="0054786C">
        <w:rPr>
          <w:szCs w:val="20"/>
        </w:rPr>
        <w:t>In the first half of 2024, South Australia undertook a meter audit program on approximately 800 high</w:t>
      </w:r>
      <w:r>
        <w:rPr>
          <w:szCs w:val="20"/>
        </w:rPr>
        <w:t xml:space="preserve"> </w:t>
      </w:r>
      <w:r w:rsidRPr="0054786C">
        <w:rPr>
          <w:szCs w:val="20"/>
        </w:rPr>
        <w:t>priority meters on the River Murray and in the Mallee Prescribed Wells Area. Data gathered during</w:t>
      </w:r>
      <w:r>
        <w:rPr>
          <w:szCs w:val="20"/>
        </w:rPr>
        <w:t xml:space="preserve"> </w:t>
      </w:r>
      <w:r w:rsidRPr="0054786C">
        <w:rPr>
          <w:szCs w:val="20"/>
        </w:rPr>
        <w:t>the audit will inform meter management and telemetry policies. In 2023-24, South Australia extended</w:t>
      </w:r>
      <w:r>
        <w:rPr>
          <w:szCs w:val="20"/>
        </w:rPr>
        <w:t xml:space="preserve"> </w:t>
      </w:r>
      <w:r w:rsidRPr="0054786C">
        <w:rPr>
          <w:szCs w:val="20"/>
        </w:rPr>
        <w:t>telemetry trials to continue assessing the costs and benefits of telemetry. South Australia also worked</w:t>
      </w:r>
      <w:r>
        <w:rPr>
          <w:szCs w:val="20"/>
        </w:rPr>
        <w:t xml:space="preserve"> </w:t>
      </w:r>
      <w:r w:rsidRPr="0054786C">
        <w:rPr>
          <w:szCs w:val="20"/>
        </w:rPr>
        <w:t>closely with the Department for Climate Change, Energy, Environment and Water (DCCEEW) to access</w:t>
      </w:r>
      <w:r>
        <w:rPr>
          <w:szCs w:val="20"/>
        </w:rPr>
        <w:t xml:space="preserve"> </w:t>
      </w:r>
      <w:r w:rsidRPr="0054786C">
        <w:rPr>
          <w:szCs w:val="20"/>
        </w:rPr>
        <w:t>funding from the Australian Government’s Telemetry Uplift Program. South Australia successfully</w:t>
      </w:r>
      <w:r>
        <w:rPr>
          <w:szCs w:val="20"/>
        </w:rPr>
        <w:t xml:space="preserve"> </w:t>
      </w:r>
      <w:r w:rsidRPr="0054786C">
        <w:rPr>
          <w:szCs w:val="20"/>
        </w:rPr>
        <w:t>secured funding for program delivery over two years from 2025.</w:t>
      </w:r>
    </w:p>
    <w:p w14:paraId="758821B7" w14:textId="77777777" w:rsidR="008609B0" w:rsidRDefault="008609B0" w:rsidP="008609B0">
      <w:pPr>
        <w:rPr>
          <w:szCs w:val="20"/>
        </w:rPr>
      </w:pPr>
      <w:r w:rsidRPr="0054786C">
        <w:rPr>
          <w:szCs w:val="20"/>
        </w:rPr>
        <w:t xml:space="preserve">In 2023-24, South Australia launched a new water register, </w:t>
      </w:r>
      <w:proofErr w:type="spellStart"/>
      <w:r w:rsidRPr="0054786C">
        <w:rPr>
          <w:szCs w:val="20"/>
        </w:rPr>
        <w:t>mywater</w:t>
      </w:r>
      <w:proofErr w:type="spellEnd"/>
      <w:r w:rsidRPr="0054786C">
        <w:rPr>
          <w:szCs w:val="20"/>
        </w:rPr>
        <w:t xml:space="preserve">. </w:t>
      </w:r>
      <w:proofErr w:type="spellStart"/>
      <w:r w:rsidRPr="0054786C">
        <w:rPr>
          <w:szCs w:val="20"/>
        </w:rPr>
        <w:t>mywater</w:t>
      </w:r>
      <w:proofErr w:type="spellEnd"/>
      <w:r w:rsidRPr="0054786C">
        <w:rPr>
          <w:szCs w:val="20"/>
        </w:rPr>
        <w:t xml:space="preserve"> is a portal that enables</w:t>
      </w:r>
      <w:r>
        <w:rPr>
          <w:szCs w:val="20"/>
        </w:rPr>
        <w:t xml:space="preserve"> </w:t>
      </w:r>
      <w:r w:rsidRPr="0054786C">
        <w:rPr>
          <w:szCs w:val="20"/>
        </w:rPr>
        <w:t>online management of water instruments, smart meter read lodgement and monitoring, online</w:t>
      </w:r>
      <w:r>
        <w:rPr>
          <w:szCs w:val="20"/>
        </w:rPr>
        <w:t xml:space="preserve"> </w:t>
      </w:r>
      <w:r w:rsidRPr="0054786C">
        <w:rPr>
          <w:szCs w:val="20"/>
        </w:rPr>
        <w:t xml:space="preserve">applications to buy and sell water and reduced trading </w:t>
      </w:r>
      <w:r w:rsidRPr="0054786C">
        <w:rPr>
          <w:szCs w:val="20"/>
        </w:rPr>
        <w:lastRenderedPageBreak/>
        <w:t>and processing times. The Department for</w:t>
      </w:r>
      <w:r>
        <w:rPr>
          <w:szCs w:val="20"/>
        </w:rPr>
        <w:t xml:space="preserve"> </w:t>
      </w:r>
      <w:r w:rsidRPr="0054786C">
        <w:rPr>
          <w:szCs w:val="20"/>
        </w:rPr>
        <w:t xml:space="preserve">Environment and Water is working with water users throughout 2025 to introduce them to </w:t>
      </w:r>
      <w:proofErr w:type="spellStart"/>
      <w:r w:rsidRPr="0054786C">
        <w:rPr>
          <w:szCs w:val="20"/>
        </w:rPr>
        <w:t>mywater</w:t>
      </w:r>
      <w:proofErr w:type="spellEnd"/>
      <w:r>
        <w:rPr>
          <w:szCs w:val="20"/>
        </w:rPr>
        <w:t xml:space="preserve"> </w:t>
      </w:r>
      <w:r w:rsidRPr="0054786C">
        <w:rPr>
          <w:szCs w:val="20"/>
        </w:rPr>
        <w:t xml:space="preserve">and support them to take full advantage of </w:t>
      </w:r>
      <w:proofErr w:type="spellStart"/>
      <w:r w:rsidRPr="0054786C">
        <w:rPr>
          <w:szCs w:val="20"/>
        </w:rPr>
        <w:t>mywater’s</w:t>
      </w:r>
      <w:proofErr w:type="spellEnd"/>
      <w:r w:rsidRPr="0054786C">
        <w:rPr>
          <w:szCs w:val="20"/>
        </w:rPr>
        <w:t xml:space="preserve"> capabilities.</w:t>
      </w:r>
    </w:p>
    <w:p w14:paraId="028250F6" w14:textId="77777777" w:rsidR="008609B0" w:rsidRDefault="008609B0" w:rsidP="008609B0">
      <w:pPr>
        <w:rPr>
          <w:szCs w:val="20"/>
        </w:rPr>
      </w:pPr>
    </w:p>
    <w:p w14:paraId="5C689AFF" w14:textId="77777777" w:rsidR="008609B0" w:rsidRDefault="008609B0" w:rsidP="008609B0">
      <w:pPr>
        <w:rPr>
          <w:szCs w:val="20"/>
        </w:rPr>
      </w:pPr>
    </w:p>
    <w:p w14:paraId="7CFF8658" w14:textId="77777777" w:rsidR="008609B0" w:rsidRDefault="008609B0" w:rsidP="008609B0">
      <w:pPr>
        <w:rPr>
          <w:i/>
          <w:iCs/>
          <w:szCs w:val="20"/>
        </w:rPr>
      </w:pPr>
    </w:p>
    <w:p w14:paraId="19342788" w14:textId="77777777" w:rsidR="008609B0" w:rsidRDefault="008609B0" w:rsidP="008609B0">
      <w:pPr>
        <w:rPr>
          <w:i/>
          <w:iCs/>
          <w:szCs w:val="20"/>
        </w:rPr>
      </w:pPr>
    </w:p>
    <w:p w14:paraId="428C96E9" w14:textId="77777777" w:rsidR="008609B0" w:rsidRDefault="008609B0" w:rsidP="008609B0">
      <w:pPr>
        <w:rPr>
          <w:i/>
          <w:iCs/>
          <w:szCs w:val="20"/>
        </w:rPr>
      </w:pPr>
    </w:p>
    <w:p w14:paraId="0A240FFE" w14:textId="77777777" w:rsidR="008609B0" w:rsidRDefault="008609B0" w:rsidP="008609B0">
      <w:pPr>
        <w:rPr>
          <w:i/>
          <w:iCs/>
          <w:szCs w:val="20"/>
        </w:rPr>
      </w:pPr>
    </w:p>
    <w:p w14:paraId="4E02FD7F" w14:textId="77777777" w:rsidR="008609B0" w:rsidRDefault="008609B0" w:rsidP="008609B0">
      <w:pPr>
        <w:rPr>
          <w:i/>
          <w:iCs/>
          <w:szCs w:val="20"/>
        </w:rPr>
      </w:pPr>
    </w:p>
    <w:p w14:paraId="69F842DC" w14:textId="77777777" w:rsidR="008609B0" w:rsidRDefault="008609B0" w:rsidP="008609B0">
      <w:pPr>
        <w:rPr>
          <w:i/>
          <w:iCs/>
          <w:szCs w:val="20"/>
        </w:rPr>
      </w:pPr>
    </w:p>
    <w:p w14:paraId="0637FE73" w14:textId="77777777" w:rsidR="008609B0" w:rsidRDefault="008609B0" w:rsidP="008609B0">
      <w:pPr>
        <w:rPr>
          <w:i/>
          <w:iCs/>
          <w:szCs w:val="20"/>
        </w:rPr>
      </w:pPr>
    </w:p>
    <w:p w14:paraId="222EC1CE" w14:textId="77777777" w:rsidR="008609B0" w:rsidRDefault="008609B0" w:rsidP="008609B0">
      <w:pPr>
        <w:rPr>
          <w:i/>
          <w:iCs/>
          <w:szCs w:val="20"/>
        </w:rPr>
      </w:pPr>
    </w:p>
    <w:p w14:paraId="4B8C2494" w14:textId="77777777" w:rsidR="008609B0" w:rsidRDefault="008609B0" w:rsidP="008609B0">
      <w:pPr>
        <w:rPr>
          <w:i/>
          <w:iCs/>
          <w:szCs w:val="20"/>
        </w:rPr>
      </w:pPr>
    </w:p>
    <w:p w14:paraId="4F8943B3" w14:textId="77777777" w:rsidR="008609B0" w:rsidRDefault="008609B0" w:rsidP="008609B0">
      <w:pPr>
        <w:rPr>
          <w:i/>
          <w:iCs/>
          <w:szCs w:val="20"/>
        </w:rPr>
      </w:pPr>
    </w:p>
    <w:p w14:paraId="261C4221" w14:textId="77777777" w:rsidR="008609B0" w:rsidRDefault="008609B0" w:rsidP="008609B0">
      <w:pPr>
        <w:rPr>
          <w:i/>
          <w:iCs/>
          <w:szCs w:val="20"/>
        </w:rPr>
      </w:pPr>
    </w:p>
    <w:p w14:paraId="169062AA" w14:textId="77777777" w:rsidR="008609B0" w:rsidRDefault="008609B0" w:rsidP="008609B0">
      <w:pPr>
        <w:rPr>
          <w:i/>
          <w:iCs/>
          <w:szCs w:val="20"/>
        </w:rPr>
      </w:pPr>
    </w:p>
    <w:p w14:paraId="1030DC48" w14:textId="77777777" w:rsidR="008609B0" w:rsidRDefault="008609B0" w:rsidP="008609B0">
      <w:pPr>
        <w:rPr>
          <w:i/>
          <w:iCs/>
          <w:szCs w:val="20"/>
        </w:rPr>
      </w:pPr>
    </w:p>
    <w:p w14:paraId="5ED89CEF" w14:textId="77777777" w:rsidR="008609B0" w:rsidRDefault="008609B0" w:rsidP="008609B0">
      <w:pPr>
        <w:rPr>
          <w:i/>
          <w:iCs/>
          <w:szCs w:val="20"/>
        </w:rPr>
      </w:pPr>
    </w:p>
    <w:p w14:paraId="7BD5CEDC" w14:textId="77777777" w:rsidR="008609B0" w:rsidRDefault="008609B0" w:rsidP="008609B0">
      <w:pPr>
        <w:rPr>
          <w:i/>
          <w:iCs/>
          <w:szCs w:val="20"/>
        </w:rPr>
      </w:pPr>
    </w:p>
    <w:p w14:paraId="10A9947B" w14:textId="77777777" w:rsidR="008609B0" w:rsidRDefault="008609B0" w:rsidP="008609B0">
      <w:pPr>
        <w:rPr>
          <w:i/>
          <w:iCs/>
          <w:szCs w:val="20"/>
        </w:rPr>
      </w:pPr>
    </w:p>
    <w:p w14:paraId="4BB17835" w14:textId="77777777" w:rsidR="008609B0" w:rsidRDefault="008609B0" w:rsidP="008609B0">
      <w:pPr>
        <w:rPr>
          <w:i/>
          <w:iCs/>
          <w:szCs w:val="20"/>
        </w:rPr>
      </w:pPr>
    </w:p>
    <w:p w14:paraId="048137F4" w14:textId="77777777" w:rsidR="008609B0" w:rsidRDefault="008609B0" w:rsidP="008609B0">
      <w:pPr>
        <w:rPr>
          <w:i/>
          <w:iCs/>
          <w:szCs w:val="20"/>
        </w:rPr>
      </w:pPr>
    </w:p>
    <w:p w14:paraId="44F8A9BE" w14:textId="77777777" w:rsidR="008609B0" w:rsidRDefault="008609B0" w:rsidP="008609B0">
      <w:pPr>
        <w:rPr>
          <w:i/>
          <w:iCs/>
          <w:szCs w:val="20"/>
        </w:rPr>
      </w:pPr>
    </w:p>
    <w:p w14:paraId="6D617656" w14:textId="77777777" w:rsidR="008609B0" w:rsidRDefault="008609B0" w:rsidP="008609B0">
      <w:pPr>
        <w:rPr>
          <w:i/>
          <w:iCs/>
          <w:szCs w:val="20"/>
        </w:rPr>
      </w:pPr>
    </w:p>
    <w:p w14:paraId="27A4E926" w14:textId="77777777" w:rsidR="008609B0" w:rsidRDefault="008609B0" w:rsidP="008609B0">
      <w:pPr>
        <w:rPr>
          <w:i/>
          <w:iCs/>
          <w:szCs w:val="20"/>
        </w:rPr>
      </w:pPr>
    </w:p>
    <w:p w14:paraId="6865E2B9" w14:textId="77777777" w:rsidR="008609B0" w:rsidRDefault="008609B0" w:rsidP="008609B0">
      <w:pPr>
        <w:rPr>
          <w:i/>
          <w:iCs/>
          <w:szCs w:val="20"/>
        </w:rPr>
      </w:pPr>
    </w:p>
    <w:p w14:paraId="51A0BB8A" w14:textId="77777777" w:rsidR="008609B0" w:rsidRDefault="008609B0" w:rsidP="008609B0">
      <w:pPr>
        <w:rPr>
          <w:i/>
          <w:iCs/>
          <w:szCs w:val="20"/>
        </w:rPr>
      </w:pPr>
    </w:p>
    <w:p w14:paraId="39F91A1C" w14:textId="77777777" w:rsidR="008609B0" w:rsidRDefault="008609B0" w:rsidP="008609B0">
      <w:pPr>
        <w:rPr>
          <w:i/>
          <w:iCs/>
          <w:szCs w:val="20"/>
        </w:rPr>
      </w:pPr>
    </w:p>
    <w:p w14:paraId="47643214" w14:textId="77777777" w:rsidR="008609B0" w:rsidRDefault="008609B0" w:rsidP="008609B0">
      <w:pPr>
        <w:rPr>
          <w:i/>
          <w:iCs/>
          <w:szCs w:val="20"/>
        </w:rPr>
      </w:pPr>
    </w:p>
    <w:p w14:paraId="1C92CC05" w14:textId="77777777" w:rsidR="008609B0" w:rsidRDefault="008609B0" w:rsidP="008609B0">
      <w:pPr>
        <w:rPr>
          <w:i/>
          <w:iCs/>
          <w:szCs w:val="20"/>
        </w:rPr>
      </w:pPr>
    </w:p>
    <w:p w14:paraId="340F1A3B" w14:textId="69E1F577" w:rsidR="008609B0" w:rsidRDefault="008609B0" w:rsidP="008609B0">
      <w:pPr>
        <w:rPr>
          <w:i/>
          <w:iCs/>
          <w:szCs w:val="20"/>
        </w:rPr>
      </w:pPr>
      <w:r w:rsidRPr="00EE0886">
        <w:rPr>
          <w:i/>
          <w:iCs/>
          <w:szCs w:val="20"/>
        </w:rPr>
        <w:t>The IGWC makes no claim as to the accuracy of the data shown on this page. Data and state overview is collated and supplied directly from the states</w:t>
      </w:r>
    </w:p>
    <w:p w14:paraId="29784DCE" w14:textId="77777777" w:rsidR="00355383" w:rsidRDefault="00355383" w:rsidP="00355383">
      <w:pPr>
        <w:pStyle w:val="Heading3"/>
      </w:pPr>
      <w:r>
        <w:lastRenderedPageBreak/>
        <w:t>Murray-Darling Basin Victoria Metering Report Card</w:t>
      </w:r>
    </w:p>
    <w:p w14:paraId="074D9BCD" w14:textId="77777777" w:rsidR="00355383" w:rsidRPr="00E04A9F" w:rsidRDefault="00355383" w:rsidP="00355383">
      <w:pPr>
        <w:pStyle w:val="Heading3"/>
        <w:rPr>
          <w:b w:val="0"/>
          <w:bCs/>
          <w:sz w:val="22"/>
        </w:rPr>
      </w:pPr>
      <w:r w:rsidRPr="00E04A9F">
        <w:rPr>
          <w:b w:val="0"/>
          <w:bCs/>
          <w:sz w:val="22"/>
        </w:rPr>
        <w:t>1 July 2023 – 30 June 2024. Progress from 2022-23 metering report card indicated in brackets</w:t>
      </w:r>
    </w:p>
    <w:p w14:paraId="698BAA3D" w14:textId="6EC47A04" w:rsidR="00F778AB" w:rsidRPr="000E1E4F" w:rsidRDefault="00F778AB" w:rsidP="00F778AB">
      <w:pPr>
        <w:pStyle w:val="TableHeading"/>
        <w:rPr>
          <w:b/>
          <w:bCs/>
          <w:w w:val="110"/>
        </w:rPr>
      </w:pPr>
      <w:r w:rsidRPr="000E1E4F">
        <w:rPr>
          <w:b/>
          <w:bCs/>
        </w:rPr>
        <w:t>Table 2</w:t>
      </w:r>
      <w:r w:rsidR="005216F6">
        <w:rPr>
          <w:b/>
          <w:bCs/>
        </w:rPr>
        <w:t>3</w:t>
      </w:r>
      <w:r w:rsidRPr="000E1E4F">
        <w:rPr>
          <w:b/>
          <w:bCs/>
        </w:rPr>
        <w:t xml:space="preserve">. </w:t>
      </w:r>
      <w:r w:rsidRPr="000E1E4F">
        <w:rPr>
          <w:b/>
          <w:bCs/>
          <w:w w:val="110"/>
        </w:rPr>
        <w:t>Percentage of water take metered in Victoria</w:t>
      </w:r>
    </w:p>
    <w:tbl>
      <w:tblPr>
        <w:tblStyle w:val="TableGridLight"/>
        <w:tblW w:w="5387" w:type="dxa"/>
        <w:tblLook w:val="04A0" w:firstRow="1" w:lastRow="0" w:firstColumn="1" w:lastColumn="0" w:noHBand="0" w:noVBand="1"/>
      </w:tblPr>
      <w:tblGrid>
        <w:gridCol w:w="3544"/>
        <w:gridCol w:w="1843"/>
      </w:tblGrid>
      <w:tr w:rsidR="00F778AB" w14:paraId="41D5C81C" w14:textId="77777777" w:rsidTr="009A381D">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2E0EE16B" w14:textId="77777777" w:rsidR="00F778AB" w:rsidRDefault="00F778AB" w:rsidP="009A381D">
            <w:pPr>
              <w:pStyle w:val="TableText"/>
            </w:pPr>
            <w:r>
              <w:t xml:space="preserve">Metered water </w:t>
            </w:r>
            <w:proofErr w:type="gramStart"/>
            <w:r>
              <w:t>take</w:t>
            </w:r>
            <w:proofErr w:type="gramEnd"/>
          </w:p>
        </w:tc>
        <w:tc>
          <w:tcPr>
            <w:tcW w:w="1843" w:type="dxa"/>
            <w:shd w:val="clear" w:color="auto" w:fill="auto"/>
          </w:tcPr>
          <w:p w14:paraId="0BEA97FF" w14:textId="0B76BECF" w:rsidR="00F778AB" w:rsidRDefault="00F778AB" w:rsidP="009A381D">
            <w:pPr>
              <w:pStyle w:val="TableText"/>
              <w:rPr>
                <w:w w:val="115"/>
              </w:rPr>
            </w:pPr>
            <w:r>
              <w:t>98</w:t>
            </w:r>
            <w:r w:rsidR="006C7820">
              <w:t>.47</w:t>
            </w:r>
            <w:r>
              <w:t>%</w:t>
            </w:r>
          </w:p>
        </w:tc>
      </w:tr>
      <w:tr w:rsidR="00F778AB" w14:paraId="782C4546" w14:textId="77777777" w:rsidTr="009A381D">
        <w:tc>
          <w:tcPr>
            <w:tcW w:w="3544" w:type="dxa"/>
          </w:tcPr>
          <w:p w14:paraId="416AB609" w14:textId="77777777" w:rsidR="00F778AB" w:rsidRDefault="00F778AB" w:rsidP="009A381D">
            <w:pPr>
              <w:pStyle w:val="TableText"/>
            </w:pPr>
            <w:r>
              <w:t xml:space="preserve">Exempt water </w:t>
            </w:r>
            <w:proofErr w:type="gramStart"/>
            <w:r>
              <w:t>take</w:t>
            </w:r>
            <w:proofErr w:type="gramEnd"/>
          </w:p>
        </w:tc>
        <w:tc>
          <w:tcPr>
            <w:tcW w:w="1843" w:type="dxa"/>
          </w:tcPr>
          <w:p w14:paraId="35D64545" w14:textId="73DBDF34" w:rsidR="00F778AB" w:rsidRDefault="006C7820" w:rsidP="009A381D">
            <w:pPr>
              <w:pStyle w:val="TableText"/>
              <w:rPr>
                <w:w w:val="115"/>
              </w:rPr>
            </w:pPr>
            <w:r>
              <w:t>1.53</w:t>
            </w:r>
            <w:r w:rsidR="00F778AB">
              <w:t>%</w:t>
            </w:r>
          </w:p>
        </w:tc>
      </w:tr>
      <w:tr w:rsidR="00F778AB" w14:paraId="092CBE21" w14:textId="77777777" w:rsidTr="009A381D">
        <w:tc>
          <w:tcPr>
            <w:tcW w:w="3544" w:type="dxa"/>
          </w:tcPr>
          <w:p w14:paraId="556A8D22" w14:textId="77777777" w:rsidR="00F778AB" w:rsidRDefault="00F778AB" w:rsidP="009A381D">
            <w:pPr>
              <w:pStyle w:val="TableText"/>
            </w:pPr>
            <w:r>
              <w:t xml:space="preserve">Not yet metered water </w:t>
            </w:r>
            <w:proofErr w:type="gramStart"/>
            <w:r>
              <w:t>take</w:t>
            </w:r>
            <w:proofErr w:type="gramEnd"/>
          </w:p>
        </w:tc>
        <w:tc>
          <w:tcPr>
            <w:tcW w:w="1843" w:type="dxa"/>
          </w:tcPr>
          <w:p w14:paraId="73B5312F" w14:textId="77777777" w:rsidR="00F778AB" w:rsidRDefault="00F778AB" w:rsidP="009A381D">
            <w:pPr>
              <w:pStyle w:val="TableText"/>
              <w:rPr>
                <w:w w:val="115"/>
              </w:rPr>
            </w:pPr>
            <w:r>
              <w:t>0%</w:t>
            </w:r>
          </w:p>
        </w:tc>
      </w:tr>
    </w:tbl>
    <w:p w14:paraId="75045E39" w14:textId="77777777" w:rsidR="008609B0" w:rsidRDefault="008609B0" w:rsidP="008609B0">
      <w:pPr>
        <w:rPr>
          <w:i/>
          <w:iCs/>
          <w:szCs w:val="20"/>
        </w:rPr>
      </w:pPr>
    </w:p>
    <w:p w14:paraId="1239C6F7" w14:textId="77777777" w:rsidR="00E00001" w:rsidRDefault="00E00001" w:rsidP="00E00001">
      <w:pPr>
        <w:rPr>
          <w:i/>
          <w:iCs/>
          <w:szCs w:val="20"/>
        </w:rPr>
      </w:pPr>
      <w:r w:rsidRPr="00217B25">
        <w:rPr>
          <w:i/>
          <w:iCs/>
          <w:szCs w:val="20"/>
        </w:rPr>
        <w:t xml:space="preserve">This measure is reported to highlight percentage of </w:t>
      </w:r>
      <w:r>
        <w:rPr>
          <w:i/>
          <w:iCs/>
          <w:szCs w:val="20"/>
        </w:rPr>
        <w:t xml:space="preserve">actual, </w:t>
      </w:r>
      <w:r w:rsidRPr="00217B25">
        <w:rPr>
          <w:i/>
          <w:iCs/>
          <w:szCs w:val="20"/>
        </w:rPr>
        <w:t>meterable water take across the Murray-Darling Basin by each State that is metered. As this metric is influenced by water user behaviour, year-on-year change is not displayed in brackets. Data owner/sources: Basin jurisdictions</w:t>
      </w:r>
    </w:p>
    <w:p w14:paraId="489B5B8A" w14:textId="77777777" w:rsidR="003600CE" w:rsidRDefault="003600CE" w:rsidP="00E00001">
      <w:pPr>
        <w:rPr>
          <w:i/>
          <w:iCs/>
          <w:szCs w:val="20"/>
        </w:rPr>
      </w:pPr>
    </w:p>
    <w:p w14:paraId="08D5E8AB" w14:textId="7CCF840E" w:rsidR="003600CE" w:rsidRPr="00AF5678" w:rsidRDefault="00AF5678" w:rsidP="00AF5678">
      <w:pPr>
        <w:pStyle w:val="TableHeading"/>
        <w:rPr>
          <w:b/>
          <w:bCs/>
          <w:w w:val="110"/>
        </w:rPr>
      </w:pPr>
      <w:r w:rsidRPr="000E1E4F">
        <w:rPr>
          <w:b/>
          <w:bCs/>
        </w:rPr>
        <w:t>Table 2</w:t>
      </w:r>
      <w:r w:rsidR="005216F6">
        <w:rPr>
          <w:b/>
          <w:bCs/>
        </w:rPr>
        <w:t>4</w:t>
      </w:r>
      <w:r w:rsidRPr="000E1E4F">
        <w:rPr>
          <w:b/>
          <w:bCs/>
        </w:rPr>
        <w:t xml:space="preserve">. </w:t>
      </w:r>
      <w:r w:rsidRPr="000E1E4F">
        <w:rPr>
          <w:b/>
          <w:bCs/>
          <w:w w:val="110"/>
        </w:rPr>
        <w:t>Percentage of water take telemetered in Victoria</w:t>
      </w:r>
    </w:p>
    <w:tbl>
      <w:tblPr>
        <w:tblStyle w:val="TableGridLight"/>
        <w:tblW w:w="7230" w:type="dxa"/>
        <w:tblLook w:val="04A0" w:firstRow="1" w:lastRow="0" w:firstColumn="1" w:lastColumn="0" w:noHBand="0" w:noVBand="1"/>
      </w:tblPr>
      <w:tblGrid>
        <w:gridCol w:w="3544"/>
        <w:gridCol w:w="1843"/>
        <w:gridCol w:w="1843"/>
      </w:tblGrid>
      <w:tr w:rsidR="003600CE" w14:paraId="7CF2558A" w14:textId="77777777" w:rsidTr="003600CE">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1C6F4614" w14:textId="77777777" w:rsidR="003600CE" w:rsidRPr="000E1E4F" w:rsidRDefault="003600CE" w:rsidP="009A381D">
            <w:pPr>
              <w:pStyle w:val="TableText"/>
            </w:pPr>
            <w:r w:rsidRPr="000E1E4F">
              <w:t>Percentage of water take monitored through meters with telemetry connected to the regulators data collection system</w:t>
            </w:r>
          </w:p>
        </w:tc>
        <w:tc>
          <w:tcPr>
            <w:tcW w:w="1843" w:type="dxa"/>
            <w:shd w:val="clear" w:color="auto" w:fill="auto"/>
          </w:tcPr>
          <w:p w14:paraId="5F1484B9" w14:textId="77777777" w:rsidR="003600CE" w:rsidRPr="000E1E4F" w:rsidRDefault="003600CE" w:rsidP="009A381D">
            <w:pPr>
              <w:pStyle w:val="TableText"/>
            </w:pPr>
          </w:p>
        </w:tc>
        <w:tc>
          <w:tcPr>
            <w:tcW w:w="1843" w:type="dxa"/>
            <w:shd w:val="clear" w:color="auto" w:fill="auto"/>
          </w:tcPr>
          <w:p w14:paraId="73E03F89" w14:textId="1946468E" w:rsidR="003600CE" w:rsidRPr="000E1E4F" w:rsidRDefault="003600CE" w:rsidP="009A381D">
            <w:pPr>
              <w:pStyle w:val="TableText"/>
            </w:pPr>
            <w:r w:rsidRPr="000E1E4F">
              <w:t>7</w:t>
            </w:r>
            <w:r w:rsidR="001A5F8E">
              <w:t>2</w:t>
            </w:r>
            <w:r w:rsidRPr="000E1E4F">
              <w:t>%</w:t>
            </w:r>
          </w:p>
        </w:tc>
      </w:tr>
      <w:tr w:rsidR="003600CE" w14:paraId="40BE8A4F" w14:textId="77777777" w:rsidTr="003600CE">
        <w:tc>
          <w:tcPr>
            <w:tcW w:w="3544" w:type="dxa"/>
          </w:tcPr>
          <w:p w14:paraId="77C88930" w14:textId="77777777" w:rsidR="003600CE" w:rsidRPr="000E1E4F" w:rsidRDefault="003600CE" w:rsidP="009A381D">
            <w:pPr>
              <w:pStyle w:val="TableText"/>
            </w:pPr>
            <w:r w:rsidRPr="000E1E4F">
              <w:t>Percentage of metered water take with telemetry not required</w:t>
            </w:r>
          </w:p>
        </w:tc>
        <w:tc>
          <w:tcPr>
            <w:tcW w:w="1843" w:type="dxa"/>
          </w:tcPr>
          <w:p w14:paraId="7D71E9E0" w14:textId="77777777" w:rsidR="003600CE" w:rsidRPr="000E1E4F" w:rsidRDefault="003600CE" w:rsidP="009A381D">
            <w:pPr>
              <w:pStyle w:val="TableText"/>
            </w:pPr>
          </w:p>
        </w:tc>
        <w:tc>
          <w:tcPr>
            <w:tcW w:w="1843" w:type="dxa"/>
          </w:tcPr>
          <w:p w14:paraId="6343F298" w14:textId="7A1647D8" w:rsidR="003600CE" w:rsidRPr="000E1E4F" w:rsidRDefault="003600CE" w:rsidP="009A381D">
            <w:pPr>
              <w:pStyle w:val="TableText"/>
            </w:pPr>
            <w:r w:rsidRPr="000E1E4F">
              <w:t>2</w:t>
            </w:r>
            <w:r w:rsidR="001A5F8E">
              <w:t>8</w:t>
            </w:r>
            <w:r w:rsidRPr="000E1E4F">
              <w:t>%</w:t>
            </w:r>
          </w:p>
        </w:tc>
      </w:tr>
    </w:tbl>
    <w:p w14:paraId="203161D2" w14:textId="77777777" w:rsidR="008609B0" w:rsidRDefault="008609B0" w:rsidP="00534325">
      <w:pPr>
        <w:pStyle w:val="ListParagraph"/>
        <w:ind w:left="0"/>
        <w:rPr>
          <w:i/>
          <w:iCs/>
        </w:rPr>
      </w:pPr>
    </w:p>
    <w:p w14:paraId="55DD4AD0" w14:textId="1B5A140C" w:rsidR="002255CA" w:rsidRPr="002255CA" w:rsidRDefault="002255CA" w:rsidP="002255CA">
      <w:pPr>
        <w:rPr>
          <w:i/>
          <w:iCs/>
        </w:rPr>
      </w:pPr>
      <w:r w:rsidRPr="002255CA">
        <w:rPr>
          <w:i/>
          <w:iCs/>
        </w:rPr>
        <w:t>This measure is reported to highlight percentage of meterable water take across the Murray-Darling Basin by each State that is telemetered. Data owner/ sources: Basin jurisdictions</w:t>
      </w:r>
    </w:p>
    <w:p w14:paraId="74BEC6CB" w14:textId="77777777" w:rsidR="002255CA" w:rsidRDefault="002255CA" w:rsidP="00534325">
      <w:pPr>
        <w:pStyle w:val="ListParagraph"/>
        <w:ind w:left="0"/>
        <w:rPr>
          <w:i/>
          <w:iCs/>
        </w:rPr>
      </w:pPr>
    </w:p>
    <w:p w14:paraId="77E12FDB" w14:textId="5C7BDAD4" w:rsidR="00572213" w:rsidRPr="000E1E4F" w:rsidRDefault="00572213" w:rsidP="00572213">
      <w:pPr>
        <w:pStyle w:val="TableHeading"/>
        <w:rPr>
          <w:b/>
          <w:bCs/>
          <w:w w:val="110"/>
        </w:rPr>
      </w:pPr>
      <w:r w:rsidRPr="000E1E4F">
        <w:rPr>
          <w:b/>
          <w:bCs/>
        </w:rPr>
        <w:t>Table 2</w:t>
      </w:r>
      <w:r w:rsidR="005216F6">
        <w:rPr>
          <w:b/>
          <w:bCs/>
        </w:rPr>
        <w:t>5</w:t>
      </w:r>
      <w:r w:rsidRPr="000E1E4F">
        <w:rPr>
          <w:b/>
          <w:bCs/>
        </w:rPr>
        <w:t xml:space="preserve">. </w:t>
      </w:r>
      <w:r w:rsidRPr="000E1E4F">
        <w:rPr>
          <w:b/>
          <w:bCs/>
          <w:w w:val="110"/>
        </w:rPr>
        <w:t>Metering accuracy in Victoria</w:t>
      </w:r>
    </w:p>
    <w:tbl>
      <w:tblPr>
        <w:tblStyle w:val="TableGridLight"/>
        <w:tblW w:w="5670" w:type="dxa"/>
        <w:tblLook w:val="04A0" w:firstRow="1" w:lastRow="0" w:firstColumn="1" w:lastColumn="0" w:noHBand="0" w:noVBand="1"/>
      </w:tblPr>
      <w:tblGrid>
        <w:gridCol w:w="3544"/>
        <w:gridCol w:w="2126"/>
      </w:tblGrid>
      <w:tr w:rsidR="00572213" w14:paraId="18CDCAB2" w14:textId="77777777" w:rsidTr="009A381D">
        <w:trPr>
          <w:cnfStyle w:val="100000000000" w:firstRow="1" w:lastRow="0" w:firstColumn="0" w:lastColumn="0" w:oddVBand="0" w:evenVBand="0" w:oddHBand="0" w:evenHBand="0" w:firstRowFirstColumn="0" w:firstRowLastColumn="0" w:lastRowFirstColumn="0" w:lastRowLastColumn="0"/>
        </w:trPr>
        <w:tc>
          <w:tcPr>
            <w:tcW w:w="3544" w:type="dxa"/>
            <w:shd w:val="clear" w:color="auto" w:fill="auto"/>
          </w:tcPr>
          <w:p w14:paraId="14F5CC1D" w14:textId="77777777" w:rsidR="00572213" w:rsidRPr="000E1E4F" w:rsidRDefault="00572213" w:rsidP="009A381D">
            <w:pPr>
              <w:pStyle w:val="TableText"/>
            </w:pPr>
            <w:r w:rsidRPr="000E1E4F">
              <w:t>AS4747 meters</w:t>
            </w:r>
          </w:p>
        </w:tc>
        <w:tc>
          <w:tcPr>
            <w:tcW w:w="2126" w:type="dxa"/>
            <w:shd w:val="clear" w:color="auto" w:fill="auto"/>
          </w:tcPr>
          <w:p w14:paraId="34A42936" w14:textId="480EEA25" w:rsidR="00572213" w:rsidRPr="000E1E4F" w:rsidRDefault="004731C3" w:rsidP="009A381D">
            <w:pPr>
              <w:pStyle w:val="TableText"/>
            </w:pPr>
            <w:r>
              <w:t>8.5</w:t>
            </w:r>
            <w:r w:rsidR="00572213" w:rsidRPr="000E1E4F">
              <w:t>% (+1</w:t>
            </w:r>
            <w:r>
              <w:t>.5</w:t>
            </w:r>
            <w:r w:rsidR="00572213" w:rsidRPr="000E1E4F">
              <w:t>%)</w:t>
            </w:r>
          </w:p>
        </w:tc>
      </w:tr>
      <w:tr w:rsidR="00572213" w14:paraId="5A5FA40D" w14:textId="77777777" w:rsidTr="009A381D">
        <w:tc>
          <w:tcPr>
            <w:tcW w:w="3544" w:type="dxa"/>
          </w:tcPr>
          <w:p w14:paraId="29E5CC7B" w14:textId="77777777" w:rsidR="00572213" w:rsidRPr="000E1E4F" w:rsidRDefault="00572213" w:rsidP="009A381D">
            <w:pPr>
              <w:pStyle w:val="TableText"/>
            </w:pPr>
            <w:r w:rsidRPr="000E1E4F">
              <w:t>Grandfathered meters</w:t>
            </w:r>
          </w:p>
        </w:tc>
        <w:tc>
          <w:tcPr>
            <w:tcW w:w="2126" w:type="dxa"/>
          </w:tcPr>
          <w:p w14:paraId="6FE25EE7" w14:textId="77777777" w:rsidR="00572213" w:rsidRPr="000E1E4F" w:rsidRDefault="00572213" w:rsidP="009A381D">
            <w:pPr>
              <w:pStyle w:val="TableText"/>
            </w:pPr>
            <w:r w:rsidRPr="000E1E4F">
              <w:t>39%</w:t>
            </w:r>
          </w:p>
        </w:tc>
      </w:tr>
      <w:tr w:rsidR="00572213" w14:paraId="6F819B4F" w14:textId="77777777" w:rsidTr="009A381D">
        <w:tc>
          <w:tcPr>
            <w:tcW w:w="3544" w:type="dxa"/>
          </w:tcPr>
          <w:p w14:paraId="2225625D" w14:textId="77777777" w:rsidR="00572213" w:rsidRPr="000E1E4F" w:rsidRDefault="00572213" w:rsidP="009A381D">
            <w:pPr>
              <w:pStyle w:val="TableText"/>
            </w:pPr>
            <w:r w:rsidRPr="000E1E4F">
              <w:t>All other meters</w:t>
            </w:r>
          </w:p>
        </w:tc>
        <w:tc>
          <w:tcPr>
            <w:tcW w:w="2126" w:type="dxa"/>
          </w:tcPr>
          <w:p w14:paraId="0F3B42E2" w14:textId="2D3243E5" w:rsidR="00572213" w:rsidRPr="000E1E4F" w:rsidRDefault="00572213" w:rsidP="009A381D">
            <w:pPr>
              <w:pStyle w:val="TableText"/>
            </w:pPr>
            <w:r w:rsidRPr="000E1E4F">
              <w:t>5</w:t>
            </w:r>
            <w:r w:rsidR="003864CB">
              <w:t>2.5</w:t>
            </w:r>
            <w:r w:rsidRPr="000E1E4F">
              <w:t>%</w:t>
            </w:r>
          </w:p>
        </w:tc>
      </w:tr>
    </w:tbl>
    <w:p w14:paraId="26D2966A" w14:textId="77777777" w:rsidR="00572213" w:rsidRDefault="00572213" w:rsidP="00534325">
      <w:pPr>
        <w:pStyle w:val="ListParagraph"/>
        <w:ind w:left="0"/>
        <w:rPr>
          <w:i/>
          <w:iCs/>
        </w:rPr>
      </w:pPr>
    </w:p>
    <w:p w14:paraId="64F280CC" w14:textId="77777777" w:rsidR="00D77B64" w:rsidRPr="00217B25" w:rsidRDefault="00D77B64" w:rsidP="00D77B64">
      <w:pPr>
        <w:rPr>
          <w:i/>
          <w:iCs/>
          <w:szCs w:val="20"/>
        </w:rPr>
      </w:pPr>
      <w:r w:rsidRPr="00217B25">
        <w:rPr>
          <w:i/>
          <w:iCs/>
          <w:szCs w:val="20"/>
        </w:rPr>
        <w:t>This measure is reported to understand the percentages of meters that comply with the State’s metering policy and are therefore deemed accurate (including AS4747 and grandfathered meters). The percentage of AS4747 meters in the measure is intended to show progress Basin States are making in the roll-out of AS4747 metering. Please note that the ‘all other meters’ category may include meters that are not required to be AS4747 compliant or grandfathered. Data owner/sources: Basin jurisdictions</w:t>
      </w:r>
    </w:p>
    <w:p w14:paraId="179908C7" w14:textId="77777777" w:rsidR="00D77B64" w:rsidRDefault="00D77B64" w:rsidP="00534325">
      <w:pPr>
        <w:pStyle w:val="ListParagraph"/>
        <w:ind w:left="0"/>
        <w:rPr>
          <w:i/>
          <w:iCs/>
        </w:rPr>
      </w:pPr>
    </w:p>
    <w:p w14:paraId="34E5DDB9" w14:textId="516560EC" w:rsidR="00FC7ABC" w:rsidRPr="000E1E4F" w:rsidRDefault="00FC7ABC" w:rsidP="00FC7ABC">
      <w:pPr>
        <w:pStyle w:val="TableHeading"/>
        <w:rPr>
          <w:b/>
          <w:bCs/>
          <w:w w:val="110"/>
        </w:rPr>
      </w:pPr>
      <w:r w:rsidRPr="000E1E4F">
        <w:rPr>
          <w:b/>
          <w:bCs/>
        </w:rPr>
        <w:lastRenderedPageBreak/>
        <w:t>Table 2</w:t>
      </w:r>
      <w:r w:rsidR="005216F6">
        <w:rPr>
          <w:b/>
          <w:bCs/>
        </w:rPr>
        <w:t>6</w:t>
      </w:r>
      <w:r w:rsidRPr="000E1E4F">
        <w:rPr>
          <w:b/>
          <w:bCs/>
        </w:rPr>
        <w:t xml:space="preserve">. </w:t>
      </w:r>
      <w:r w:rsidRPr="000E1E4F">
        <w:rPr>
          <w:b/>
          <w:bCs/>
          <w:w w:val="110"/>
        </w:rPr>
        <w:t>Telemetry coverage</w:t>
      </w:r>
    </w:p>
    <w:tbl>
      <w:tblPr>
        <w:tblStyle w:val="TableGridLight"/>
        <w:tblW w:w="9639" w:type="dxa"/>
        <w:tblLook w:val="04A0" w:firstRow="1" w:lastRow="0" w:firstColumn="1" w:lastColumn="0" w:noHBand="0" w:noVBand="1"/>
      </w:tblPr>
      <w:tblGrid>
        <w:gridCol w:w="7371"/>
        <w:gridCol w:w="2268"/>
      </w:tblGrid>
      <w:tr w:rsidR="00FC7ABC" w14:paraId="1C4587FB" w14:textId="77777777" w:rsidTr="009A381D">
        <w:trPr>
          <w:cnfStyle w:val="100000000000" w:firstRow="1" w:lastRow="0" w:firstColumn="0" w:lastColumn="0" w:oddVBand="0" w:evenVBand="0" w:oddHBand="0" w:evenHBand="0" w:firstRowFirstColumn="0" w:firstRowLastColumn="0" w:lastRowFirstColumn="0" w:lastRowLastColumn="0"/>
        </w:trPr>
        <w:tc>
          <w:tcPr>
            <w:tcW w:w="7371" w:type="dxa"/>
            <w:shd w:val="clear" w:color="auto" w:fill="auto"/>
          </w:tcPr>
          <w:p w14:paraId="7177D992" w14:textId="77777777" w:rsidR="00FC7ABC" w:rsidRDefault="00FC7ABC" w:rsidP="009A381D">
            <w:pPr>
              <w:pStyle w:val="TableText"/>
            </w:pPr>
            <w:r>
              <w:t>Meter % with telemetry connected to the regulator’s data collection system</w:t>
            </w:r>
          </w:p>
        </w:tc>
        <w:tc>
          <w:tcPr>
            <w:tcW w:w="2268" w:type="dxa"/>
            <w:shd w:val="clear" w:color="auto" w:fill="auto"/>
          </w:tcPr>
          <w:p w14:paraId="1DE2AE4D" w14:textId="1956508E" w:rsidR="00FC7ABC" w:rsidRDefault="00FC7ABC" w:rsidP="009A381D">
            <w:pPr>
              <w:pStyle w:val="TableText"/>
              <w:rPr>
                <w:w w:val="115"/>
              </w:rPr>
            </w:pPr>
            <w:r>
              <w:t>62%</w:t>
            </w:r>
          </w:p>
        </w:tc>
      </w:tr>
      <w:tr w:rsidR="00FC7ABC" w14:paraId="39312C68" w14:textId="77777777" w:rsidTr="009A381D">
        <w:tc>
          <w:tcPr>
            <w:tcW w:w="7371" w:type="dxa"/>
          </w:tcPr>
          <w:p w14:paraId="327E7104" w14:textId="77777777" w:rsidR="00FC7ABC" w:rsidRDefault="00FC7ABC" w:rsidP="009A381D">
            <w:pPr>
              <w:pStyle w:val="TableText"/>
            </w:pPr>
            <w:r>
              <w:t>Meter % required to have telemetry connected to the regulator’s data collection system, but which are not connected</w:t>
            </w:r>
          </w:p>
        </w:tc>
        <w:tc>
          <w:tcPr>
            <w:tcW w:w="2268" w:type="dxa"/>
          </w:tcPr>
          <w:p w14:paraId="37C26F36" w14:textId="77777777" w:rsidR="00FC7ABC" w:rsidRDefault="00FC7ABC" w:rsidP="009A381D">
            <w:pPr>
              <w:pStyle w:val="TableText"/>
              <w:rPr>
                <w:w w:val="115"/>
              </w:rPr>
            </w:pPr>
            <w:r>
              <w:t>0%</w:t>
            </w:r>
          </w:p>
        </w:tc>
      </w:tr>
      <w:tr w:rsidR="00FC7ABC" w14:paraId="375D68CC" w14:textId="77777777" w:rsidTr="009A381D">
        <w:tc>
          <w:tcPr>
            <w:tcW w:w="7371" w:type="dxa"/>
          </w:tcPr>
          <w:p w14:paraId="2E8157B1" w14:textId="77777777" w:rsidR="00FC7ABC" w:rsidRDefault="00FC7ABC" w:rsidP="009A381D">
            <w:pPr>
              <w:pStyle w:val="TableText"/>
            </w:pPr>
            <w:r>
              <w:t>Meter % with telemetry not required</w:t>
            </w:r>
          </w:p>
        </w:tc>
        <w:tc>
          <w:tcPr>
            <w:tcW w:w="2268" w:type="dxa"/>
          </w:tcPr>
          <w:p w14:paraId="330DE6D6" w14:textId="77777777" w:rsidR="00FC7ABC" w:rsidRDefault="00FC7ABC" w:rsidP="009A381D">
            <w:pPr>
              <w:pStyle w:val="TableText"/>
              <w:rPr>
                <w:w w:val="115"/>
              </w:rPr>
            </w:pPr>
            <w:r>
              <w:t>38%</w:t>
            </w:r>
          </w:p>
        </w:tc>
      </w:tr>
    </w:tbl>
    <w:p w14:paraId="3520583D" w14:textId="77777777" w:rsidR="00FC7ABC" w:rsidRDefault="00FC7ABC" w:rsidP="00534325">
      <w:pPr>
        <w:pStyle w:val="ListParagraph"/>
        <w:ind w:left="0"/>
        <w:rPr>
          <w:i/>
          <w:iCs/>
        </w:rPr>
      </w:pPr>
    </w:p>
    <w:p w14:paraId="079A6956" w14:textId="77777777" w:rsidR="000B1CE9" w:rsidRPr="00217B25" w:rsidRDefault="000B1CE9" w:rsidP="000B1CE9">
      <w:pPr>
        <w:rPr>
          <w:i/>
          <w:iCs/>
          <w:szCs w:val="20"/>
        </w:rPr>
      </w:pPr>
      <w:r w:rsidRPr="00217B25">
        <w:rPr>
          <w:i/>
          <w:iCs/>
          <w:szCs w:val="20"/>
        </w:rPr>
        <w:t>This measure is reported to identify the percentage of meters with telemetry connected to the Basin jurisdiction’s data system. Data owner/sources: Basin jurisdictions</w:t>
      </w:r>
    </w:p>
    <w:p w14:paraId="03368ECB" w14:textId="77777777" w:rsidR="009123C7" w:rsidRPr="00800290" w:rsidRDefault="009123C7" w:rsidP="009123C7">
      <w:pPr>
        <w:pStyle w:val="Heading3"/>
      </w:pPr>
      <w:r w:rsidRPr="00800290">
        <w:t>How meter data is collected where telemetry is not used</w:t>
      </w:r>
    </w:p>
    <w:p w14:paraId="5F10C182" w14:textId="77777777" w:rsidR="009123C7" w:rsidRPr="00E903D3" w:rsidRDefault="009123C7" w:rsidP="009123C7">
      <w:r w:rsidRPr="00E903D3">
        <w:t>The Victorian Government’s Non-</w:t>
      </w:r>
      <w:proofErr w:type="gramStart"/>
      <w:r w:rsidRPr="00E903D3">
        <w:t>urban</w:t>
      </w:r>
      <w:proofErr w:type="gramEnd"/>
      <w:r w:rsidRPr="00E903D3">
        <w:t xml:space="preserve"> Water Metering Policy (2020) requires water corporations to read</w:t>
      </w:r>
      <w:r>
        <w:t xml:space="preserve"> </w:t>
      </w:r>
      <w:r w:rsidRPr="00E903D3">
        <w:t>meters at least once a year for low volume low-risk meters, more frequently for higher-risk volumes, and at</w:t>
      </w:r>
      <w:r>
        <w:t xml:space="preserve"> </w:t>
      </w:r>
      <w:r w:rsidRPr="00E903D3">
        <w:t>least twice a year for surface water winter-fill licences or where there is a history of usage breaches. Victoria’s</w:t>
      </w:r>
      <w:r>
        <w:t xml:space="preserve"> </w:t>
      </w:r>
      <w:r w:rsidRPr="00E903D3">
        <w:t>Rural Water Corporations (RWC) own meter assets and are responsible for manually reading meters where</w:t>
      </w:r>
      <w:r>
        <w:t xml:space="preserve"> </w:t>
      </w:r>
      <w:r w:rsidRPr="00E903D3">
        <w:t>telemetry is not available.</w:t>
      </w:r>
    </w:p>
    <w:p w14:paraId="20DC882D" w14:textId="77777777" w:rsidR="009123C7" w:rsidRDefault="009123C7" w:rsidP="009123C7">
      <w:r w:rsidRPr="00E903D3">
        <w:t>Under Victoria’s Policy RWCs determine the most appropriate meter read frequencies within their service</w:t>
      </w:r>
      <w:r>
        <w:t xml:space="preserve"> </w:t>
      </w:r>
      <w:r w:rsidRPr="00E903D3">
        <w:t>areas based on risk, provided they meet minimum standards set by the Policy. Minimum standards are meter</w:t>
      </w:r>
      <w:r>
        <w:t xml:space="preserve"> </w:t>
      </w:r>
      <w:r w:rsidRPr="00E903D3">
        <w:t>read frequencies of at least once a year on low volume or low risk customers, and at least two times per year</w:t>
      </w:r>
      <w:r>
        <w:t xml:space="preserve"> </w:t>
      </w:r>
      <w:r w:rsidRPr="00E903D3">
        <w:t>for surface water winter-fill licences. High-risk meters are read automatically through telemetry.</w:t>
      </w:r>
    </w:p>
    <w:p w14:paraId="4760D8B3" w14:textId="77777777" w:rsidR="009123C7" w:rsidRDefault="009123C7" w:rsidP="009123C7">
      <w:pPr>
        <w:rPr>
          <w:i/>
          <w:iCs/>
          <w:szCs w:val="20"/>
        </w:rPr>
      </w:pPr>
      <w:r w:rsidRPr="00F22773">
        <w:rPr>
          <w:i/>
          <w:iCs/>
          <w:szCs w:val="20"/>
        </w:rPr>
        <w:t xml:space="preserve">This measure is reported to identify how meter data is collected and how often when telemetry is not being used. Data owner/sources: </w:t>
      </w:r>
      <w:r>
        <w:t>Basin jurisdictions</w:t>
      </w:r>
    </w:p>
    <w:p w14:paraId="69662743" w14:textId="77777777" w:rsidR="009123C7" w:rsidRPr="00800290" w:rsidRDefault="009123C7" w:rsidP="009123C7">
      <w:pPr>
        <w:pStyle w:val="Heading3"/>
      </w:pPr>
      <w:r w:rsidRPr="00800290">
        <w:t>Victoria provided narrative</w:t>
      </w:r>
    </w:p>
    <w:p w14:paraId="0EFD262F" w14:textId="77777777" w:rsidR="009123C7" w:rsidRPr="00BB5622" w:rsidRDefault="009123C7" w:rsidP="009123C7">
      <w:r w:rsidRPr="00BB5622">
        <w:t>Victoria has a high coverage of meters and extensive telemetry across northern Victoria.</w:t>
      </w:r>
    </w:p>
    <w:p w14:paraId="20AEA1AF" w14:textId="77777777" w:rsidR="009123C7" w:rsidRPr="00BB5622" w:rsidRDefault="009123C7" w:rsidP="009123C7">
      <w:r w:rsidRPr="00BB5622">
        <w:t>In 2023-24, 98.5 per cent of water taken in the Victorian part of the Murray-Darling Basin was metered</w:t>
      </w:r>
      <w:r>
        <w:t xml:space="preserve"> </w:t>
      </w:r>
      <w:r w:rsidRPr="00BB5622">
        <w:t>and 85 per cent of total take was through meters that conform with AS4747 standards or contemporary</w:t>
      </w:r>
      <w:r>
        <w:t xml:space="preserve"> </w:t>
      </w:r>
      <w:r w:rsidRPr="00BB5622">
        <w:t>(grandfathered) standard accurate to +/-5% in accordance with Victorian policy.</w:t>
      </w:r>
      <w:r>
        <w:t xml:space="preserve"> </w:t>
      </w:r>
      <w:r w:rsidRPr="00BB5622">
        <w:t>Victoria has been an early adopter of telemetry and automated control systems. 71 per cent of total</w:t>
      </w:r>
      <w:r>
        <w:t xml:space="preserve"> </w:t>
      </w:r>
      <w:r w:rsidRPr="00BB5622">
        <w:t>water take in northern Victoria was telemetered. Victoria is further uplifting telemetry to target highest</w:t>
      </w:r>
      <w:r>
        <w:t xml:space="preserve"> </w:t>
      </w:r>
      <w:r w:rsidRPr="00BB5622">
        <w:t>compliance risks. This includes more telemetry in the Victorian Murray trading zone 7 - one of Victoria’s</w:t>
      </w:r>
      <w:r>
        <w:t xml:space="preserve"> </w:t>
      </w:r>
      <w:r w:rsidRPr="00BB5622">
        <w:t>most active trading zones.</w:t>
      </w:r>
    </w:p>
    <w:p w14:paraId="667D6A6C" w14:textId="77777777" w:rsidR="009123C7" w:rsidRPr="00BB5622" w:rsidRDefault="009123C7" w:rsidP="009123C7">
      <w:r w:rsidRPr="00BB5622">
        <w:t>As of 30 June 2024, Northern Victorian RWCs have more than 46,147 meters installed, approximately</w:t>
      </w:r>
      <w:r>
        <w:t xml:space="preserve"> </w:t>
      </w:r>
      <w:r w:rsidRPr="00BB5622">
        <w:t xml:space="preserve">28,750 of which have telemetry. </w:t>
      </w:r>
      <w:proofErr w:type="gramStart"/>
      <w:r w:rsidRPr="00BB5622">
        <w:t>44,856 meter</w:t>
      </w:r>
      <w:proofErr w:type="gramEnd"/>
      <w:r w:rsidRPr="00BB5622">
        <w:t xml:space="preserve"> reads were conducted in Northern Victoria in 2023-24,</w:t>
      </w:r>
      <w:r>
        <w:t xml:space="preserve"> </w:t>
      </w:r>
      <w:r w:rsidRPr="00BB5622">
        <w:t>as reported by the four Northern RWCs. 24,370 additional inspections were conducted, to ensure that</w:t>
      </w:r>
      <w:r>
        <w:t xml:space="preserve"> </w:t>
      </w:r>
      <w:r w:rsidRPr="00BB5622">
        <w:t>meters were maintained and functioning efficiently.</w:t>
      </w:r>
    </w:p>
    <w:p w14:paraId="7468A5BF" w14:textId="77777777" w:rsidR="009123C7" w:rsidRPr="00BB5622" w:rsidRDefault="009123C7" w:rsidP="009123C7">
      <w:r w:rsidRPr="00BB5622">
        <w:t>In 2023-24, RWCs continued to invest in installing new meters, telemetry on meters and database</w:t>
      </w:r>
      <w:r>
        <w:t xml:space="preserve"> </w:t>
      </w:r>
      <w:r w:rsidRPr="00BB5622">
        <w:t>management systems to enable better monitoring of water take, increase greater scrutiny of potential</w:t>
      </w:r>
      <w:r>
        <w:t xml:space="preserve"> </w:t>
      </w:r>
      <w:r w:rsidRPr="00BB5622">
        <w:t>breaches, and more comprehensive compliance reporting.</w:t>
      </w:r>
    </w:p>
    <w:p w14:paraId="6DAB7B88" w14:textId="77777777" w:rsidR="009123C7" w:rsidRDefault="009123C7" w:rsidP="009123C7">
      <w:r w:rsidRPr="00BB5622">
        <w:t>The Victorian Government’s Non-Urban Water Metering Policy (2020) is consistent with the Compliance</w:t>
      </w:r>
      <w:r>
        <w:t xml:space="preserve"> </w:t>
      </w:r>
      <w:r w:rsidRPr="00BB5622">
        <w:t>Compact. The policy has been reviewed against MAF2 (2021) requirements and found to broadly align</w:t>
      </w:r>
      <w:r>
        <w:t xml:space="preserve"> </w:t>
      </w:r>
      <w:r w:rsidRPr="00BB5622">
        <w:t xml:space="preserve">with these. In 2023-24 the policy was updated </w:t>
      </w:r>
      <w:r w:rsidRPr="00BB5622">
        <w:lastRenderedPageBreak/>
        <w:t>to strengthen alignment with MAF2 requirements and was</w:t>
      </w:r>
      <w:r>
        <w:t xml:space="preserve"> </w:t>
      </w:r>
      <w:r w:rsidRPr="00BB5622">
        <w:t>published on the DEECA website in January 2025</w:t>
      </w:r>
      <w:r>
        <w:t>.</w:t>
      </w:r>
    </w:p>
    <w:p w14:paraId="66AF0704" w14:textId="77777777" w:rsidR="009123C7" w:rsidRDefault="009123C7" w:rsidP="009123C7"/>
    <w:p w14:paraId="63AD12F8" w14:textId="77777777" w:rsidR="009123C7" w:rsidRDefault="009123C7" w:rsidP="009123C7"/>
    <w:p w14:paraId="01BDB13A" w14:textId="77777777" w:rsidR="009123C7" w:rsidRDefault="009123C7" w:rsidP="009123C7"/>
    <w:p w14:paraId="3C98606E" w14:textId="77777777" w:rsidR="009123C7" w:rsidRDefault="009123C7" w:rsidP="009123C7"/>
    <w:p w14:paraId="00EF36EB" w14:textId="77777777" w:rsidR="009123C7" w:rsidRDefault="009123C7" w:rsidP="009123C7"/>
    <w:p w14:paraId="37A4EE28" w14:textId="77777777" w:rsidR="009123C7" w:rsidRDefault="009123C7" w:rsidP="009123C7"/>
    <w:p w14:paraId="3F221342" w14:textId="77777777" w:rsidR="009123C7" w:rsidRDefault="009123C7" w:rsidP="009123C7"/>
    <w:p w14:paraId="39C8F1A6" w14:textId="77777777" w:rsidR="009123C7" w:rsidRDefault="009123C7" w:rsidP="009123C7"/>
    <w:p w14:paraId="195A2503" w14:textId="77777777" w:rsidR="009123C7" w:rsidRDefault="009123C7" w:rsidP="009123C7"/>
    <w:p w14:paraId="7506CBED" w14:textId="77777777" w:rsidR="009123C7" w:rsidRDefault="009123C7" w:rsidP="009123C7"/>
    <w:p w14:paraId="0BC0E47F" w14:textId="77777777" w:rsidR="009123C7" w:rsidRDefault="009123C7" w:rsidP="009123C7"/>
    <w:p w14:paraId="6C3C944C" w14:textId="77777777" w:rsidR="009123C7" w:rsidRDefault="009123C7" w:rsidP="009123C7"/>
    <w:p w14:paraId="2FF07D72" w14:textId="77777777" w:rsidR="009123C7" w:rsidRDefault="009123C7" w:rsidP="009123C7"/>
    <w:p w14:paraId="5957C99D" w14:textId="77777777" w:rsidR="009123C7" w:rsidRDefault="009123C7" w:rsidP="009123C7"/>
    <w:p w14:paraId="49841938" w14:textId="77777777" w:rsidR="009123C7" w:rsidRDefault="009123C7" w:rsidP="009123C7"/>
    <w:p w14:paraId="00CFB0DE" w14:textId="77777777" w:rsidR="009123C7" w:rsidRDefault="009123C7" w:rsidP="009123C7"/>
    <w:p w14:paraId="17565120" w14:textId="77777777" w:rsidR="009123C7" w:rsidRDefault="009123C7" w:rsidP="009123C7"/>
    <w:p w14:paraId="07E37013" w14:textId="77777777" w:rsidR="009123C7" w:rsidRDefault="009123C7" w:rsidP="009123C7"/>
    <w:p w14:paraId="69170F0E" w14:textId="77777777" w:rsidR="009123C7" w:rsidRDefault="009123C7" w:rsidP="009123C7"/>
    <w:p w14:paraId="661074B8" w14:textId="77777777" w:rsidR="009123C7" w:rsidRDefault="009123C7" w:rsidP="009123C7"/>
    <w:p w14:paraId="4FD19FB3" w14:textId="77777777" w:rsidR="009123C7" w:rsidRDefault="009123C7" w:rsidP="009123C7"/>
    <w:p w14:paraId="6BB68234" w14:textId="77777777" w:rsidR="009123C7" w:rsidRDefault="009123C7" w:rsidP="009123C7"/>
    <w:p w14:paraId="567C1616" w14:textId="77777777" w:rsidR="009123C7" w:rsidRDefault="009123C7" w:rsidP="009123C7"/>
    <w:p w14:paraId="468EED62" w14:textId="77777777" w:rsidR="009123C7" w:rsidRDefault="009123C7" w:rsidP="009123C7"/>
    <w:p w14:paraId="47E7E342" w14:textId="77777777" w:rsidR="009123C7" w:rsidRDefault="009123C7" w:rsidP="009123C7"/>
    <w:p w14:paraId="5798026C" w14:textId="77777777" w:rsidR="009123C7" w:rsidRDefault="009123C7" w:rsidP="009123C7"/>
    <w:p w14:paraId="66ECCAC0" w14:textId="77777777" w:rsidR="009123C7" w:rsidRDefault="009123C7" w:rsidP="009123C7"/>
    <w:p w14:paraId="6544BE95" w14:textId="77777777" w:rsidR="009123C7" w:rsidRDefault="009123C7" w:rsidP="009123C7"/>
    <w:p w14:paraId="2F4866BF" w14:textId="65B43107" w:rsidR="000B1CE9" w:rsidRPr="005216F6" w:rsidRDefault="009123C7" w:rsidP="005216F6">
      <w:pPr>
        <w:rPr>
          <w:i/>
          <w:iCs/>
          <w:szCs w:val="20"/>
        </w:rPr>
      </w:pPr>
      <w:r w:rsidRPr="008C7F0D">
        <w:rPr>
          <w:i/>
          <w:iCs/>
          <w:szCs w:val="20"/>
        </w:rPr>
        <w:t>The IGWC makes no claim as to the accuracy of the data shown on this page. Data and state overview is collated and supplied directly from the states</w:t>
      </w:r>
    </w:p>
    <w:sectPr w:rsidR="000B1CE9" w:rsidRPr="005216F6" w:rsidSect="00A70C16">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4174" w14:textId="77777777" w:rsidR="0047244E" w:rsidRDefault="0047244E">
      <w:r>
        <w:separator/>
      </w:r>
    </w:p>
  </w:endnote>
  <w:endnote w:type="continuationSeparator" w:id="0">
    <w:p w14:paraId="71728042" w14:textId="77777777" w:rsidR="0047244E" w:rsidRDefault="0047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218839"/>
      <w:docPartObj>
        <w:docPartGallery w:val="Page Numbers (Bottom of Page)"/>
        <w:docPartUnique/>
      </w:docPartObj>
    </w:sdtPr>
    <w:sdtEndPr>
      <w:rPr>
        <w:noProof/>
      </w:rPr>
    </w:sdtEndPr>
    <w:sdtContent>
      <w:p w14:paraId="286F2CEF" w14:textId="3A2B1C41" w:rsidR="00724B0B" w:rsidRDefault="00724B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B88B83" w14:textId="77777777" w:rsidR="00724B0B" w:rsidRPr="00724B0B" w:rsidRDefault="00724B0B" w:rsidP="00724B0B">
    <w:pPr>
      <w:pStyle w:val="Footer"/>
      <w:rPr>
        <w:lang w:val="en-US"/>
      </w:rPr>
    </w:pPr>
    <w:r>
      <w:rPr>
        <w:lang w:val="en-US"/>
      </w:rPr>
      <w:t>Inspector-General of Water Compliance</w:t>
    </w:r>
  </w:p>
  <w:p w14:paraId="17925382" w14:textId="131769C8" w:rsidR="00724B0B" w:rsidRPr="00724B0B" w:rsidRDefault="00724B0B" w:rsidP="00724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4A9C" w14:textId="77777777" w:rsidR="00B25458" w:rsidRPr="002C07A5" w:rsidRDefault="00B25458" w:rsidP="002C07A5">
    <w:pPr>
      <w:pStyle w:val="Footer"/>
      <w:tabs>
        <w:tab w:val="clear" w:pos="4513"/>
        <w:tab w:val="clear" w:pos="9026"/>
        <w:tab w:val="right" w:pos="9638"/>
      </w:tabs>
      <w:rPr>
        <w:color w:val="FFFFFF"/>
      </w:rPr>
    </w:pPr>
    <w:r w:rsidRPr="002C07A5">
      <w:rPr>
        <w:color w:val="FFFFFF"/>
      </w:rPr>
      <w:t>Inspector-General of Water Compliance</w:t>
    </w:r>
    <w:r w:rsidRPr="002C07A5">
      <w:rPr>
        <w:color w:val="FFFFFF"/>
      </w:rPr>
      <w:tab/>
    </w:r>
    <w:r w:rsidRPr="002C07A5">
      <w:rPr>
        <w:color w:val="FFFFFF"/>
      </w:rPr>
      <w:fldChar w:fldCharType="begin"/>
    </w:r>
    <w:r w:rsidRPr="002C07A5">
      <w:rPr>
        <w:color w:val="FFFFFF"/>
      </w:rPr>
      <w:instrText xml:space="preserve"> PAGE   \* MERGEFORMAT </w:instrText>
    </w:r>
    <w:r w:rsidRPr="002C07A5">
      <w:rPr>
        <w:color w:val="FFFFFF"/>
      </w:rPr>
      <w:fldChar w:fldCharType="separate"/>
    </w:r>
    <w:r w:rsidRPr="002C07A5">
      <w:rPr>
        <w:color w:val="FFFFFF"/>
      </w:rPr>
      <w:t>3</w:t>
    </w:r>
    <w:r w:rsidRPr="002C07A5">
      <w:rPr>
        <w:noProof/>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1E6E" w14:textId="77777777" w:rsidR="0047244E" w:rsidRDefault="0047244E">
      <w:r>
        <w:separator/>
      </w:r>
    </w:p>
  </w:footnote>
  <w:footnote w:type="continuationSeparator" w:id="0">
    <w:p w14:paraId="40049F19" w14:textId="77777777" w:rsidR="0047244E" w:rsidRDefault="0047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FD6C" w14:textId="042BCD37" w:rsidR="002C07A5" w:rsidRPr="00DC6237" w:rsidRDefault="002C07A5" w:rsidP="00071327">
    <w:pPr>
      <w:rPr>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24A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D2C7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BCA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4869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D4B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708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69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401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744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2E6B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2"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3" w15:restartNumberingAfterBreak="0">
    <w:nsid w:val="1F745BC2"/>
    <w:multiLevelType w:val="multilevel"/>
    <w:tmpl w:val="E5E89F92"/>
    <w:numStyleLink w:val="BulletList"/>
  </w:abstractNum>
  <w:abstractNum w:abstractNumId="14"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7" w15:restartNumberingAfterBreak="0">
    <w:nsid w:val="38BE0B97"/>
    <w:multiLevelType w:val="hybridMultilevel"/>
    <w:tmpl w:val="B598207E"/>
    <w:lvl w:ilvl="0" w:tplc="05BA2E46">
      <w:start w:val="19"/>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9"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2"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4"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6"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7"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8"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873422421">
    <w:abstractNumId w:val="28"/>
  </w:num>
  <w:num w:numId="2" w16cid:durableId="1369183811">
    <w:abstractNumId w:val="10"/>
  </w:num>
  <w:num w:numId="3" w16cid:durableId="1050762136">
    <w:abstractNumId w:val="26"/>
  </w:num>
  <w:num w:numId="4" w16cid:durableId="680820616">
    <w:abstractNumId w:val="24"/>
  </w:num>
  <w:num w:numId="5" w16cid:durableId="1296981726">
    <w:abstractNumId w:val="15"/>
  </w:num>
  <w:num w:numId="6" w16cid:durableId="1155218116">
    <w:abstractNumId w:val="14"/>
  </w:num>
  <w:num w:numId="7" w16cid:durableId="794908898">
    <w:abstractNumId w:val="23"/>
  </w:num>
  <w:num w:numId="8" w16cid:durableId="521748715">
    <w:abstractNumId w:val="13"/>
  </w:num>
  <w:num w:numId="9" w16cid:durableId="630326436">
    <w:abstractNumId w:val="12"/>
  </w:num>
  <w:num w:numId="10" w16cid:durableId="1911840279">
    <w:abstractNumId w:val="27"/>
  </w:num>
  <w:num w:numId="11" w16cid:durableId="732780042">
    <w:abstractNumId w:val="23"/>
  </w:num>
  <w:num w:numId="12" w16cid:durableId="1033726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413359">
    <w:abstractNumId w:val="18"/>
  </w:num>
  <w:num w:numId="14" w16cid:durableId="1729523979">
    <w:abstractNumId w:val="22"/>
  </w:num>
  <w:num w:numId="15" w16cid:durableId="2036496886">
    <w:abstractNumId w:val="25"/>
  </w:num>
  <w:num w:numId="16" w16cid:durableId="1039166682">
    <w:abstractNumId w:val="23"/>
  </w:num>
  <w:num w:numId="17" w16cid:durableId="13487971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1466982">
    <w:abstractNumId w:val="23"/>
  </w:num>
  <w:num w:numId="19" w16cid:durableId="908737065">
    <w:abstractNumId w:val="19"/>
  </w:num>
  <w:num w:numId="20" w16cid:durableId="758906977">
    <w:abstractNumId w:val="23"/>
  </w:num>
  <w:num w:numId="21" w16cid:durableId="1322077478">
    <w:abstractNumId w:val="21"/>
  </w:num>
  <w:num w:numId="22" w16cid:durableId="989089942">
    <w:abstractNumId w:val="16"/>
  </w:num>
  <w:num w:numId="23" w16cid:durableId="344088894">
    <w:abstractNumId w:val="11"/>
  </w:num>
  <w:num w:numId="24" w16cid:durableId="660549014">
    <w:abstractNumId w:val="23"/>
  </w:num>
  <w:num w:numId="25" w16cid:durableId="297104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1687277">
    <w:abstractNumId w:val="8"/>
  </w:num>
  <w:num w:numId="27" w16cid:durableId="1962026904">
    <w:abstractNumId w:val="20"/>
  </w:num>
  <w:num w:numId="28" w16cid:durableId="19844324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5793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6400980">
    <w:abstractNumId w:val="23"/>
  </w:num>
  <w:num w:numId="31" w16cid:durableId="1867790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8876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25716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53362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1456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8284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9377656">
    <w:abstractNumId w:val="0"/>
  </w:num>
  <w:num w:numId="38" w16cid:durableId="1055008973">
    <w:abstractNumId w:val="1"/>
  </w:num>
  <w:num w:numId="39" w16cid:durableId="716708820">
    <w:abstractNumId w:val="4"/>
  </w:num>
  <w:num w:numId="40" w16cid:durableId="2026786817">
    <w:abstractNumId w:val="5"/>
  </w:num>
  <w:num w:numId="41" w16cid:durableId="2050450974">
    <w:abstractNumId w:val="6"/>
  </w:num>
  <w:num w:numId="42" w16cid:durableId="1441876043">
    <w:abstractNumId w:val="9"/>
  </w:num>
  <w:num w:numId="43" w16cid:durableId="2008432762">
    <w:abstractNumId w:val="7"/>
  </w:num>
  <w:num w:numId="44" w16cid:durableId="1742175781">
    <w:abstractNumId w:val="3"/>
  </w:num>
  <w:num w:numId="45" w16cid:durableId="1659918085">
    <w:abstractNumId w:val="2"/>
  </w:num>
  <w:num w:numId="46" w16cid:durableId="9733889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32A0"/>
    <w:rsid w:val="00007DE1"/>
    <w:rsid w:val="000131EE"/>
    <w:rsid w:val="00023CF4"/>
    <w:rsid w:val="0004422F"/>
    <w:rsid w:val="000514BD"/>
    <w:rsid w:val="00055589"/>
    <w:rsid w:val="000613B1"/>
    <w:rsid w:val="00063363"/>
    <w:rsid w:val="0006546C"/>
    <w:rsid w:val="00071327"/>
    <w:rsid w:val="00080C7A"/>
    <w:rsid w:val="00082E59"/>
    <w:rsid w:val="00091B06"/>
    <w:rsid w:val="000A23A8"/>
    <w:rsid w:val="000A6779"/>
    <w:rsid w:val="000B08F2"/>
    <w:rsid w:val="000B1CE9"/>
    <w:rsid w:val="000B78BC"/>
    <w:rsid w:val="000C07AB"/>
    <w:rsid w:val="000D06D9"/>
    <w:rsid w:val="000D0B17"/>
    <w:rsid w:val="000D1751"/>
    <w:rsid w:val="000E0C0B"/>
    <w:rsid w:val="000E5C12"/>
    <w:rsid w:val="000F3BC7"/>
    <w:rsid w:val="000F55E7"/>
    <w:rsid w:val="0010736A"/>
    <w:rsid w:val="00114BA0"/>
    <w:rsid w:val="00120C3B"/>
    <w:rsid w:val="001345C9"/>
    <w:rsid w:val="0014182C"/>
    <w:rsid w:val="00142E0B"/>
    <w:rsid w:val="0015079A"/>
    <w:rsid w:val="00156132"/>
    <w:rsid w:val="0015695F"/>
    <w:rsid w:val="00162BED"/>
    <w:rsid w:val="00170719"/>
    <w:rsid w:val="0017077A"/>
    <w:rsid w:val="00170D66"/>
    <w:rsid w:val="00170DC6"/>
    <w:rsid w:val="0017351A"/>
    <w:rsid w:val="001824AC"/>
    <w:rsid w:val="001827C2"/>
    <w:rsid w:val="00186E6F"/>
    <w:rsid w:val="001A5F8E"/>
    <w:rsid w:val="001B1579"/>
    <w:rsid w:val="001B78A3"/>
    <w:rsid w:val="001C0255"/>
    <w:rsid w:val="001C0F11"/>
    <w:rsid w:val="001C1ABF"/>
    <w:rsid w:val="001C60CD"/>
    <w:rsid w:val="001D7B75"/>
    <w:rsid w:val="001E6A8C"/>
    <w:rsid w:val="001F2A15"/>
    <w:rsid w:val="001F30ED"/>
    <w:rsid w:val="00201CB4"/>
    <w:rsid w:val="00204E35"/>
    <w:rsid w:val="00214FFF"/>
    <w:rsid w:val="002209E0"/>
    <w:rsid w:val="002246F4"/>
    <w:rsid w:val="002255CA"/>
    <w:rsid w:val="00231A97"/>
    <w:rsid w:val="002322B3"/>
    <w:rsid w:val="00234917"/>
    <w:rsid w:val="00236EE2"/>
    <w:rsid w:val="002561B9"/>
    <w:rsid w:val="002607E4"/>
    <w:rsid w:val="00271911"/>
    <w:rsid w:val="00271C4C"/>
    <w:rsid w:val="00272B0B"/>
    <w:rsid w:val="00273E3F"/>
    <w:rsid w:val="002A44F4"/>
    <w:rsid w:val="002A5A1E"/>
    <w:rsid w:val="002A72E0"/>
    <w:rsid w:val="002A7384"/>
    <w:rsid w:val="002B4251"/>
    <w:rsid w:val="002B4C69"/>
    <w:rsid w:val="002B5D46"/>
    <w:rsid w:val="002B72EB"/>
    <w:rsid w:val="002C07A5"/>
    <w:rsid w:val="002C086E"/>
    <w:rsid w:val="002C2600"/>
    <w:rsid w:val="002C44BC"/>
    <w:rsid w:val="002C6C13"/>
    <w:rsid w:val="002D3EC0"/>
    <w:rsid w:val="002D6525"/>
    <w:rsid w:val="002E351B"/>
    <w:rsid w:val="002E784F"/>
    <w:rsid w:val="002E7966"/>
    <w:rsid w:val="003001C5"/>
    <w:rsid w:val="0030059C"/>
    <w:rsid w:val="00303655"/>
    <w:rsid w:val="0032356E"/>
    <w:rsid w:val="003268F7"/>
    <w:rsid w:val="003270E8"/>
    <w:rsid w:val="00341EDD"/>
    <w:rsid w:val="00352403"/>
    <w:rsid w:val="00352BB1"/>
    <w:rsid w:val="00355383"/>
    <w:rsid w:val="003600CE"/>
    <w:rsid w:val="00365D02"/>
    <w:rsid w:val="0036604B"/>
    <w:rsid w:val="00374588"/>
    <w:rsid w:val="00374903"/>
    <w:rsid w:val="00376A5A"/>
    <w:rsid w:val="00383E3C"/>
    <w:rsid w:val="00384EC2"/>
    <w:rsid w:val="003864CB"/>
    <w:rsid w:val="0039416C"/>
    <w:rsid w:val="003A235E"/>
    <w:rsid w:val="003A304E"/>
    <w:rsid w:val="003A39E1"/>
    <w:rsid w:val="003A6733"/>
    <w:rsid w:val="003A7927"/>
    <w:rsid w:val="003B10AF"/>
    <w:rsid w:val="003B3811"/>
    <w:rsid w:val="003B64C4"/>
    <w:rsid w:val="003B7B80"/>
    <w:rsid w:val="003C464C"/>
    <w:rsid w:val="003C5697"/>
    <w:rsid w:val="003D38FE"/>
    <w:rsid w:val="003D63BD"/>
    <w:rsid w:val="003D7111"/>
    <w:rsid w:val="003E0289"/>
    <w:rsid w:val="003F7194"/>
    <w:rsid w:val="003F7DA8"/>
    <w:rsid w:val="00401532"/>
    <w:rsid w:val="00402EF9"/>
    <w:rsid w:val="00406DCC"/>
    <w:rsid w:val="004078A2"/>
    <w:rsid w:val="00407D3B"/>
    <w:rsid w:val="00412531"/>
    <w:rsid w:val="00414272"/>
    <w:rsid w:val="00415DB3"/>
    <w:rsid w:val="0041656D"/>
    <w:rsid w:val="00426F6B"/>
    <w:rsid w:val="0042763B"/>
    <w:rsid w:val="00427D8A"/>
    <w:rsid w:val="00435004"/>
    <w:rsid w:val="00444A53"/>
    <w:rsid w:val="0044587A"/>
    <w:rsid w:val="00457525"/>
    <w:rsid w:val="00463BE8"/>
    <w:rsid w:val="0046450A"/>
    <w:rsid w:val="0047244E"/>
    <w:rsid w:val="004731C3"/>
    <w:rsid w:val="00473F5B"/>
    <w:rsid w:val="00474D5B"/>
    <w:rsid w:val="004827C5"/>
    <w:rsid w:val="00485A56"/>
    <w:rsid w:val="00490047"/>
    <w:rsid w:val="00496224"/>
    <w:rsid w:val="0049718B"/>
    <w:rsid w:val="004A3264"/>
    <w:rsid w:val="004A59C4"/>
    <w:rsid w:val="004B2B36"/>
    <w:rsid w:val="004B6AB8"/>
    <w:rsid w:val="004C561D"/>
    <w:rsid w:val="004D316A"/>
    <w:rsid w:val="004E09A7"/>
    <w:rsid w:val="004E30CC"/>
    <w:rsid w:val="004E7BFE"/>
    <w:rsid w:val="004F11F0"/>
    <w:rsid w:val="004F33A8"/>
    <w:rsid w:val="004F5BB5"/>
    <w:rsid w:val="005043F1"/>
    <w:rsid w:val="005074B2"/>
    <w:rsid w:val="005102AB"/>
    <w:rsid w:val="00510BCE"/>
    <w:rsid w:val="005216F6"/>
    <w:rsid w:val="005231B0"/>
    <w:rsid w:val="005268BF"/>
    <w:rsid w:val="005305E4"/>
    <w:rsid w:val="00534325"/>
    <w:rsid w:val="005359F0"/>
    <w:rsid w:val="00535C82"/>
    <w:rsid w:val="00537A12"/>
    <w:rsid w:val="00544258"/>
    <w:rsid w:val="00564FB9"/>
    <w:rsid w:val="00570D03"/>
    <w:rsid w:val="0057115D"/>
    <w:rsid w:val="00572213"/>
    <w:rsid w:val="00576C42"/>
    <w:rsid w:val="00580E90"/>
    <w:rsid w:val="00585FD1"/>
    <w:rsid w:val="00586DD5"/>
    <w:rsid w:val="005A06ED"/>
    <w:rsid w:val="005A4BB4"/>
    <w:rsid w:val="005A4FB4"/>
    <w:rsid w:val="005B2F67"/>
    <w:rsid w:val="005C36AA"/>
    <w:rsid w:val="005C5D99"/>
    <w:rsid w:val="005D6AFE"/>
    <w:rsid w:val="005E3F3F"/>
    <w:rsid w:val="005F459F"/>
    <w:rsid w:val="00602159"/>
    <w:rsid w:val="00606C45"/>
    <w:rsid w:val="00617D03"/>
    <w:rsid w:val="00622053"/>
    <w:rsid w:val="006318A8"/>
    <w:rsid w:val="0066217F"/>
    <w:rsid w:val="00664C93"/>
    <w:rsid w:val="006701E1"/>
    <w:rsid w:val="00683FA6"/>
    <w:rsid w:val="006A21B8"/>
    <w:rsid w:val="006B09D6"/>
    <w:rsid w:val="006B14EE"/>
    <w:rsid w:val="006B2B83"/>
    <w:rsid w:val="006C4EAA"/>
    <w:rsid w:val="006C7820"/>
    <w:rsid w:val="006D01B3"/>
    <w:rsid w:val="006D127B"/>
    <w:rsid w:val="006D659E"/>
    <w:rsid w:val="006E0EC3"/>
    <w:rsid w:val="006E2B5F"/>
    <w:rsid w:val="006F1FDA"/>
    <w:rsid w:val="006F3470"/>
    <w:rsid w:val="006F5BC5"/>
    <w:rsid w:val="007025E8"/>
    <w:rsid w:val="00710673"/>
    <w:rsid w:val="007133D0"/>
    <w:rsid w:val="007140F9"/>
    <w:rsid w:val="00723BDE"/>
    <w:rsid w:val="00724B0B"/>
    <w:rsid w:val="00725B2A"/>
    <w:rsid w:val="00743ABB"/>
    <w:rsid w:val="007440F7"/>
    <w:rsid w:val="0074454B"/>
    <w:rsid w:val="007463DB"/>
    <w:rsid w:val="00754EA5"/>
    <w:rsid w:val="0076239E"/>
    <w:rsid w:val="00770DD9"/>
    <w:rsid w:val="007737A9"/>
    <w:rsid w:val="00774B4C"/>
    <w:rsid w:val="00777423"/>
    <w:rsid w:val="00783454"/>
    <w:rsid w:val="00792822"/>
    <w:rsid w:val="007935B6"/>
    <w:rsid w:val="0079420F"/>
    <w:rsid w:val="007961C9"/>
    <w:rsid w:val="007A29DB"/>
    <w:rsid w:val="007C3F00"/>
    <w:rsid w:val="007E0897"/>
    <w:rsid w:val="007E17AB"/>
    <w:rsid w:val="007F2752"/>
    <w:rsid w:val="007F27AD"/>
    <w:rsid w:val="00800290"/>
    <w:rsid w:val="008015ED"/>
    <w:rsid w:val="0080536E"/>
    <w:rsid w:val="00812A30"/>
    <w:rsid w:val="008141D1"/>
    <w:rsid w:val="00816B3D"/>
    <w:rsid w:val="008363FC"/>
    <w:rsid w:val="00842CE9"/>
    <w:rsid w:val="00843C1C"/>
    <w:rsid w:val="00844DBB"/>
    <w:rsid w:val="00850AEF"/>
    <w:rsid w:val="00854106"/>
    <w:rsid w:val="008609B0"/>
    <w:rsid w:val="00861326"/>
    <w:rsid w:val="00861490"/>
    <w:rsid w:val="00863479"/>
    <w:rsid w:val="00872EE7"/>
    <w:rsid w:val="0087312F"/>
    <w:rsid w:val="008773E5"/>
    <w:rsid w:val="00881D10"/>
    <w:rsid w:val="00892B80"/>
    <w:rsid w:val="00895867"/>
    <w:rsid w:val="008A0665"/>
    <w:rsid w:val="008A2AB3"/>
    <w:rsid w:val="008A3814"/>
    <w:rsid w:val="008A585E"/>
    <w:rsid w:val="008A6BDC"/>
    <w:rsid w:val="008A7636"/>
    <w:rsid w:val="008B1BA2"/>
    <w:rsid w:val="008B40E2"/>
    <w:rsid w:val="008B442A"/>
    <w:rsid w:val="008B6E40"/>
    <w:rsid w:val="008B7E56"/>
    <w:rsid w:val="008C1D64"/>
    <w:rsid w:val="008C49FC"/>
    <w:rsid w:val="008D3F42"/>
    <w:rsid w:val="008D5EF9"/>
    <w:rsid w:val="008E3198"/>
    <w:rsid w:val="008F1E81"/>
    <w:rsid w:val="008F202F"/>
    <w:rsid w:val="008F36D0"/>
    <w:rsid w:val="008F7216"/>
    <w:rsid w:val="008F7B24"/>
    <w:rsid w:val="00900E92"/>
    <w:rsid w:val="0090363F"/>
    <w:rsid w:val="009067DC"/>
    <w:rsid w:val="00907D3B"/>
    <w:rsid w:val="00912031"/>
    <w:rsid w:val="009123C7"/>
    <w:rsid w:val="009125C0"/>
    <w:rsid w:val="009147A6"/>
    <w:rsid w:val="00920503"/>
    <w:rsid w:val="009215F1"/>
    <w:rsid w:val="009269EA"/>
    <w:rsid w:val="009427AA"/>
    <w:rsid w:val="00951AD8"/>
    <w:rsid w:val="0097223B"/>
    <w:rsid w:val="00972C7B"/>
    <w:rsid w:val="00984347"/>
    <w:rsid w:val="009922C9"/>
    <w:rsid w:val="009A412F"/>
    <w:rsid w:val="009A74DE"/>
    <w:rsid w:val="009B059C"/>
    <w:rsid w:val="009C0C17"/>
    <w:rsid w:val="009C3510"/>
    <w:rsid w:val="009C3C86"/>
    <w:rsid w:val="009C47DF"/>
    <w:rsid w:val="009E078F"/>
    <w:rsid w:val="009F01C5"/>
    <w:rsid w:val="009F0367"/>
    <w:rsid w:val="00A0041E"/>
    <w:rsid w:val="00A122AB"/>
    <w:rsid w:val="00A1484C"/>
    <w:rsid w:val="00A14F9D"/>
    <w:rsid w:val="00A2567B"/>
    <w:rsid w:val="00A27054"/>
    <w:rsid w:val="00A27E49"/>
    <w:rsid w:val="00A404F0"/>
    <w:rsid w:val="00A4261E"/>
    <w:rsid w:val="00A44EEA"/>
    <w:rsid w:val="00A52FE0"/>
    <w:rsid w:val="00A645E5"/>
    <w:rsid w:val="00A66B2A"/>
    <w:rsid w:val="00A70C16"/>
    <w:rsid w:val="00A74736"/>
    <w:rsid w:val="00A74C3E"/>
    <w:rsid w:val="00A74C64"/>
    <w:rsid w:val="00A9498E"/>
    <w:rsid w:val="00A94BCC"/>
    <w:rsid w:val="00AA2167"/>
    <w:rsid w:val="00AA7994"/>
    <w:rsid w:val="00AA7CB2"/>
    <w:rsid w:val="00AA7EE5"/>
    <w:rsid w:val="00AC4678"/>
    <w:rsid w:val="00AD7E77"/>
    <w:rsid w:val="00AF02F5"/>
    <w:rsid w:val="00AF13DE"/>
    <w:rsid w:val="00AF5678"/>
    <w:rsid w:val="00AF63BF"/>
    <w:rsid w:val="00B1156A"/>
    <w:rsid w:val="00B12041"/>
    <w:rsid w:val="00B25458"/>
    <w:rsid w:val="00B315B2"/>
    <w:rsid w:val="00B33490"/>
    <w:rsid w:val="00B33689"/>
    <w:rsid w:val="00B407CD"/>
    <w:rsid w:val="00B51968"/>
    <w:rsid w:val="00B54FE6"/>
    <w:rsid w:val="00B64A86"/>
    <w:rsid w:val="00B74052"/>
    <w:rsid w:val="00B86445"/>
    <w:rsid w:val="00B924B6"/>
    <w:rsid w:val="00BA0F24"/>
    <w:rsid w:val="00BA7881"/>
    <w:rsid w:val="00BA7A3B"/>
    <w:rsid w:val="00BB46A2"/>
    <w:rsid w:val="00BB50EA"/>
    <w:rsid w:val="00BD6FD0"/>
    <w:rsid w:val="00BE7681"/>
    <w:rsid w:val="00BE76F0"/>
    <w:rsid w:val="00BF7140"/>
    <w:rsid w:val="00BF7940"/>
    <w:rsid w:val="00C0103F"/>
    <w:rsid w:val="00C05D6D"/>
    <w:rsid w:val="00C0719D"/>
    <w:rsid w:val="00C118DE"/>
    <w:rsid w:val="00C31363"/>
    <w:rsid w:val="00C322D8"/>
    <w:rsid w:val="00C4688F"/>
    <w:rsid w:val="00C47057"/>
    <w:rsid w:val="00C47495"/>
    <w:rsid w:val="00C47AA6"/>
    <w:rsid w:val="00C5495A"/>
    <w:rsid w:val="00C62253"/>
    <w:rsid w:val="00C65F8C"/>
    <w:rsid w:val="00C721EA"/>
    <w:rsid w:val="00C827DA"/>
    <w:rsid w:val="00C82C04"/>
    <w:rsid w:val="00C83727"/>
    <w:rsid w:val="00C83D74"/>
    <w:rsid w:val="00C91A8E"/>
    <w:rsid w:val="00CA62BF"/>
    <w:rsid w:val="00CB5EEB"/>
    <w:rsid w:val="00CC0A18"/>
    <w:rsid w:val="00CC0D65"/>
    <w:rsid w:val="00CC2852"/>
    <w:rsid w:val="00CC76D5"/>
    <w:rsid w:val="00CC7983"/>
    <w:rsid w:val="00CD12E6"/>
    <w:rsid w:val="00CD346C"/>
    <w:rsid w:val="00CE11A4"/>
    <w:rsid w:val="00CF7A50"/>
    <w:rsid w:val="00D01DE2"/>
    <w:rsid w:val="00D02834"/>
    <w:rsid w:val="00D226B8"/>
    <w:rsid w:val="00D3516F"/>
    <w:rsid w:val="00D362AD"/>
    <w:rsid w:val="00D37335"/>
    <w:rsid w:val="00D446A8"/>
    <w:rsid w:val="00D464F1"/>
    <w:rsid w:val="00D50A97"/>
    <w:rsid w:val="00D50C76"/>
    <w:rsid w:val="00D55F96"/>
    <w:rsid w:val="00D624A3"/>
    <w:rsid w:val="00D775D1"/>
    <w:rsid w:val="00D77B64"/>
    <w:rsid w:val="00D80621"/>
    <w:rsid w:val="00D967BF"/>
    <w:rsid w:val="00DB43FA"/>
    <w:rsid w:val="00DB4BB7"/>
    <w:rsid w:val="00DC2FC7"/>
    <w:rsid w:val="00DC6237"/>
    <w:rsid w:val="00DE06C0"/>
    <w:rsid w:val="00DE6F06"/>
    <w:rsid w:val="00DF03B6"/>
    <w:rsid w:val="00DF2153"/>
    <w:rsid w:val="00E00001"/>
    <w:rsid w:val="00E04A9F"/>
    <w:rsid w:val="00E200CC"/>
    <w:rsid w:val="00E37723"/>
    <w:rsid w:val="00E51BFA"/>
    <w:rsid w:val="00E56ACF"/>
    <w:rsid w:val="00E608E5"/>
    <w:rsid w:val="00E75161"/>
    <w:rsid w:val="00E77B8C"/>
    <w:rsid w:val="00E84D19"/>
    <w:rsid w:val="00E91A66"/>
    <w:rsid w:val="00E97A4A"/>
    <w:rsid w:val="00EC2253"/>
    <w:rsid w:val="00ED1B2C"/>
    <w:rsid w:val="00ED30D0"/>
    <w:rsid w:val="00ED327E"/>
    <w:rsid w:val="00EF1407"/>
    <w:rsid w:val="00F02E2F"/>
    <w:rsid w:val="00F0726B"/>
    <w:rsid w:val="00F23F93"/>
    <w:rsid w:val="00F25CD2"/>
    <w:rsid w:val="00F267AC"/>
    <w:rsid w:val="00F3130F"/>
    <w:rsid w:val="00F33200"/>
    <w:rsid w:val="00F33452"/>
    <w:rsid w:val="00F3687E"/>
    <w:rsid w:val="00F52D7C"/>
    <w:rsid w:val="00F533BC"/>
    <w:rsid w:val="00F55F23"/>
    <w:rsid w:val="00F70602"/>
    <w:rsid w:val="00F7395B"/>
    <w:rsid w:val="00F778AB"/>
    <w:rsid w:val="00F8107D"/>
    <w:rsid w:val="00F81F21"/>
    <w:rsid w:val="00F827CD"/>
    <w:rsid w:val="00F86B0D"/>
    <w:rsid w:val="00F92297"/>
    <w:rsid w:val="00F93899"/>
    <w:rsid w:val="00FA0421"/>
    <w:rsid w:val="00FA089E"/>
    <w:rsid w:val="00FA2FDD"/>
    <w:rsid w:val="00FA69DC"/>
    <w:rsid w:val="00FB0DE5"/>
    <w:rsid w:val="00FB2BF4"/>
    <w:rsid w:val="00FB464C"/>
    <w:rsid w:val="00FC03F3"/>
    <w:rsid w:val="00FC2697"/>
    <w:rsid w:val="00FC7ABC"/>
    <w:rsid w:val="00FD033B"/>
    <w:rsid w:val="00FD1C48"/>
    <w:rsid w:val="00FE0C2F"/>
    <w:rsid w:val="00FE21E0"/>
    <w:rsid w:val="00FF7FC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27"/>
    <w:pPr>
      <w:spacing w:after="200"/>
    </w:pPr>
    <w:rPr>
      <w:rFonts w:ascii="Verdana" w:hAnsi="Verdana"/>
      <w:sz w:val="20"/>
      <w:lang w:eastAsia="en-US"/>
    </w:rPr>
  </w:style>
  <w:style w:type="paragraph" w:styleId="Heading1">
    <w:name w:val="heading 1"/>
    <w:basedOn w:val="Normal"/>
    <w:next w:val="Normal"/>
    <w:link w:val="Heading1Char"/>
    <w:uiPriority w:val="9"/>
    <w:qFormat/>
    <w:rsid w:val="00DF2153"/>
    <w:pPr>
      <w:pageBreakBefore/>
      <w:tabs>
        <w:tab w:val="center" w:pos="4513"/>
        <w:tab w:val="right" w:pos="9026"/>
      </w:tabs>
      <w:spacing w:after="480"/>
      <w:outlineLvl w:val="0"/>
    </w:pPr>
    <w:rPr>
      <w:b/>
      <w:color w:val="4C6968" w:themeColor="text1"/>
      <w:sz w:val="50"/>
      <w:szCs w:val="24"/>
    </w:rPr>
  </w:style>
  <w:style w:type="paragraph" w:styleId="Heading2">
    <w:name w:val="heading 2"/>
    <w:basedOn w:val="Normal"/>
    <w:next w:val="Normal"/>
    <w:link w:val="Heading2Char"/>
    <w:uiPriority w:val="9"/>
    <w:qFormat/>
    <w:rsid w:val="003268F7"/>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3268F7"/>
    <w:pPr>
      <w:keepNext/>
      <w:spacing w:before="120" w:after="120"/>
      <w:outlineLvl w:val="2"/>
    </w:pPr>
    <w:rPr>
      <w:rFonts w:cs="Arial"/>
      <w:b/>
      <w:color w:val="48555E" w:themeColor="text2"/>
      <w:sz w:val="26"/>
    </w:rPr>
  </w:style>
  <w:style w:type="paragraph" w:styleId="Heading4">
    <w:name w:val="heading 4"/>
    <w:basedOn w:val="Normal"/>
    <w:next w:val="Normal"/>
    <w:link w:val="Heading4Char"/>
    <w:uiPriority w:val="9"/>
    <w:qFormat/>
    <w:rsid w:val="003268F7"/>
    <w:pPr>
      <w:keepNext/>
      <w:spacing w:before="120"/>
      <w:outlineLvl w:val="3"/>
    </w:pPr>
    <w:rPr>
      <w:rFonts w:cs="Arial"/>
      <w:sz w:val="22"/>
    </w:rPr>
  </w:style>
  <w:style w:type="paragraph" w:styleId="Heading5">
    <w:name w:val="heading 5"/>
    <w:basedOn w:val="Normal"/>
    <w:next w:val="Normal"/>
    <w:link w:val="Heading5Char"/>
    <w:uiPriority w:val="9"/>
    <w:unhideWhenUsed/>
    <w:rsid w:val="008015ED"/>
    <w:pPr>
      <w:keepNext/>
      <w:keepLines/>
      <w:spacing w:before="40" w:after="240"/>
      <w:outlineLvl w:val="4"/>
    </w:pPr>
    <w:rPr>
      <w:rFonts w:eastAsiaTheme="majorEastAsia" w:cstheme="majorBidi"/>
      <w:i/>
      <w:color w:val="4C696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rsid w:val="00CA62BF"/>
    <w:rPr>
      <w:b/>
      <w:color w:val="4C6968" w:themeColor="text1"/>
      <w:sz w:val="24"/>
    </w:rPr>
  </w:style>
  <w:style w:type="character" w:customStyle="1" w:styleId="DateChar">
    <w:name w:val="Date Char"/>
    <w:basedOn w:val="DefaultParagraphFont"/>
    <w:link w:val="Date"/>
    <w:uiPriority w:val="99"/>
    <w:rsid w:val="00CA62BF"/>
    <w:rPr>
      <w:rFonts w:ascii="Verdana" w:hAnsi="Verdana"/>
      <w:b/>
      <w:color w:val="4C6968" w:themeColor="text1"/>
      <w:sz w:val="24"/>
      <w:lang w:eastAsia="en-US"/>
    </w:rPr>
  </w:style>
  <w:style w:type="paragraph" w:styleId="Footer">
    <w:name w:val="footer"/>
    <w:basedOn w:val="Normal"/>
    <w:link w:val="FooterChar"/>
    <w:uiPriority w:val="99"/>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99"/>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DF2153"/>
    <w:rPr>
      <w:rFonts w:ascii="Verdana" w:hAnsi="Verdana"/>
      <w:b/>
      <w:color w:val="4C6968" w:themeColor="text1"/>
      <w:sz w:val="50"/>
      <w:szCs w:val="24"/>
      <w:lang w:eastAsia="en-US"/>
    </w:rPr>
  </w:style>
  <w:style w:type="character" w:customStyle="1" w:styleId="Heading2Char">
    <w:name w:val="Heading 2 Char"/>
    <w:basedOn w:val="DefaultParagraphFont"/>
    <w:link w:val="Heading2"/>
    <w:uiPriority w:val="9"/>
    <w:rsid w:val="003268F7"/>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3268F7"/>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3268F7"/>
    <w:rPr>
      <w:rFonts w:ascii="Verdana" w:hAnsi="Verdana" w:cs="Arial"/>
      <w:lang w:eastAsia="en-US"/>
    </w:rPr>
  </w:style>
  <w:style w:type="paragraph" w:styleId="ListBullet">
    <w:name w:val="List Bullet"/>
    <w:basedOn w:val="Normal"/>
    <w:uiPriority w:val="99"/>
    <w:unhideWhenUsed/>
    <w:qFormat/>
    <w:rsid w:val="007C3F00"/>
    <w:pPr>
      <w:numPr>
        <w:numId w:val="8"/>
      </w:numPr>
      <w:spacing w:after="120"/>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character" w:customStyle="1" w:styleId="Heading5Char">
    <w:name w:val="Heading 5 Char"/>
    <w:basedOn w:val="DefaultParagraphFont"/>
    <w:link w:val="Heading5"/>
    <w:uiPriority w:val="9"/>
    <w:rsid w:val="008015ED"/>
    <w:rPr>
      <w:rFonts w:ascii="Verdana" w:eastAsiaTheme="majorEastAsia" w:hAnsi="Verdana" w:cstheme="majorBidi"/>
      <w:i/>
      <w:color w:val="4C6968" w:themeColor="text1"/>
      <w:sz w:val="20"/>
      <w:lang w:eastAsia="en-US"/>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FE0C2F"/>
    <w:pPr>
      <w:numPr>
        <w:ilvl w:val="1"/>
        <w:numId w:val="11"/>
      </w:numPr>
      <w:spacing w:after="120"/>
    </w:pPr>
    <w:rPr>
      <w:rFonts w:cs="Segoe UI"/>
    </w:rPr>
  </w:style>
  <w:style w:type="paragraph" w:styleId="ListNumber3">
    <w:name w:val="List Number 3"/>
    <w:basedOn w:val="Normal"/>
    <w:uiPriority w:val="99"/>
    <w:rsid w:val="00FE0C2F"/>
    <w:pPr>
      <w:numPr>
        <w:ilvl w:val="2"/>
        <w:numId w:val="11"/>
      </w:numPr>
      <w:spacing w:after="120"/>
      <w:ind w:left="1106"/>
    </w:pPr>
    <w:rPr>
      <w:rFonts w:cs="Segoe UI"/>
    </w:rPr>
  </w:style>
  <w:style w:type="paragraph" w:styleId="Header">
    <w:name w:val="header"/>
    <w:basedOn w:val="Normal"/>
    <w:link w:val="HeaderChar"/>
    <w:uiPriority w:val="99"/>
    <w:unhideWhenUsed/>
    <w:rsid w:val="004E09A7"/>
    <w:pPr>
      <w:tabs>
        <w:tab w:val="center" w:pos="4513"/>
        <w:tab w:val="right" w:pos="9026"/>
      </w:tabs>
      <w:spacing w:after="0"/>
    </w:pPr>
  </w:style>
  <w:style w:type="character" w:customStyle="1" w:styleId="HeaderChar">
    <w:name w:val="Header Char"/>
    <w:basedOn w:val="DefaultParagraphFont"/>
    <w:link w:val="Header"/>
    <w:uiPriority w:val="99"/>
    <w:rsid w:val="004E09A7"/>
    <w:rPr>
      <w:rFonts w:ascii="Verdana" w:hAnsi="Verdana"/>
      <w:sz w:val="20"/>
      <w:lang w:eastAsia="en-US"/>
    </w:rPr>
  </w:style>
  <w:style w:type="table" w:styleId="TableGrid">
    <w:name w:val="Table Grid"/>
    <w:basedOn w:val="TableNormal"/>
    <w:uiPriority w:val="3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styleId="Title">
    <w:name w:val="Title"/>
    <w:basedOn w:val="Normal"/>
    <w:next w:val="Normal"/>
    <w:link w:val="TitleChar"/>
    <w:uiPriority w:val="10"/>
    <w:qFormat/>
    <w:rsid w:val="00473F5B"/>
    <w:pPr>
      <w:spacing w:after="0"/>
      <w:contextualSpacing/>
    </w:pPr>
    <w:rPr>
      <w:rFonts w:eastAsiaTheme="majorEastAsia" w:cstheme="majorBidi"/>
      <w:b/>
      <w:color w:val="FFFFFF"/>
      <w:spacing w:val="-10"/>
      <w:kern w:val="28"/>
      <w:sz w:val="70"/>
      <w:szCs w:val="56"/>
    </w:rPr>
  </w:style>
  <w:style w:type="character" w:customStyle="1" w:styleId="TitleChar">
    <w:name w:val="Title Char"/>
    <w:basedOn w:val="DefaultParagraphFont"/>
    <w:link w:val="Title"/>
    <w:uiPriority w:val="10"/>
    <w:rsid w:val="00473F5B"/>
    <w:rPr>
      <w:rFonts w:ascii="Verdana" w:eastAsiaTheme="majorEastAsia" w:hAnsi="Verdana" w:cstheme="majorBidi"/>
      <w:b/>
      <w:color w:val="FFFFFF"/>
      <w:spacing w:val="-10"/>
      <w:kern w:val="28"/>
      <w:sz w:val="70"/>
      <w:szCs w:val="56"/>
      <w:lang w:eastAsia="en-US"/>
    </w:rPr>
  </w:style>
  <w:style w:type="character" w:styleId="CommentReference">
    <w:name w:val="annotation reference"/>
    <w:basedOn w:val="DefaultParagraphFont"/>
    <w:uiPriority w:val="99"/>
    <w:semiHidden/>
    <w:unhideWhenUsed/>
    <w:rPr>
      <w:sz w:val="16"/>
      <w:szCs w:val="16"/>
    </w:rPr>
  </w:style>
  <w:style w:type="table" w:styleId="PlainTable1">
    <w:name w:val="Plain Table 1"/>
    <w:basedOn w:val="TableNormal"/>
    <w:uiPriority w:val="41"/>
    <w:rsid w:val="007C3F00"/>
    <w:tblPr>
      <w:tblStyleRowBandSize w:val="1"/>
      <w:tblStyleColBandSize w:val="1"/>
      <w:tblBorders>
        <w:top w:val="single" w:sz="4" w:space="0" w:color="72ADC4" w:themeColor="background1" w:themeShade="BF"/>
        <w:left w:val="single" w:sz="4" w:space="0" w:color="72ADC4" w:themeColor="background1" w:themeShade="BF"/>
        <w:bottom w:val="single" w:sz="4" w:space="0" w:color="72ADC4" w:themeColor="background1" w:themeShade="BF"/>
        <w:right w:val="single" w:sz="4" w:space="0" w:color="72ADC4" w:themeColor="background1" w:themeShade="BF"/>
        <w:insideH w:val="single" w:sz="4" w:space="0" w:color="72ADC4" w:themeColor="background1" w:themeShade="BF"/>
        <w:insideV w:val="single" w:sz="4" w:space="0" w:color="72ADC4" w:themeColor="background1" w:themeShade="BF"/>
      </w:tblBorders>
    </w:tblPr>
    <w:tblStylePr w:type="firstRow">
      <w:rPr>
        <w:b/>
        <w:bCs/>
      </w:rPr>
    </w:tblStylePr>
    <w:tblStylePr w:type="lastRow">
      <w:rPr>
        <w:b/>
        <w:bCs/>
      </w:rPr>
      <w:tblPr/>
      <w:tcPr>
        <w:tcBorders>
          <w:top w:val="double" w:sz="4" w:space="0" w:color="72ADC4" w:themeColor="background1" w:themeShade="BF"/>
        </w:tcBorders>
      </w:tcPr>
    </w:tblStylePr>
    <w:tblStylePr w:type="firstCol">
      <w:rPr>
        <w:b/>
        <w:bCs/>
      </w:rPr>
    </w:tblStylePr>
    <w:tblStylePr w:type="lastCol">
      <w:rPr>
        <w:b/>
        <w:bCs/>
      </w:rPr>
    </w:tblStylePr>
    <w:tblStylePr w:type="band1Vert">
      <w:tblPr/>
      <w:tcPr>
        <w:shd w:val="clear" w:color="auto" w:fill="ACCFDC" w:themeFill="background1" w:themeFillShade="F2"/>
      </w:tcPr>
    </w:tblStylePr>
    <w:tblStylePr w:type="band1Horz">
      <w:tblPr/>
      <w:tcPr>
        <w:shd w:val="clear" w:color="auto" w:fill="ACCFDC" w:themeFill="background1" w:themeFillShade="F2"/>
      </w:tcPr>
    </w:tblStylePr>
  </w:style>
  <w:style w:type="paragraph" w:customStyle="1" w:styleId="TableHeader">
    <w:name w:val="Table Header"/>
    <w:basedOn w:val="Normal"/>
    <w:qFormat/>
    <w:rsid w:val="003268F7"/>
    <w:pPr>
      <w:spacing w:before="120" w:after="120"/>
    </w:pPr>
    <w:rPr>
      <w:b/>
      <w:color w:val="FFFFFF"/>
    </w:rPr>
  </w:style>
  <w:style w:type="paragraph" w:styleId="CommentSubject">
    <w:name w:val="annotation subject"/>
    <w:basedOn w:val="Normal"/>
    <w:next w:val="Normal"/>
    <w:link w:val="CommentSubjectChar"/>
    <w:uiPriority w:val="99"/>
    <w:semiHidden/>
    <w:unhideWhenUsed/>
    <w:rsid w:val="00CA62BF"/>
    <w:rPr>
      <w:b/>
      <w:bCs/>
      <w:szCs w:val="20"/>
    </w:rPr>
  </w:style>
  <w:style w:type="character" w:customStyle="1" w:styleId="CommentSubjectChar">
    <w:name w:val="Comment Subject Char"/>
    <w:basedOn w:val="DefaultParagraphFont"/>
    <w:link w:val="CommentSubject"/>
    <w:uiPriority w:val="99"/>
    <w:semiHidden/>
    <w:rsid w:val="00CA62BF"/>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paragraph" w:customStyle="1" w:styleId="TableText">
    <w:name w:val="Table Text"/>
    <w:basedOn w:val="Normal"/>
    <w:qFormat/>
    <w:rsid w:val="003268F7"/>
    <w:pPr>
      <w:spacing w:before="120" w:after="120"/>
    </w:p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sid w:val="00754EA5"/>
    <w:rPr>
      <w:color w:val="auto"/>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TableHeading">
    <w:name w:val="Table Heading"/>
    <w:basedOn w:val="Normal"/>
    <w:qFormat/>
    <w:rsid w:val="003268F7"/>
    <w:pPr>
      <w:spacing w:before="240" w:after="120"/>
    </w:pPr>
    <w:rPr>
      <w:color w:val="4C6968" w:themeColor="text1"/>
    </w:rPr>
  </w:style>
  <w:style w:type="table" w:styleId="TableGridLight">
    <w:name w:val="Grid Table Light"/>
    <w:basedOn w:val="TableNormal"/>
    <w:uiPriority w:val="40"/>
    <w:rsid w:val="003268F7"/>
    <w:rPr>
      <w:rFonts w:ascii="Verdana" w:hAnsi="Verdana"/>
      <w:sz w:val="20"/>
    </w:rPr>
    <w:tblPr>
      <w:tblBorders>
        <w:top w:val="single" w:sz="4" w:space="0" w:color="48555E" w:themeColor="text2"/>
        <w:bottom w:val="single" w:sz="4" w:space="0" w:color="48555E" w:themeColor="text2"/>
        <w:insideH w:val="single" w:sz="4" w:space="0" w:color="48555E" w:themeColor="text2"/>
      </w:tblBorders>
    </w:tblPr>
    <w:tblStylePr w:type="firstRow">
      <w:tblPr/>
      <w:tcPr>
        <w:shd w:val="clear" w:color="auto" w:fill="4C6968" w:themeFill="text1"/>
      </w:tcPr>
    </w:tblStylePr>
  </w:style>
  <w:style w:type="paragraph" w:styleId="Subtitle">
    <w:name w:val="Subtitle"/>
    <w:basedOn w:val="Normal"/>
    <w:next w:val="Normal"/>
    <w:link w:val="SubtitleChar"/>
    <w:uiPriority w:val="11"/>
    <w:unhideWhenUsed/>
    <w:qFormat/>
    <w:rsid w:val="00E56ACF"/>
    <w:pPr>
      <w:numPr>
        <w:ilvl w:val="1"/>
      </w:numPr>
      <w:spacing w:before="360" w:after="160"/>
    </w:pPr>
    <w:rPr>
      <w:rFonts w:eastAsiaTheme="minorEastAsia" w:cstheme="minorBidi"/>
      <w:color w:val="FFFFFF"/>
      <w:spacing w:val="15"/>
      <w:sz w:val="30"/>
    </w:rPr>
  </w:style>
  <w:style w:type="character" w:customStyle="1" w:styleId="SubtitleChar">
    <w:name w:val="Subtitle Char"/>
    <w:basedOn w:val="DefaultParagraphFont"/>
    <w:link w:val="Subtitle"/>
    <w:uiPriority w:val="11"/>
    <w:rsid w:val="00E56ACF"/>
    <w:rPr>
      <w:rFonts w:ascii="Verdana" w:eastAsiaTheme="minorEastAsia" w:hAnsi="Verdana" w:cstheme="minorBidi"/>
      <w:color w:val="FFFFFF"/>
      <w:spacing w:val="15"/>
      <w:sz w:val="30"/>
      <w:lang w:eastAsia="en-US"/>
    </w:rPr>
  </w:style>
  <w:style w:type="paragraph" w:customStyle="1" w:styleId="Author">
    <w:name w:val="Author"/>
    <w:basedOn w:val="Normal"/>
    <w:qFormat/>
    <w:rsid w:val="00E56ACF"/>
    <w:pPr>
      <w:spacing w:before="600" w:after="120"/>
    </w:pPr>
    <w:rPr>
      <w:color w:val="FFFFFF"/>
    </w:rPr>
  </w:style>
  <w:style w:type="paragraph" w:customStyle="1" w:styleId="IntroductionParagraph">
    <w:name w:val="Introduction Paragraph"/>
    <w:basedOn w:val="Normal"/>
    <w:qFormat/>
    <w:rsid w:val="002C07A5"/>
    <w:pPr>
      <w:spacing w:after="360"/>
    </w:pPr>
    <w:rPr>
      <w:b/>
      <w:color w:val="FFFFFF"/>
      <w:sz w:val="28"/>
    </w:rPr>
  </w:style>
  <w:style w:type="paragraph" w:customStyle="1" w:styleId="NormalWhite">
    <w:name w:val="Normal White"/>
    <w:basedOn w:val="Normal"/>
    <w:qFormat/>
    <w:rsid w:val="002C07A5"/>
    <w:rPr>
      <w:color w:val="FFFFFF"/>
    </w:rPr>
  </w:style>
  <w:style w:type="paragraph" w:customStyle="1" w:styleId="FigureHeading">
    <w:name w:val="Figure Heading"/>
    <w:basedOn w:val="TableHeading"/>
    <w:qFormat/>
    <w:rsid w:val="00142E0B"/>
  </w:style>
  <w:style w:type="paragraph" w:styleId="TOC2">
    <w:name w:val="toc 2"/>
    <w:basedOn w:val="Normal"/>
    <w:next w:val="Normal"/>
    <w:autoRedefine/>
    <w:uiPriority w:val="39"/>
    <w:unhideWhenUsed/>
    <w:rsid w:val="0066217F"/>
    <w:pPr>
      <w:tabs>
        <w:tab w:val="right" w:leader="dot" w:pos="9628"/>
      </w:tabs>
      <w:spacing w:after="100"/>
      <w:ind w:left="200"/>
    </w:pPr>
    <w:rPr>
      <w:noProof/>
    </w:rPr>
  </w:style>
  <w:style w:type="paragraph" w:styleId="TOC1">
    <w:name w:val="toc 1"/>
    <w:basedOn w:val="Normal"/>
    <w:next w:val="Normal"/>
    <w:autoRedefine/>
    <w:uiPriority w:val="39"/>
    <w:unhideWhenUsed/>
    <w:rsid w:val="001C0F11"/>
    <w:pPr>
      <w:tabs>
        <w:tab w:val="right" w:leader="dot" w:pos="9628"/>
      </w:tabs>
      <w:spacing w:before="240" w:after="100"/>
    </w:pPr>
    <w:rPr>
      <w:b/>
      <w:noProof/>
      <w:color w:val="48555E" w:themeColor="text2"/>
      <w:sz w:val="24"/>
    </w:rPr>
  </w:style>
  <w:style w:type="paragraph" w:styleId="TOC3">
    <w:name w:val="toc 3"/>
    <w:basedOn w:val="Normal"/>
    <w:next w:val="Normal"/>
    <w:autoRedefine/>
    <w:uiPriority w:val="39"/>
    <w:unhideWhenUsed/>
    <w:rsid w:val="0066217F"/>
    <w:pPr>
      <w:tabs>
        <w:tab w:val="right" w:leader="dot" w:pos="9628"/>
      </w:tabs>
      <w:spacing w:after="100"/>
      <w:ind w:left="400"/>
    </w:pPr>
    <w:rPr>
      <w:noProof/>
    </w:rPr>
  </w:style>
  <w:style w:type="paragraph" w:customStyle="1" w:styleId="AppendicesHeading1">
    <w:name w:val="Appendices Heading 1"/>
    <w:basedOn w:val="Heading1"/>
    <w:qFormat/>
    <w:rsid w:val="007935B6"/>
  </w:style>
  <w:style w:type="paragraph" w:customStyle="1" w:styleId="AppendicesHeading2">
    <w:name w:val="Appendices Heading 2"/>
    <w:basedOn w:val="Heading2"/>
    <w:qFormat/>
    <w:rsid w:val="007935B6"/>
  </w:style>
  <w:style w:type="paragraph" w:customStyle="1" w:styleId="AppendicesHeading3">
    <w:name w:val="Appendices Heading 3"/>
    <w:basedOn w:val="Heading3"/>
    <w:qFormat/>
    <w:rsid w:val="007935B6"/>
  </w:style>
  <w:style w:type="paragraph" w:customStyle="1" w:styleId="AppendicesHeading4">
    <w:name w:val="Appendices Heading 4"/>
    <w:basedOn w:val="Heading4"/>
    <w:qFormat/>
    <w:rsid w:val="007935B6"/>
  </w:style>
  <w:style w:type="paragraph" w:customStyle="1" w:styleId="AppendicesHeading5">
    <w:name w:val="Appendices Heading 5"/>
    <w:basedOn w:val="Heading5"/>
    <w:qFormat/>
    <w:rsid w:val="007935B6"/>
  </w:style>
  <w:style w:type="paragraph" w:customStyle="1" w:styleId="Instructions">
    <w:name w:val="Instructions"/>
    <w:basedOn w:val="Normal"/>
    <w:qFormat/>
    <w:rsid w:val="001C0F11"/>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character" w:styleId="Emphasis">
    <w:name w:val="Emphasis"/>
    <w:basedOn w:val="DefaultParagraphFont"/>
    <w:uiPriority w:val="20"/>
    <w:qFormat/>
    <w:rsid w:val="00C118DE"/>
    <w:rPr>
      <w:i/>
      <w:iCs/>
    </w:rPr>
  </w:style>
  <w:style w:type="paragraph" w:styleId="CommentText">
    <w:name w:val="annotation text"/>
    <w:basedOn w:val="Normal"/>
    <w:link w:val="CommentTextChar"/>
    <w:uiPriority w:val="99"/>
    <w:semiHidden/>
    <w:unhideWhenUsed/>
    <w:rsid w:val="00C118DE"/>
    <w:pPr>
      <w:suppressAutoHyphens/>
      <w:spacing w:before="60" w:after="60"/>
    </w:pPr>
    <w:rPr>
      <w:rFonts w:ascii="Arial" w:eastAsiaTheme="minorEastAsia" w:hAnsi="Arial" w:cstheme="minorBidi"/>
      <w:szCs w:val="20"/>
      <w:lang w:eastAsia="en-GB"/>
    </w:rPr>
  </w:style>
  <w:style w:type="character" w:customStyle="1" w:styleId="CommentTextChar">
    <w:name w:val="Comment Text Char"/>
    <w:basedOn w:val="DefaultParagraphFont"/>
    <w:link w:val="CommentText"/>
    <w:uiPriority w:val="99"/>
    <w:semiHidden/>
    <w:rsid w:val="00C118DE"/>
    <w:rPr>
      <w:rFonts w:eastAsiaTheme="minorEastAsia" w:cstheme="minorBidi"/>
      <w:sz w:val="20"/>
      <w:szCs w:val="20"/>
      <w:lang w:eastAsia="en-GB"/>
    </w:rPr>
  </w:style>
  <w:style w:type="paragraph" w:styleId="ListParagraph">
    <w:name w:val="List Paragraph"/>
    <w:basedOn w:val="Normal"/>
    <w:uiPriority w:val="34"/>
    <w:rsid w:val="0057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019964">
      <w:bodyDiv w:val="1"/>
      <w:marLeft w:val="0"/>
      <w:marRight w:val="0"/>
      <w:marTop w:val="0"/>
      <w:marBottom w:val="0"/>
      <w:divBdr>
        <w:top w:val="none" w:sz="0" w:space="0" w:color="auto"/>
        <w:left w:val="none" w:sz="0" w:space="0" w:color="auto"/>
        <w:bottom w:val="none" w:sz="0" w:space="0" w:color="auto"/>
        <w:right w:val="none" w:sz="0" w:space="0" w:color="auto"/>
      </w:divBdr>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714813778">
      <w:bodyDiv w:val="1"/>
      <w:marLeft w:val="0"/>
      <w:marRight w:val="0"/>
      <w:marTop w:val="0"/>
      <w:marBottom w:val="0"/>
      <w:divBdr>
        <w:top w:val="none" w:sz="0" w:space="0" w:color="auto"/>
        <w:left w:val="none" w:sz="0" w:space="0" w:color="auto"/>
        <w:bottom w:val="none" w:sz="0" w:space="0" w:color="auto"/>
        <w:right w:val="none" w:sz="0" w:space="0" w:color="auto"/>
      </w:divBdr>
    </w:div>
    <w:div w:id="1031422349">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dcceew.gov.au" TargetMode="External"/><Relationship Id="rId18" Type="http://schemas.openxmlformats.org/officeDocument/2006/relationships/hyperlink" Target="https://www.agriculture.gov.au/sites/default/files/documents/metrological-assurance-framework-2.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agriculture.gov.au/sites/default/files/documents/metrological-assurance-framework-2.pdf" TargetMode="External"/><Relationship Id="rId2" Type="http://schemas.openxmlformats.org/officeDocument/2006/relationships/customXml" Target="../customXml/item2.xml"/><Relationship Id="rId16" Type="http://schemas.openxmlformats.org/officeDocument/2006/relationships/hyperlink" Target="mailto:contact@igw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gwc.gov.au/what-we-do/reviews-and-repor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a95247a4-6a6b-40fb-87b6-0fb2f012c5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29ebb019d354d671b53245c09b1e2d80">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25bdb6a5bc4ffbbe42be2b4704fa052c"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B0546-8C33-495F-A3FD-B604E24B0559}">
  <ds:schemaRefs>
    <ds:schemaRef ds:uri="http://schemas.openxmlformats.org/officeDocument/2006/bibliography"/>
  </ds:schemaRefs>
</ds:datastoreItem>
</file>

<file path=customXml/itemProps2.xml><?xml version="1.0" encoding="utf-8"?>
<ds:datastoreItem xmlns:ds="http://schemas.openxmlformats.org/officeDocument/2006/customXml" ds:itemID="{69472487-C3AB-4CE6-B203-75E892BC0418}">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869c146-c82e-4435-92e4-da91542262fd"/>
    <ds:schemaRef ds:uri="a95247a4-6a6b-40fb-87b6-0fb2f012c536"/>
    <ds:schemaRef ds:uri="http://purl.org/dc/terms/"/>
    <ds:schemaRef ds:uri="http://purl.org/dc/elements/1.1/"/>
    <ds:schemaRef ds:uri="http://schemas.microsoft.com/office/2006/metadata/properties"/>
    <ds:schemaRef ds:uri="d81c2681-db7b-4a56-9abd-a3238a78f6b2"/>
    <ds:schemaRef ds:uri="b98728ac-f998-415c-abee-6b046fb1441e"/>
    <ds:schemaRef ds:uri="http://schemas.microsoft.com/sharepoint/v3"/>
    <ds:schemaRef ds:uri="http://purl.org/dc/dcmitype/"/>
  </ds:schemaRefs>
</ds:datastoreItem>
</file>

<file path=customXml/itemProps3.xml><?xml version="1.0" encoding="utf-8"?>
<ds:datastoreItem xmlns:ds="http://schemas.openxmlformats.org/officeDocument/2006/customXml" ds:itemID="{847D2A8B-EDD9-40B3-A416-FDC0658A7E98}">
  <ds:schemaRefs>
    <ds:schemaRef ds:uri="http://schemas.microsoft.com/sharepoint/v3/contenttype/forms"/>
  </ds:schemaRefs>
</ds:datastoreItem>
</file>

<file path=customXml/itemProps4.xml><?xml version="1.0" encoding="utf-8"?>
<ds:datastoreItem xmlns:ds="http://schemas.openxmlformats.org/officeDocument/2006/customXml" ds:itemID="{5D1E14AA-D2FE-4611-BBF3-B83DC30CB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2</TotalTime>
  <Pages>27</Pages>
  <Words>6800</Words>
  <Characters>38764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Murray-Darling Basin Metering Report Card</vt:lpstr>
    </vt:vector>
  </TitlesOfParts>
  <Manager/>
  <Company/>
  <LinksUpToDate>false</LinksUpToDate>
  <CharactersWithSpaces>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Murray-Darling Basin Metering Report Card</dc:title>
  <dc:subject>
  </dc:subject>
  <dc:creator>Rychevska, Ivanna</dc:creator>
  <cp:keywords>
  </cp:keywords>
  <dc:description>
  </dc:description>
  <cp:revision>3</cp:revision>
  <cp:lastPrinted>2021-12-15T06:45:00Z</cp:lastPrinted>
  <dcterms:created xsi:type="dcterms:W3CDTF">2025-09-25T01:36:00Z</dcterms:created>
  <dcterms:modified xsi:type="dcterms:W3CDTF">2025-09-25T22:40:00Z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ies>
</file>