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570F8619" w:rsidR="00617D03" w:rsidRDefault="00681224" w:rsidP="00650806">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675">
        <w:t xml:space="preserve">Transcript - </w:t>
      </w:r>
      <w:r w:rsidR="001B1CA4">
        <w:t>“</w:t>
      </w:r>
      <w:r w:rsidR="00E621DE">
        <w:t>Australia’s Murray-Darling Basin</w:t>
      </w:r>
      <w:r w:rsidR="001B1CA4">
        <w:t>”</w:t>
      </w:r>
    </w:p>
    <w:p w14:paraId="393E0157" w14:textId="77777777" w:rsidR="00422D8D" w:rsidRDefault="00422D8D" w:rsidP="00422D8D">
      <w:pPr>
        <w:pStyle w:val="Heading2"/>
        <w:sectPr w:rsidR="00422D8D" w:rsidSect="00FB0DE5">
          <w:footerReference w:type="default" r:id="rId12"/>
          <w:footerReference w:type="first" r:id="rId13"/>
          <w:pgSz w:w="11906" w:h="16838"/>
          <w:pgMar w:top="1284" w:right="1134" w:bottom="816" w:left="1134" w:header="425" w:footer="733" w:gutter="0"/>
          <w:cols w:space="708"/>
          <w:titlePg/>
          <w:docGrid w:linePitch="360"/>
        </w:sectPr>
      </w:pPr>
      <w:bookmarkStart w:id="0" w:name="_Toc105771031"/>
    </w:p>
    <w:bookmarkEnd w:id="0"/>
    <w:p w14:paraId="35359742" w14:textId="042FC367" w:rsidR="00F04675" w:rsidRDefault="00F04675" w:rsidP="00F04675">
      <w:pPr>
        <w:pStyle w:val="Heading2"/>
      </w:pPr>
      <w:r>
        <w:t>Chapter 4: The Murray-Darling Basin Agreement</w:t>
      </w:r>
    </w:p>
    <w:p w14:paraId="2C8B651D" w14:textId="73F95EC2" w:rsidR="00F04675" w:rsidRPr="00F04675" w:rsidRDefault="00F04675" w:rsidP="00F04675">
      <w:pPr>
        <w:pStyle w:val="Heading3"/>
      </w:pPr>
      <w:r>
        <w:t>TRANSCRIPT:</w:t>
      </w:r>
    </w:p>
    <w:p w14:paraId="2BD6898C" w14:textId="09985D07" w:rsidR="00E97144" w:rsidRDefault="00E97144" w:rsidP="00E97144">
      <w:r>
        <w:t xml:space="preserve">At the turn of the 20th century, Australia was in a state of flux.  Fresh from Federation but still deep in the drought that shared its name, the new country had to navigate not only a challenging environmental situation, but a fraught political one – just who had the responsibility of responding to this crisis?  </w:t>
      </w:r>
    </w:p>
    <w:p w14:paraId="4D59857F" w14:textId="3B0E74FE" w:rsidR="00E97144" w:rsidRDefault="00E97144" w:rsidP="00E97144">
      <w:r>
        <w:t xml:space="preserve">Federation might have created a nation, but it was not an overnight fix to a system of states with competing demands, economic interests and environmental needs.  At the heart of the issue was the complex relationship between New South Wales, Victoria and South Australia – and crucially, the lack of an agreement between them governing the use of water in the Murray-Darling Basin.  </w:t>
      </w:r>
      <w:proofErr w:type="gramStart"/>
      <w:r>
        <w:t>In particular, South</w:t>
      </w:r>
      <w:proofErr w:type="gramEnd"/>
      <w:r>
        <w:t xml:space="preserve"> Australia found itself in a difficult position. Not only were New South Wales and Victoria more economically powerful, but both lay upstream in this great river system and had a great deal of control over the flow of the Murray – the only major river in South Australia – before it entered the state near Renmark. At the end of the line, South Australia was vulnerable.  Compounding this difficult position, the so-called “crow eaters” were also saddled with the driest climate of the three, so arguably had the greatest need for water from the river system.  </w:t>
      </w:r>
    </w:p>
    <w:p w14:paraId="42355DE8" w14:textId="323C66ED" w:rsidR="00E97144" w:rsidRDefault="00E97144" w:rsidP="00E97144">
      <w:r>
        <w:t xml:space="preserve">For its part, Victoria had irrigated considerably more of its land, 125,000 hectares’ worth, compared to just 700 each in South Australia and New South Wales. Unsurprisingly, Victoria’s irrigators looked to its government for support.  In New South Wales, interest at this point was more limited. With little irrigation development, a less pressing environmental situation, and the state’s centre of power located a long way from the Murray, New South Wales “did not bring the same fervour to the issue”.   However, in 1902, the severity of the Federation Drought peaked. With annual flows to the sea measuring just 1,740 gigalitres, only 12% of the average 14,000 gigalitres per year, something had to be done. </w:t>
      </w:r>
    </w:p>
    <w:p w14:paraId="6D433DB6" w14:textId="7A3CAEE8" w:rsidR="00E97144" w:rsidRDefault="00E97144" w:rsidP="00E97144">
      <w:r>
        <w:t xml:space="preserve">It was at Corowa, on the banks of the Murray in NSW, in April 1902, that the first serious attempts to solve the issue were made.  Instigated by a group of Victorian and New South Wales irrigators known as the Murray River Main Canal League, the Corowa Water Conference brought together these interests with politicians representing both states, along with South Australia and the fledgling Commonwealth government.   One of the main issues under discussion was “conservation”, though this word carried a very different meaning at the time. Conservation referred to the idea that as much water as possible should be removed from the river and stored for productive use. Essentially, to those at the time, water not used was water wasted.  </w:t>
      </w:r>
    </w:p>
    <w:p w14:paraId="60BF3378" w14:textId="681C00D4" w:rsidR="00E97144" w:rsidRDefault="00E97144" w:rsidP="00E97144">
      <w:r>
        <w:t xml:space="preserve">In the end, the main outcome of the Corowa conference was the establishment by New South Wales, Victoria and South Australia of a joint royal commission on “the conservation and distribution of the waters of the Murray River basin”.   Though the Commonwealth government was initially called upon to play a role, barely a year after Federation it was too early for it to get involved. </w:t>
      </w:r>
    </w:p>
    <w:p w14:paraId="22265B29" w14:textId="77777777" w:rsidR="00E97144" w:rsidRDefault="00E97144" w:rsidP="00E97144">
      <w:r>
        <w:lastRenderedPageBreak/>
        <w:t xml:space="preserve">The joint royal commission hit the ground running in 1902, holding more than 60 meetings and interviewing almost 300 witnesses in just seven months. While, as we’ll see, it would take some time before a settled agreement was reached, the joint royal commission played a pivotal role in the process, supplying much of the framework that would later be agreed upon.  </w:t>
      </w:r>
    </w:p>
    <w:p w14:paraId="34840232" w14:textId="77777777" w:rsidR="00E97144" w:rsidRDefault="00E97144" w:rsidP="00E97144">
      <w:r>
        <w:t xml:space="preserve">Key elements of this framework included water sharing between New South Wales and Victoria, determined by their proportional contributions to the river, with an entitlement to South Australia. There was consensus that during droughts each state would share the reduced water proportionately. There was a capital works program of locks and storages, and a principle for cost sharing. </w:t>
      </w:r>
    </w:p>
    <w:p w14:paraId="248F6E53" w14:textId="32164A91" w:rsidR="00E97144" w:rsidRDefault="00E97144" w:rsidP="00E97144">
      <w:r>
        <w:t xml:space="preserve">Several rounds of discussion were held in the following years, and four iterations of a River Murray Waters Agreement were signed by the state premiers between 1903 and 1908 – though none stuck.  Incremental progress had been made but some fundamental issues remained, and they prevented the signed agreements from being passed and ratified by all state parliaments.  </w:t>
      </w:r>
    </w:p>
    <w:p w14:paraId="365CA948" w14:textId="2D88210C" w:rsidR="0022532B" w:rsidRDefault="00E97144" w:rsidP="00E97144">
      <w:r>
        <w:t>In 1914, the year Australia entered World War I, a breakthrough finally came.</w:t>
      </w:r>
    </w:p>
    <w:p w14:paraId="666D60BC" w14:textId="77777777" w:rsidR="001B1CA4" w:rsidRDefault="001B1CA4" w:rsidP="00E97144"/>
    <w:p w14:paraId="0F7A3395" w14:textId="40B5395A" w:rsidR="001B1CA4" w:rsidRDefault="001B1CA4" w:rsidP="001B1CA4">
      <w:r>
        <w:t>End of transcript</w:t>
      </w:r>
      <w:r w:rsidR="00F04675">
        <w:t>.</w:t>
      </w:r>
    </w:p>
    <w:p w14:paraId="5D07CE17" w14:textId="77777777" w:rsidR="001B1CA4" w:rsidRPr="0022532B" w:rsidRDefault="001B1CA4" w:rsidP="00E97144"/>
    <w:sectPr w:rsidR="001B1CA4"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1E29" w14:textId="77777777" w:rsidR="00087A51" w:rsidRDefault="00087A51">
      <w:r>
        <w:separator/>
      </w:r>
    </w:p>
  </w:endnote>
  <w:endnote w:type="continuationSeparator" w:id="0">
    <w:p w14:paraId="4EB4EAFD" w14:textId="77777777" w:rsidR="00087A51" w:rsidRDefault="00087A51">
      <w:r>
        <w:continuationSeparator/>
      </w:r>
    </w:p>
  </w:endnote>
  <w:endnote w:type="continuationNotice" w:id="1">
    <w:p w14:paraId="76CA9A65" w14:textId="77777777" w:rsidR="00087A51" w:rsidRDefault="00087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3A96" w14:textId="77777777" w:rsidR="00087A51" w:rsidRDefault="00087A51">
      <w:r>
        <w:separator/>
      </w:r>
    </w:p>
  </w:footnote>
  <w:footnote w:type="continuationSeparator" w:id="0">
    <w:p w14:paraId="562FB350" w14:textId="77777777" w:rsidR="00087A51" w:rsidRDefault="00087A51">
      <w:r>
        <w:continuationSeparator/>
      </w:r>
    </w:p>
  </w:footnote>
  <w:footnote w:type="continuationNotice" w:id="1">
    <w:p w14:paraId="11F87F94" w14:textId="77777777" w:rsidR="00087A51" w:rsidRDefault="00087A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514BD"/>
    <w:rsid w:val="000613B1"/>
    <w:rsid w:val="00071327"/>
    <w:rsid w:val="00082E59"/>
    <w:rsid w:val="00087A51"/>
    <w:rsid w:val="00091B06"/>
    <w:rsid w:val="000A1305"/>
    <w:rsid w:val="000C6AD5"/>
    <w:rsid w:val="000C6BD7"/>
    <w:rsid w:val="000D06D9"/>
    <w:rsid w:val="000D1751"/>
    <w:rsid w:val="000E5C12"/>
    <w:rsid w:val="000F55E7"/>
    <w:rsid w:val="00103A47"/>
    <w:rsid w:val="00114BA0"/>
    <w:rsid w:val="001345C9"/>
    <w:rsid w:val="0014182C"/>
    <w:rsid w:val="00156132"/>
    <w:rsid w:val="0015695F"/>
    <w:rsid w:val="0017077A"/>
    <w:rsid w:val="00170D66"/>
    <w:rsid w:val="00170DC6"/>
    <w:rsid w:val="0017351A"/>
    <w:rsid w:val="0017617F"/>
    <w:rsid w:val="001827C2"/>
    <w:rsid w:val="00186E6F"/>
    <w:rsid w:val="00191A17"/>
    <w:rsid w:val="001B1CA4"/>
    <w:rsid w:val="001C0255"/>
    <w:rsid w:val="001F2A15"/>
    <w:rsid w:val="00204E35"/>
    <w:rsid w:val="0022532B"/>
    <w:rsid w:val="00231A97"/>
    <w:rsid w:val="00234177"/>
    <w:rsid w:val="00234917"/>
    <w:rsid w:val="002561B9"/>
    <w:rsid w:val="00272B0B"/>
    <w:rsid w:val="002820D6"/>
    <w:rsid w:val="00286755"/>
    <w:rsid w:val="002A7384"/>
    <w:rsid w:val="002B4251"/>
    <w:rsid w:val="002C086E"/>
    <w:rsid w:val="002C6C13"/>
    <w:rsid w:val="002D3EC0"/>
    <w:rsid w:val="002E351B"/>
    <w:rsid w:val="00302146"/>
    <w:rsid w:val="0034207B"/>
    <w:rsid w:val="00352BB1"/>
    <w:rsid w:val="0035670A"/>
    <w:rsid w:val="00374588"/>
    <w:rsid w:val="00374903"/>
    <w:rsid w:val="00376A5A"/>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2D8D"/>
    <w:rsid w:val="00443FA9"/>
    <w:rsid w:val="00463BE8"/>
    <w:rsid w:val="0046450A"/>
    <w:rsid w:val="00474D5B"/>
    <w:rsid w:val="00482C26"/>
    <w:rsid w:val="00490047"/>
    <w:rsid w:val="004A3264"/>
    <w:rsid w:val="004B6AB8"/>
    <w:rsid w:val="004C561D"/>
    <w:rsid w:val="004E30CC"/>
    <w:rsid w:val="004F33A8"/>
    <w:rsid w:val="004F5BB5"/>
    <w:rsid w:val="005102AB"/>
    <w:rsid w:val="00510BCE"/>
    <w:rsid w:val="005268BF"/>
    <w:rsid w:val="005359F0"/>
    <w:rsid w:val="00564FB9"/>
    <w:rsid w:val="00585FD1"/>
    <w:rsid w:val="00597E72"/>
    <w:rsid w:val="005B2F67"/>
    <w:rsid w:val="005C5D99"/>
    <w:rsid w:val="005E3F3F"/>
    <w:rsid w:val="005F48DD"/>
    <w:rsid w:val="00606C45"/>
    <w:rsid w:val="00617D03"/>
    <w:rsid w:val="00622053"/>
    <w:rsid w:val="00641068"/>
    <w:rsid w:val="00650806"/>
    <w:rsid w:val="00655D0A"/>
    <w:rsid w:val="00664A63"/>
    <w:rsid w:val="006701E1"/>
    <w:rsid w:val="00681224"/>
    <w:rsid w:val="006B2B83"/>
    <w:rsid w:val="006C52D1"/>
    <w:rsid w:val="006D01B3"/>
    <w:rsid w:val="006E0EC3"/>
    <w:rsid w:val="006E2B5F"/>
    <w:rsid w:val="006F3470"/>
    <w:rsid w:val="00710673"/>
    <w:rsid w:val="0072163B"/>
    <w:rsid w:val="00723BDE"/>
    <w:rsid w:val="00725B2A"/>
    <w:rsid w:val="00740258"/>
    <w:rsid w:val="00743ABB"/>
    <w:rsid w:val="007440F7"/>
    <w:rsid w:val="0074454B"/>
    <w:rsid w:val="00770DD9"/>
    <w:rsid w:val="00774B4C"/>
    <w:rsid w:val="00783454"/>
    <w:rsid w:val="00792822"/>
    <w:rsid w:val="007A29DB"/>
    <w:rsid w:val="007B2D29"/>
    <w:rsid w:val="007C13C6"/>
    <w:rsid w:val="007E17AB"/>
    <w:rsid w:val="007F176C"/>
    <w:rsid w:val="007F774D"/>
    <w:rsid w:val="00843C1C"/>
    <w:rsid w:val="00854106"/>
    <w:rsid w:val="00857B18"/>
    <w:rsid w:val="00861326"/>
    <w:rsid w:val="0087312F"/>
    <w:rsid w:val="008773E5"/>
    <w:rsid w:val="008A0665"/>
    <w:rsid w:val="008A2AB3"/>
    <w:rsid w:val="008A6BDC"/>
    <w:rsid w:val="008A7636"/>
    <w:rsid w:val="008B1BA2"/>
    <w:rsid w:val="008B7E56"/>
    <w:rsid w:val="008D5EF9"/>
    <w:rsid w:val="008E3167"/>
    <w:rsid w:val="008F1E81"/>
    <w:rsid w:val="008F202F"/>
    <w:rsid w:val="009067DC"/>
    <w:rsid w:val="009125C0"/>
    <w:rsid w:val="009427AA"/>
    <w:rsid w:val="00965E41"/>
    <w:rsid w:val="009A412F"/>
    <w:rsid w:val="009A74DE"/>
    <w:rsid w:val="009C3510"/>
    <w:rsid w:val="009D62DE"/>
    <w:rsid w:val="009D6ACF"/>
    <w:rsid w:val="009E078F"/>
    <w:rsid w:val="009E7B0F"/>
    <w:rsid w:val="009F0367"/>
    <w:rsid w:val="00A0041E"/>
    <w:rsid w:val="00A210F6"/>
    <w:rsid w:val="00A27E49"/>
    <w:rsid w:val="00A30460"/>
    <w:rsid w:val="00A4261E"/>
    <w:rsid w:val="00A645E5"/>
    <w:rsid w:val="00A74736"/>
    <w:rsid w:val="00A74C3E"/>
    <w:rsid w:val="00A74C64"/>
    <w:rsid w:val="00A94BCC"/>
    <w:rsid w:val="00AA2167"/>
    <w:rsid w:val="00AA7CB2"/>
    <w:rsid w:val="00AC4678"/>
    <w:rsid w:val="00AE4132"/>
    <w:rsid w:val="00AE75C4"/>
    <w:rsid w:val="00AF63BF"/>
    <w:rsid w:val="00B1156A"/>
    <w:rsid w:val="00B12041"/>
    <w:rsid w:val="00B51968"/>
    <w:rsid w:val="00B531C9"/>
    <w:rsid w:val="00B86445"/>
    <w:rsid w:val="00B924B6"/>
    <w:rsid w:val="00B92F34"/>
    <w:rsid w:val="00BA0F24"/>
    <w:rsid w:val="00BA7881"/>
    <w:rsid w:val="00BC33A0"/>
    <w:rsid w:val="00BE5173"/>
    <w:rsid w:val="00BE76F0"/>
    <w:rsid w:val="00BF7140"/>
    <w:rsid w:val="00C0103F"/>
    <w:rsid w:val="00C322D8"/>
    <w:rsid w:val="00C4688F"/>
    <w:rsid w:val="00C53B8B"/>
    <w:rsid w:val="00C5495A"/>
    <w:rsid w:val="00C61704"/>
    <w:rsid w:val="00C65F8C"/>
    <w:rsid w:val="00C721EA"/>
    <w:rsid w:val="00C827DA"/>
    <w:rsid w:val="00C82C04"/>
    <w:rsid w:val="00C83D74"/>
    <w:rsid w:val="00C97741"/>
    <w:rsid w:val="00CA68B7"/>
    <w:rsid w:val="00CB1878"/>
    <w:rsid w:val="00CC76D5"/>
    <w:rsid w:val="00CC7983"/>
    <w:rsid w:val="00CD12E6"/>
    <w:rsid w:val="00CD4087"/>
    <w:rsid w:val="00CF1FE5"/>
    <w:rsid w:val="00CF7A50"/>
    <w:rsid w:val="00D02834"/>
    <w:rsid w:val="00D3516F"/>
    <w:rsid w:val="00D373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199"/>
    <w:rsid w:val="00E77B8C"/>
    <w:rsid w:val="00E97144"/>
    <w:rsid w:val="00E97A4A"/>
    <w:rsid w:val="00ED1B2C"/>
    <w:rsid w:val="00ED30D0"/>
    <w:rsid w:val="00ED327E"/>
    <w:rsid w:val="00F0093B"/>
    <w:rsid w:val="00F04675"/>
    <w:rsid w:val="00F0693E"/>
    <w:rsid w:val="00F23F93"/>
    <w:rsid w:val="00F267AC"/>
    <w:rsid w:val="00F33200"/>
    <w:rsid w:val="00F33452"/>
    <w:rsid w:val="00F40402"/>
    <w:rsid w:val="00F70602"/>
    <w:rsid w:val="00F8107D"/>
    <w:rsid w:val="00F81F21"/>
    <w:rsid w:val="00F92297"/>
    <w:rsid w:val="00F93899"/>
    <w:rsid w:val="00FA0421"/>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CFDA852C-FC0C-4BAA-A25B-2223A9A1E454}"/>
</file>

<file path=customXml/itemProps2.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3.xml><?xml version="1.0" encoding="utf-8"?>
<ds:datastoreItem xmlns:ds="http://schemas.openxmlformats.org/officeDocument/2006/customXml" ds:itemID="{F758F29F-70EF-4181-AD5D-EFC3A37EABC4}">
  <ds:schemaRefs>
    <ds:schemaRef ds:uri="b98728ac-f998-415c-abee-6b046fb1441e"/>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d869c146-c82e-4435-92e4-da91542262fd"/>
    <ds:schemaRef ds:uri="a95247a4-6a6b-40fb-87b6-0fb2f012c536"/>
    <ds:schemaRef ds:uri="d81c2681-db7b-4a56-9abd-a3238a78f6b2"/>
    <ds:schemaRef ds:uri="http://purl.org/dc/dcmitype/"/>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0</TotalTime>
  <Pages>1</Pages>
  <Words>717</Words>
  <Characters>3694</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Chapter 4 - The Murray-Darling Basin Agreement</vt:lpstr>
    </vt:vector>
  </TitlesOfParts>
  <Manager/>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 The Murray-Darling Basin Agreement</dc:title>
  <dc:subject/>
  <dc:creator>IGWC</dc:creator>
  <cp:keywords/>
  <dc:description>_x000d_
  </dc:description>
  <cp:lastModifiedBy>Bec DURACK</cp:lastModifiedBy>
  <cp:revision>3</cp:revision>
  <cp:lastPrinted>2021-12-15T06:45:00Z</cp:lastPrinted>
  <dcterms:created xsi:type="dcterms:W3CDTF">2025-10-30T01:46:00Z</dcterms:created>
  <dcterms:modified xsi:type="dcterms:W3CDTF">2025-10-30T01:46:00Z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 Classification">
    <vt:lpwstr/>
  </property>
  <property fmtid="{D5CDD505-2E9C-101B-9397-08002B2CF9AE}" pid="5" name="Record_x0020_Classification">
    <vt:lpwstr/>
  </property>
  <property fmtid="{D5CDD505-2E9C-101B-9397-08002B2CF9AE}" pid="6" name="h64465b6520a47a58f1168c7a3f04764">
    <vt:lpwstr/>
  </property>
</Properties>
</file>