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2C73F" w14:textId="6782C214" w:rsidR="00473F5B" w:rsidRDefault="007A1E2C" w:rsidP="00473F5B">
      <w:pPr>
        <w:pStyle w:val="Title"/>
      </w:pPr>
      <w:r w:rsidRPr="003A6733">
        <w:rPr>
          <w:noProof/>
        </w:rPr>
        <w:drawing>
          <wp:anchor distT="0" distB="0" distL="114300" distR="114300" simplePos="0" relativeHeight="251658240" behindDoc="1" locked="1" layoutInCell="1" allowOverlap="1" wp14:anchorId="75AAD8E9" wp14:editId="769EEFBC">
            <wp:simplePos x="0" y="0"/>
            <wp:positionH relativeFrom="column">
              <wp:posOffset>-754380</wp:posOffset>
            </wp:positionH>
            <wp:positionV relativeFrom="paragraph">
              <wp:posOffset>-2599055</wp:posOffset>
            </wp:positionV>
            <wp:extent cx="7597140" cy="10751185"/>
            <wp:effectExtent l="0" t="0" r="381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97140" cy="107511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1" layoutInCell="1" allowOverlap="1" wp14:anchorId="4434F8DB" wp14:editId="549862F5">
            <wp:simplePos x="0" y="0"/>
            <wp:positionH relativeFrom="page">
              <wp:posOffset>594360</wp:posOffset>
            </wp:positionH>
            <wp:positionV relativeFrom="paragraph">
              <wp:posOffset>-1986280</wp:posOffset>
            </wp:positionV>
            <wp:extent cx="3600450" cy="1040130"/>
            <wp:effectExtent l="0" t="0" r="0" b="0"/>
            <wp:wrapNone/>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a:extLst>
                        <a:ext uri="{C183D7F6-B498-43B3-948B-1728B52AA6E4}">
                          <adec:decorative xmlns:adec="http://schemas.microsoft.com/office/drawing/2017/decorative" val="1"/>
                        </a:ext>
                      </a:extLst>
                    </pic:cNvPr>
                    <pic:cNvPicPr>
                      <a:picLocks/>
                    </pic:cNvPicPr>
                  </pic:nvPicPr>
                  <pic:blipFill>
                    <a:blip r:embed="rId11">
                      <a:extLst>
                        <a:ext uri="{28A0092B-C50C-407E-A947-70E740481C1C}">
                          <a14:useLocalDpi xmlns:a14="http://schemas.microsoft.com/office/drawing/2010/main" val="0"/>
                        </a:ext>
                      </a:extLst>
                    </a:blip>
                    <a:stretch>
                      <a:fillRect/>
                    </a:stretch>
                  </pic:blipFill>
                  <pic:spPr bwMode="auto">
                    <a:xfrm>
                      <a:off x="0" y="0"/>
                      <a:ext cx="3600450" cy="1040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411A" w:rsidRPr="0065411A">
        <w:t>Murray–Darling Basin community perceptions research 202</w:t>
      </w:r>
      <w:r w:rsidR="00FE1A3F">
        <w:t>4</w:t>
      </w:r>
      <w:r w:rsidR="0042346D">
        <w:t>–</w:t>
      </w:r>
      <w:r w:rsidR="00FE1A3F">
        <w:t>25</w:t>
      </w:r>
    </w:p>
    <w:p w14:paraId="723B916E" w14:textId="351C5491" w:rsidR="00473F5B" w:rsidRPr="00852318" w:rsidRDefault="0065411A" w:rsidP="00852318">
      <w:pPr>
        <w:pStyle w:val="Author"/>
      </w:pPr>
      <w:r w:rsidRPr="0065411A">
        <w:rPr>
          <w:rFonts w:eastAsiaTheme="minorEastAsia" w:cstheme="minorBidi"/>
          <w:spacing w:val="15"/>
          <w:sz w:val="30"/>
        </w:rPr>
        <w:t>Project overview and research methodology</w:t>
      </w:r>
    </w:p>
    <w:p w14:paraId="07FC3C62" w14:textId="1A99C961" w:rsidR="00473F5B" w:rsidRDefault="00473F5B">
      <w:pPr>
        <w:spacing w:after="0"/>
        <w:rPr>
          <w:b/>
          <w:color w:val="FFFFFF"/>
          <w:sz w:val="60"/>
          <w:szCs w:val="24"/>
        </w:rPr>
      </w:pPr>
      <w:r>
        <w:br w:type="page"/>
      </w:r>
    </w:p>
    <w:p w14:paraId="3389149D" w14:textId="353D5F9C" w:rsidR="003F5D2E" w:rsidRDefault="003F5D2E" w:rsidP="002857D6">
      <w:pPr>
        <w:pStyle w:val="Heading1"/>
      </w:pPr>
      <w:r w:rsidRPr="003F5D2E">
        <w:lastRenderedPageBreak/>
        <w:t>Research overview and</w:t>
      </w:r>
      <w:r w:rsidR="00236D0F">
        <w:t xml:space="preserve"> </w:t>
      </w:r>
      <w:r w:rsidRPr="003F5D2E">
        <w:t>methodology</w:t>
      </w:r>
    </w:p>
    <w:p w14:paraId="4FB19232" w14:textId="142EBB9E" w:rsidR="00CD3921" w:rsidRPr="00CD3921" w:rsidRDefault="00FE1A3F" w:rsidP="00CD3921">
      <w:r>
        <w:rPr>
          <w:lang w:val="en-GB"/>
        </w:rPr>
        <w:t>The primary objective for the research was to track changes in community sentiment over time, as well as measure performance against the Inspector-General’s community sentiment key performance indicators</w:t>
      </w:r>
      <w:r w:rsidR="0042346D">
        <w:rPr>
          <w:lang w:val="en-GB"/>
        </w:rPr>
        <w:t xml:space="preserve">, </w:t>
      </w:r>
      <w:r>
        <w:rPr>
          <w:lang w:val="en-GB"/>
        </w:rPr>
        <w:t>KPIs – including trust and confidence.</w:t>
      </w:r>
    </w:p>
    <w:p w14:paraId="1F7CB8E6" w14:textId="7A3C1021" w:rsidR="00CD3921" w:rsidRDefault="00FF0F0C" w:rsidP="00FF0F0C">
      <w:pPr>
        <w:pStyle w:val="Heading3"/>
      </w:pPr>
      <w:r>
        <w:t>Project Overview</w:t>
      </w:r>
    </w:p>
    <w:p w14:paraId="599365F5" w14:textId="059B5B30" w:rsidR="0042346D" w:rsidRDefault="0042346D" w:rsidP="00FA05FE">
      <w:r>
        <w:t>The project comprised the following stages, in order:</w:t>
      </w:r>
    </w:p>
    <w:p w14:paraId="0E228535" w14:textId="7FA22B5F" w:rsidR="00FA05FE" w:rsidRDefault="00FA05FE" w:rsidP="00E04C88">
      <w:pPr>
        <w:pStyle w:val="ListParagraph"/>
        <w:numPr>
          <w:ilvl w:val="0"/>
          <w:numId w:val="9"/>
        </w:numPr>
      </w:pPr>
      <w:r w:rsidRPr="00A86E82">
        <w:rPr>
          <w:rStyle w:val="Strong"/>
        </w:rPr>
        <w:t>Project establishment</w:t>
      </w:r>
      <w:r>
        <w:t xml:space="preserve">, including </w:t>
      </w:r>
      <w:r w:rsidRPr="00E04C88">
        <w:rPr>
          <w:bCs/>
          <w:szCs w:val="16"/>
        </w:rPr>
        <w:t>project</w:t>
      </w:r>
      <w:r>
        <w:t xml:space="preserve"> inception and creation of research instruments.</w:t>
      </w:r>
    </w:p>
    <w:p w14:paraId="5D5CFDF6" w14:textId="0B66DEB7" w:rsidR="00FA05FE" w:rsidRDefault="00FE1A3F" w:rsidP="00E04C88">
      <w:pPr>
        <w:pStyle w:val="ListParagraph"/>
        <w:numPr>
          <w:ilvl w:val="0"/>
          <w:numId w:val="9"/>
        </w:numPr>
      </w:pPr>
      <w:r w:rsidRPr="00A86E82">
        <w:rPr>
          <w:rStyle w:val="Strong"/>
        </w:rPr>
        <w:t>Quantitative</w:t>
      </w:r>
      <w:r w:rsidR="00FA05FE" w:rsidRPr="00A86E82">
        <w:rPr>
          <w:rStyle w:val="Strong"/>
        </w:rPr>
        <w:t xml:space="preserve"> research</w:t>
      </w:r>
      <w:r>
        <w:t xml:space="preserve">, conducted through </w:t>
      </w:r>
      <w:r w:rsidR="0042346D">
        <w:t xml:space="preserve">an </w:t>
      </w:r>
      <w:r>
        <w:t>online survey and Computer Assisted Telephone Interviews</w:t>
      </w:r>
      <w:r w:rsidR="00FA05FE">
        <w:t xml:space="preserve"> </w:t>
      </w:r>
      <w:r w:rsidR="0042346D">
        <w:t>with</w:t>
      </w:r>
      <w:r w:rsidR="00FA05FE">
        <w:t xml:space="preserve"> </w:t>
      </w:r>
      <w:r>
        <w:t>865</w:t>
      </w:r>
      <w:r w:rsidR="00FA05FE">
        <w:t xml:space="preserve"> </w:t>
      </w:r>
      <w:r w:rsidR="00FA05FE" w:rsidRPr="00E04C88">
        <w:rPr>
          <w:bCs/>
          <w:szCs w:val="16"/>
        </w:rPr>
        <w:t>Basin</w:t>
      </w:r>
      <w:r w:rsidR="00FA05FE">
        <w:t xml:space="preserve"> community </w:t>
      </w:r>
      <w:r>
        <w:t>members and 203 water licence holders</w:t>
      </w:r>
      <w:r w:rsidR="00FA05FE">
        <w:t>.</w:t>
      </w:r>
    </w:p>
    <w:p w14:paraId="5387AE67" w14:textId="33EFDFC0" w:rsidR="00FA05FE" w:rsidRDefault="00FA05FE" w:rsidP="00E04C88">
      <w:pPr>
        <w:pStyle w:val="ListParagraph"/>
        <w:numPr>
          <w:ilvl w:val="0"/>
          <w:numId w:val="9"/>
        </w:numPr>
      </w:pPr>
      <w:r w:rsidRPr="00A86E82">
        <w:rPr>
          <w:rStyle w:val="Strong"/>
        </w:rPr>
        <w:t>Qua</w:t>
      </w:r>
      <w:r w:rsidR="00FE1A3F" w:rsidRPr="00A86E82">
        <w:rPr>
          <w:rStyle w:val="Strong"/>
        </w:rPr>
        <w:t>l</w:t>
      </w:r>
      <w:r w:rsidRPr="00A86E82">
        <w:rPr>
          <w:rStyle w:val="Strong"/>
        </w:rPr>
        <w:t>itative research</w:t>
      </w:r>
      <w:r w:rsidR="00FE1A3F" w:rsidRPr="0042346D">
        <w:rPr>
          <w:b/>
          <w:bCs/>
        </w:rPr>
        <w:t>,</w:t>
      </w:r>
      <w:r w:rsidR="00FE1A3F">
        <w:t xml:space="preserve"> conducted through focus groups and interviews</w:t>
      </w:r>
      <w:r>
        <w:t xml:space="preserve"> </w:t>
      </w:r>
      <w:r w:rsidR="0042346D">
        <w:t>with</w:t>
      </w:r>
      <w:r>
        <w:t xml:space="preserve"> </w:t>
      </w:r>
      <w:r w:rsidR="00FE1A3F">
        <w:t xml:space="preserve">105 participants, including community members, </w:t>
      </w:r>
      <w:r w:rsidR="00FE1A3F" w:rsidRPr="00E04C88">
        <w:rPr>
          <w:bCs/>
          <w:szCs w:val="16"/>
        </w:rPr>
        <w:t>water</w:t>
      </w:r>
      <w:r w:rsidR="00FE1A3F">
        <w:t xml:space="preserve"> licence holders and stakeholders in the Basin</w:t>
      </w:r>
    </w:p>
    <w:p w14:paraId="5966FB9A" w14:textId="67EC1FFB" w:rsidR="00FF0F0C" w:rsidRDefault="00FA05FE" w:rsidP="00E04C88">
      <w:pPr>
        <w:pStyle w:val="ListParagraph"/>
        <w:numPr>
          <w:ilvl w:val="0"/>
          <w:numId w:val="9"/>
        </w:numPr>
      </w:pPr>
      <w:r w:rsidRPr="00A86E82">
        <w:rPr>
          <w:rStyle w:val="Strong"/>
        </w:rPr>
        <w:t>Analysis and reporting</w:t>
      </w:r>
      <w:r>
        <w:t xml:space="preserve">, including </w:t>
      </w:r>
      <w:r w:rsidR="0042346D">
        <w:t>a</w:t>
      </w:r>
      <w:r>
        <w:t xml:space="preserve"> final report and publication.</w:t>
      </w:r>
    </w:p>
    <w:p w14:paraId="15223804" w14:textId="515F71BF" w:rsidR="003D4686" w:rsidRPr="003D4686" w:rsidRDefault="00FE1A3F" w:rsidP="003D4686">
      <w:pPr>
        <w:pStyle w:val="Heading3"/>
      </w:pPr>
      <w:bookmarkStart w:id="0" w:name="_Hlk198721411"/>
      <w:r>
        <w:rPr>
          <w:bCs/>
          <w:lang w:val="en-GB"/>
        </w:rPr>
        <w:t>Quantitative</w:t>
      </w:r>
      <w:r w:rsidR="003D4686" w:rsidRPr="003D4686">
        <w:rPr>
          <w:bCs/>
          <w:lang w:val="en-GB"/>
        </w:rPr>
        <w:t xml:space="preserve"> </w:t>
      </w:r>
      <w:bookmarkEnd w:id="0"/>
      <w:r w:rsidR="003D4686" w:rsidRPr="003D4686">
        <w:rPr>
          <w:bCs/>
          <w:lang w:val="en-GB"/>
        </w:rPr>
        <w:t>research methodology</w:t>
      </w:r>
    </w:p>
    <w:p w14:paraId="47BCD2D6" w14:textId="5040173D" w:rsidR="003D4686" w:rsidRPr="003D4686" w:rsidRDefault="00FE1A3F" w:rsidP="003D4686">
      <w:r>
        <w:rPr>
          <w:lang w:val="en-US"/>
        </w:rPr>
        <w:t>1,068 people were surveyed across the Murray</w:t>
      </w:r>
      <w:r w:rsidR="0042346D">
        <w:rPr>
          <w:lang w:val="en-US"/>
        </w:rPr>
        <w:t>–</w:t>
      </w:r>
      <w:r>
        <w:rPr>
          <w:lang w:val="en-US"/>
        </w:rPr>
        <w:t>Darling Basin between 31 October – 9 December 2024. Questions were tailored to each audience to account for differences in experiences</w:t>
      </w:r>
      <w:r w:rsidR="0042346D">
        <w:rPr>
          <w:lang w:val="en-US"/>
        </w:rPr>
        <w:t>, such as</w:t>
      </w:r>
      <w:r>
        <w:rPr>
          <w:lang w:val="en-US"/>
        </w:rPr>
        <w:t xml:space="preserve"> water licence holders compared to community members.</w:t>
      </w:r>
    </w:p>
    <w:p w14:paraId="4D621C2D" w14:textId="06B3CB39" w:rsidR="00FE1A3F" w:rsidRDefault="00FE1A3F" w:rsidP="00FE1A3F">
      <w:pPr>
        <w:pStyle w:val="Heading3"/>
        <w:rPr>
          <w:lang w:val="en-US"/>
        </w:rPr>
      </w:pPr>
      <w:r>
        <w:t>Basin Community</w:t>
      </w:r>
      <w:r w:rsidRPr="00E41A78">
        <w:t xml:space="preserve"> </w:t>
      </w:r>
      <w:r w:rsidRPr="00E41A78">
        <w:rPr>
          <w:lang w:val="en-US"/>
        </w:rPr>
        <w:t>(n=</w:t>
      </w:r>
      <w:r>
        <w:rPr>
          <w:lang w:val="en-US"/>
        </w:rPr>
        <w:t>865</w:t>
      </w:r>
      <w:r w:rsidRPr="00E41A78">
        <w:rPr>
          <w:lang w:val="en-US"/>
        </w:rPr>
        <w:t>)</w:t>
      </w:r>
    </w:p>
    <w:p w14:paraId="0E87400F" w14:textId="0D4A336A" w:rsidR="00FE1A3F" w:rsidRDefault="00236D0F" w:rsidP="00FE1A3F">
      <w:pPr>
        <w:rPr>
          <w:lang w:val="en-US"/>
        </w:rPr>
      </w:pPr>
      <w:r>
        <w:rPr>
          <w:lang w:val="en-US"/>
        </w:rPr>
        <w:t>Quantitative research was conducted via n=755 online surveys and n=50 Computer Assisted Telephone Interviews with the Basin community. Fieldwork was conducted from 31 October to 21 November 2024.</w:t>
      </w:r>
    </w:p>
    <w:p w14:paraId="767942C5" w14:textId="4DEC0C1A" w:rsidR="00236D0F" w:rsidRDefault="00236D0F" w:rsidP="00FE1A3F">
      <w:pPr>
        <w:rPr>
          <w:lang w:val="en-US"/>
        </w:rPr>
      </w:pPr>
      <w:r>
        <w:rPr>
          <w:lang w:val="en-US"/>
        </w:rPr>
        <w:t>A targeted survey was conducted with First Nations peoples in the Basin via n=35 online surveys and n=25 interviewer-administered surveys</w:t>
      </w:r>
      <w:r w:rsidR="0042346D">
        <w:rPr>
          <w:lang w:val="en-US"/>
        </w:rPr>
        <w:t xml:space="preserve">, for a total of </w:t>
      </w:r>
      <w:r>
        <w:rPr>
          <w:lang w:val="en-US"/>
        </w:rPr>
        <w:t>n=60 overall. Fieldwork was conducted from 8 November to 9 December 2024.</w:t>
      </w:r>
    </w:p>
    <w:p w14:paraId="6F5EE6D3" w14:textId="6658FD7C" w:rsidR="00236D0F" w:rsidRDefault="00236D0F" w:rsidP="00FE1A3F">
      <w:pPr>
        <w:rPr>
          <w:lang w:val="en-US"/>
        </w:rPr>
      </w:pPr>
      <w:r>
        <w:rPr>
          <w:lang w:val="en-US"/>
        </w:rPr>
        <w:t>The survey was conducted with residents of the Murray</w:t>
      </w:r>
      <w:r w:rsidR="0042346D">
        <w:rPr>
          <w:lang w:val="en-US"/>
        </w:rPr>
        <w:t>–</w:t>
      </w:r>
      <w:r>
        <w:rPr>
          <w:lang w:val="en-US"/>
        </w:rPr>
        <w:t>Darling Basin area aged 18 and over.</w:t>
      </w:r>
    </w:p>
    <w:p w14:paraId="2F071961" w14:textId="64332F16" w:rsidR="00236D0F" w:rsidRDefault="00236D0F" w:rsidP="00236D0F">
      <w:pPr>
        <w:pStyle w:val="Heading3"/>
        <w:rPr>
          <w:lang w:val="en-US"/>
        </w:rPr>
      </w:pPr>
      <w:r w:rsidRPr="00E41A78">
        <w:t xml:space="preserve">Water licence holders </w:t>
      </w:r>
      <w:r w:rsidRPr="00E41A78">
        <w:rPr>
          <w:lang w:val="en-US"/>
        </w:rPr>
        <w:t>(n=2</w:t>
      </w:r>
      <w:r>
        <w:rPr>
          <w:lang w:val="en-US"/>
        </w:rPr>
        <w:t>03</w:t>
      </w:r>
      <w:r w:rsidRPr="00E41A78">
        <w:rPr>
          <w:lang w:val="en-US"/>
        </w:rPr>
        <w:t>)</w:t>
      </w:r>
    </w:p>
    <w:p w14:paraId="5E5F3E8C" w14:textId="2793E525" w:rsidR="00236D0F" w:rsidRDefault="00236D0F" w:rsidP="00236D0F">
      <w:pPr>
        <w:rPr>
          <w:lang w:val="en-US"/>
        </w:rPr>
      </w:pPr>
      <w:r>
        <w:rPr>
          <w:lang w:val="en-US"/>
        </w:rPr>
        <w:t>Quantitative research was conducted via n=150 Computer Assisted Telephone Interviews</w:t>
      </w:r>
      <w:r w:rsidR="0042346D">
        <w:rPr>
          <w:lang w:val="en-US"/>
        </w:rPr>
        <w:t xml:space="preserve">, </w:t>
      </w:r>
      <w:r>
        <w:rPr>
          <w:lang w:val="en-US"/>
        </w:rPr>
        <w:t>CATI</w:t>
      </w:r>
      <w:r w:rsidR="0042346D">
        <w:rPr>
          <w:lang w:val="en-US"/>
        </w:rPr>
        <w:t>,</w:t>
      </w:r>
      <w:r>
        <w:rPr>
          <w:lang w:val="en-US"/>
        </w:rPr>
        <w:t xml:space="preserve"> and n=50 online surveys. An additional n=3 water licence holder surveys, administered online, were obtained during a targeted First Nations peoples boost. Fieldwork was conducted from 31 October to 21 November 2024.</w:t>
      </w:r>
    </w:p>
    <w:p w14:paraId="43B45361" w14:textId="047AC80F" w:rsidR="00236D0F" w:rsidRPr="00FE1A3F" w:rsidRDefault="00236D0F" w:rsidP="00FE1A3F">
      <w:pPr>
        <w:rPr>
          <w:lang w:val="en-US"/>
        </w:rPr>
      </w:pPr>
      <w:r>
        <w:rPr>
          <w:lang w:val="en-US"/>
        </w:rPr>
        <w:t>The survey was conducted with water licence holders who operated in the Murray</w:t>
      </w:r>
      <w:r w:rsidR="0042346D">
        <w:rPr>
          <w:lang w:val="en-US"/>
        </w:rPr>
        <w:t>–</w:t>
      </w:r>
      <w:r>
        <w:rPr>
          <w:lang w:val="en-US"/>
        </w:rPr>
        <w:t>Darling Basin.</w:t>
      </w:r>
    </w:p>
    <w:p w14:paraId="5E7D2C42" w14:textId="2935E18F" w:rsidR="002857D6" w:rsidRDefault="002857D6">
      <w:pPr>
        <w:spacing w:after="0"/>
      </w:pPr>
    </w:p>
    <w:p w14:paraId="34DAAEEB" w14:textId="0A9E6681" w:rsidR="000F4D94" w:rsidRDefault="00236D0F" w:rsidP="002857D6">
      <w:pPr>
        <w:pStyle w:val="Heading1"/>
      </w:pPr>
      <w:r>
        <w:lastRenderedPageBreak/>
        <w:t>R</w:t>
      </w:r>
      <w:r w:rsidR="002857D6" w:rsidRPr="002857D6">
        <w:t>esearch</w:t>
      </w:r>
      <w:r w:rsidR="002857D6">
        <w:t xml:space="preserve"> </w:t>
      </w:r>
      <w:r w:rsidR="002857D6" w:rsidRPr="002857D6">
        <w:t>methodology</w:t>
      </w:r>
    </w:p>
    <w:p w14:paraId="0DA1A45F" w14:textId="11A67677" w:rsidR="00236D0F" w:rsidRDefault="00236D0F" w:rsidP="00236D0F">
      <w:pPr>
        <w:pStyle w:val="Heading3"/>
        <w:rPr>
          <w:bCs/>
          <w:lang w:val="en-GB"/>
        </w:rPr>
      </w:pPr>
      <w:r>
        <w:rPr>
          <w:bCs/>
          <w:lang w:val="en-GB"/>
        </w:rPr>
        <w:t>Quantitative</w:t>
      </w:r>
      <w:r w:rsidRPr="003D4686">
        <w:rPr>
          <w:bCs/>
          <w:lang w:val="en-GB"/>
        </w:rPr>
        <w:t xml:space="preserve"> research methodology</w:t>
      </w:r>
      <w:r>
        <w:rPr>
          <w:bCs/>
          <w:lang w:val="en-GB"/>
        </w:rPr>
        <w:t xml:space="preserve"> (continued)</w:t>
      </w:r>
    </w:p>
    <w:p w14:paraId="492BB4D2" w14:textId="6CC11325" w:rsidR="00236D0F" w:rsidRPr="00236D0F" w:rsidRDefault="00236D0F" w:rsidP="00236D0F">
      <w:pPr>
        <w:rPr>
          <w:lang w:val="en-GB"/>
        </w:rPr>
      </w:pPr>
      <w:r>
        <w:rPr>
          <w:lang w:val="en-GB"/>
        </w:rPr>
        <w:t>To ensure coverage of responses across the Basin, 12 areas were identified</w:t>
      </w:r>
      <w:r w:rsidR="0042346D">
        <w:rPr>
          <w:lang w:val="en-GB"/>
        </w:rPr>
        <w:t xml:space="preserve">, as </w:t>
      </w:r>
      <w:r>
        <w:rPr>
          <w:lang w:val="en-GB"/>
        </w:rPr>
        <w:t xml:space="preserve">shown in a map of the </w:t>
      </w:r>
      <w:r w:rsidR="0042346D">
        <w:rPr>
          <w:lang w:val="en-GB"/>
        </w:rPr>
        <w:t>Murray–Darling</w:t>
      </w:r>
      <w:r>
        <w:rPr>
          <w:lang w:val="en-GB"/>
        </w:rPr>
        <w:t xml:space="preserve"> Basin divided into 12 areas, with minimum quotas set for each. The number of completed community surveys ranged from n=32-157 per area.</w:t>
      </w:r>
    </w:p>
    <w:p w14:paraId="255FF573" w14:textId="0E89E8AF" w:rsidR="00E41A78" w:rsidRPr="00E41A78" w:rsidRDefault="00236D0F" w:rsidP="00E41A78">
      <w:pPr>
        <w:pStyle w:val="Heading3"/>
      </w:pPr>
      <w:bookmarkStart w:id="1" w:name="_Hlk198721425"/>
      <w:r>
        <w:t>Qualitative research methodology</w:t>
      </w:r>
    </w:p>
    <w:bookmarkEnd w:id="1"/>
    <w:p w14:paraId="6394492B" w14:textId="3F4934C4" w:rsidR="00E41A78" w:rsidRDefault="00236D0F" w:rsidP="00E41A78">
      <w:pPr>
        <w:rPr>
          <w:lang w:val="en-US"/>
        </w:rPr>
      </w:pPr>
      <w:r>
        <w:rPr>
          <w:lang w:val="en-US"/>
        </w:rPr>
        <w:t xml:space="preserve">A further n=105 people participated in the qualitative research, which was conducted between 28 January </w:t>
      </w:r>
      <w:r w:rsidR="0042346D">
        <w:rPr>
          <w:lang w:val="en-US"/>
        </w:rPr>
        <w:t>and</w:t>
      </w:r>
      <w:r>
        <w:rPr>
          <w:lang w:val="en-US"/>
        </w:rPr>
        <w:t xml:space="preserve"> 12 March 2025 via: 9 face-to-face focus groups; 2 online focus groups; 2 mini focus groups; 1 paired interview; and 7 in-depth interviews</w:t>
      </w:r>
      <w:r w:rsidR="0042346D">
        <w:rPr>
          <w:lang w:val="en-US"/>
        </w:rPr>
        <w:t xml:space="preserve">. Note that </w:t>
      </w:r>
      <w:r w:rsidR="00953791">
        <w:rPr>
          <w:lang w:val="en-US"/>
        </w:rPr>
        <w:t>4 interviews were conducted online/ via telephone. This phase of the research provided in-depth insights and context for understanding the quantitative research data.</w:t>
      </w:r>
    </w:p>
    <w:p w14:paraId="01F7895F" w14:textId="73A2F313" w:rsidR="00E41A78" w:rsidRDefault="00953791" w:rsidP="00E41A78">
      <w:r>
        <w:t xml:space="preserve">Target audiences for the qualitative research consisted of Basin community members, totalling 82 participants, water licence holders, totalling 20 participants, and basin stakeholders, totalling 3 participants. Basin community members were further </w:t>
      </w:r>
      <w:r w:rsidR="0042346D">
        <w:t>grouped</w:t>
      </w:r>
      <w:r>
        <w:t xml:space="preserve"> by age, engagement with waterways and First Nations </w:t>
      </w:r>
      <w:r w:rsidR="0042346D">
        <w:t>identity</w:t>
      </w:r>
      <w:r>
        <w:t>. 16 Basin community members were ‘younger</w:t>
      </w:r>
      <w:r w:rsidR="0042346D">
        <w:t xml:space="preserve">’, considered as </w:t>
      </w:r>
      <w:r>
        <w:t>18-39 years</w:t>
      </w:r>
      <w:r w:rsidR="0042346D">
        <w:t>,</w:t>
      </w:r>
      <w:r>
        <w:t xml:space="preserve"> and 17 were ‘older</w:t>
      </w:r>
      <w:r w:rsidR="0042346D">
        <w:t xml:space="preserve">’, considered </w:t>
      </w:r>
      <w:r>
        <w:t>40 years</w:t>
      </w:r>
      <w:r w:rsidR="0042346D">
        <w:t xml:space="preserve"> or older</w:t>
      </w:r>
      <w:r>
        <w:t>. 15 Basin community members were ‘less engaged users’</w:t>
      </w:r>
      <w:r w:rsidR="00857E18">
        <w:t xml:space="preserve"> of waterways</w:t>
      </w:r>
      <w:r>
        <w:t xml:space="preserve">, and 14 were ‘more engaged </w:t>
      </w:r>
      <w:proofErr w:type="gramStart"/>
      <w:r>
        <w:t>users’</w:t>
      </w:r>
      <w:proofErr w:type="gramEnd"/>
      <w:r>
        <w:t>. 18 Basin community members were First Nations ‘</w:t>
      </w:r>
      <w:r w:rsidR="00857E18">
        <w:t>C</w:t>
      </w:r>
      <w:r>
        <w:t>ommunity members’ and 2 were First Nations ‘</w:t>
      </w:r>
      <w:r w:rsidR="00857E18">
        <w:t>C</w:t>
      </w:r>
      <w:r>
        <w:t xml:space="preserve">ommunity </w:t>
      </w:r>
      <w:r w:rsidR="00857E18">
        <w:t>E</w:t>
      </w:r>
      <w:r>
        <w:t>lders’.</w:t>
      </w:r>
    </w:p>
    <w:p w14:paraId="27B5216E" w14:textId="51EF0285" w:rsidR="00953791" w:rsidRPr="00E41A78" w:rsidRDefault="00953791" w:rsidP="00E41A78">
      <w:r>
        <w:t xml:space="preserve">Participants </w:t>
      </w:r>
      <w:r w:rsidR="00857E18">
        <w:t>we</w:t>
      </w:r>
      <w:r>
        <w:t>re from different locations in the Basin</w:t>
      </w:r>
      <w:r w:rsidR="00857E18">
        <w:t>:</w:t>
      </w:r>
      <w:r>
        <w:t xml:space="preserve"> 20 were from Bendigo</w:t>
      </w:r>
      <w:r w:rsidR="00857E18">
        <w:t>;</w:t>
      </w:r>
      <w:r>
        <w:t xml:space="preserve"> 10 were from Canberra</w:t>
      </w:r>
      <w:r w:rsidR="00857E18">
        <w:t>;</w:t>
      </w:r>
      <w:r>
        <w:t xml:space="preserve"> 21 were from Tamworth</w:t>
      </w:r>
      <w:r w:rsidR="00857E18">
        <w:t>;</w:t>
      </w:r>
      <w:r>
        <w:t xml:space="preserve"> 15 were from Moree</w:t>
      </w:r>
      <w:r w:rsidR="00857E18">
        <w:t>;</w:t>
      </w:r>
      <w:r>
        <w:t xml:space="preserve"> 20 were from Broken Hill or Menindee</w:t>
      </w:r>
      <w:r w:rsidR="00857E18">
        <w:t xml:space="preserve">; </w:t>
      </w:r>
      <w:r>
        <w:t>and 19 were from Murray Bridge or Renmark.</w:t>
      </w:r>
    </w:p>
    <w:p w14:paraId="06F81DF4" w14:textId="1EA5031B" w:rsidR="002F0C90" w:rsidRDefault="002F0C90">
      <w:pPr>
        <w:spacing w:after="0"/>
      </w:pPr>
      <w:r>
        <w:br w:type="page"/>
      </w:r>
    </w:p>
    <w:p w14:paraId="3B74D443" w14:textId="77961F1F" w:rsidR="00D0672A" w:rsidRDefault="000D10EF" w:rsidP="002F0C90">
      <w:pPr>
        <w:pStyle w:val="Heading1"/>
        <w:rPr>
          <w:bCs/>
        </w:rPr>
      </w:pPr>
      <w:bookmarkStart w:id="2" w:name="_Hlk198723270"/>
      <w:r>
        <w:rPr>
          <w:bCs/>
        </w:rPr>
        <w:lastRenderedPageBreak/>
        <w:t>Research limitations</w:t>
      </w:r>
    </w:p>
    <w:bookmarkEnd w:id="2"/>
    <w:p w14:paraId="6AFA8136" w14:textId="53860EEF" w:rsidR="000D10EF" w:rsidRPr="000D10EF" w:rsidRDefault="000D10EF" w:rsidP="000D10EF">
      <w:r>
        <w:t>This project has been designed to track changes across multiple waves of data collection. However, there are factors outside the control of the research that can influence survey results to varying degrees. These should be considered when interpreting the results, particularly when making time-series comparisons.</w:t>
      </w:r>
    </w:p>
    <w:p w14:paraId="5AE0C517" w14:textId="46BC37C6" w:rsidR="005E2A4B" w:rsidRDefault="000D10EF" w:rsidP="005E2A4B">
      <w:pPr>
        <w:pStyle w:val="Heading3"/>
      </w:pPr>
      <w:r>
        <w:t>External factors</w:t>
      </w:r>
    </w:p>
    <w:p w14:paraId="045BB5DF" w14:textId="61022641" w:rsidR="005E2A4B" w:rsidRDefault="000D10EF" w:rsidP="005E2A4B">
      <w:pPr>
        <w:rPr>
          <w:lang w:val="en-US"/>
        </w:rPr>
      </w:pPr>
      <w:r>
        <w:rPr>
          <w:lang w:val="en-US"/>
        </w:rPr>
        <w:t>There are several external factors that may influence participation rates and the nature of feedback provided, particularly among water licence holder respondents:</w:t>
      </w:r>
    </w:p>
    <w:p w14:paraId="67146F8D" w14:textId="77777777" w:rsidR="000D10EF" w:rsidRDefault="000D10EF" w:rsidP="000D10EF">
      <w:pPr>
        <w:rPr>
          <w:lang w:val="en-US"/>
        </w:rPr>
      </w:pPr>
      <w:r w:rsidRPr="00741F41">
        <w:rPr>
          <w:rStyle w:val="Strong"/>
        </w:rPr>
        <w:t>Environmental factors</w:t>
      </w:r>
      <w:r w:rsidRPr="000D10EF">
        <w:rPr>
          <w:lang w:val="en-US"/>
        </w:rPr>
        <w:t xml:space="preserve"> – such as lower-than-average monthly inflows in the 6 months leading up to the 2024 data collection period</w:t>
      </w:r>
      <w:r w:rsidRPr="000D10EF">
        <w:rPr>
          <w:vertAlign w:val="superscript"/>
          <w:lang w:val="en-US"/>
        </w:rPr>
        <w:t>*</w:t>
      </w:r>
      <w:r w:rsidRPr="000D10EF">
        <w:rPr>
          <w:lang w:val="en-US"/>
        </w:rPr>
        <w:t xml:space="preserve">, flooding events or ecological events including algal blooms or mass fish </w:t>
      </w:r>
      <w:proofErr w:type="gramStart"/>
      <w:r w:rsidRPr="000D10EF">
        <w:rPr>
          <w:lang w:val="en-US"/>
        </w:rPr>
        <w:t>deaths;</w:t>
      </w:r>
      <w:proofErr w:type="gramEnd"/>
    </w:p>
    <w:p w14:paraId="0F273530" w14:textId="77777777" w:rsidR="000D10EF" w:rsidRDefault="000D10EF" w:rsidP="000D10EF">
      <w:pPr>
        <w:rPr>
          <w:lang w:val="en-US"/>
        </w:rPr>
      </w:pPr>
      <w:r w:rsidRPr="00741F41">
        <w:rPr>
          <w:rStyle w:val="Strong"/>
        </w:rPr>
        <w:t>Policy/ program changes</w:t>
      </w:r>
      <w:r w:rsidRPr="000D10EF">
        <w:rPr>
          <w:lang w:val="en-US"/>
        </w:rPr>
        <w:t xml:space="preserve"> – such as Federal Government voluntary water buybacks that commenced in July 2024</w:t>
      </w:r>
      <w:r w:rsidRPr="000D10EF">
        <w:rPr>
          <w:vertAlign w:val="superscript"/>
          <w:lang w:val="en-US"/>
        </w:rPr>
        <w:t xml:space="preserve">** </w:t>
      </w:r>
      <w:r w:rsidRPr="000D10EF">
        <w:rPr>
          <w:lang w:val="en-US"/>
        </w:rPr>
        <w:t>that were subject to media coverage at the time of survey fieldwork in 2023, and the Australian Government’s Murray–Darling Basin communications campaign which was underway close to 2024 survey fieldwork; and</w:t>
      </w:r>
    </w:p>
    <w:p w14:paraId="67BD01D6" w14:textId="25459108" w:rsidR="000D10EF" w:rsidRPr="005E2A4B" w:rsidRDefault="000D10EF" w:rsidP="005E2A4B">
      <w:r w:rsidRPr="00741F41">
        <w:rPr>
          <w:rStyle w:val="Strong"/>
        </w:rPr>
        <w:t>Population changes</w:t>
      </w:r>
      <w:r w:rsidRPr="000D10EF">
        <w:rPr>
          <w:b/>
          <w:bCs/>
          <w:lang w:val="en-US"/>
        </w:rPr>
        <w:t xml:space="preserve"> </w:t>
      </w:r>
      <w:r w:rsidRPr="000D10EF">
        <w:rPr>
          <w:lang w:val="en-US"/>
        </w:rPr>
        <w:t>– t</w:t>
      </w:r>
      <w:r w:rsidRPr="000D10EF">
        <w:t>here is evidence of changing trends in the composition of water licence holders, such as a reduction in the number of dairy farmers across the Basin.</w:t>
      </w:r>
      <w:r w:rsidRPr="000D10EF">
        <w:rPr>
          <w:vertAlign w:val="superscript"/>
        </w:rPr>
        <w:t>***</w:t>
      </w:r>
      <w:r w:rsidRPr="000D10EF">
        <w:t xml:space="preserve"> Although sampling was designed to collect representative data</w:t>
      </w:r>
      <w:r w:rsidR="001C752F">
        <w:t xml:space="preserve">, </w:t>
      </w:r>
      <w:r w:rsidRPr="000D10EF">
        <w:t>based on the latest available estimates of the community population and number of irrigating farms, demographic shifts can lead to variation in some measures due to changes in the audience composition.</w:t>
      </w:r>
    </w:p>
    <w:p w14:paraId="04727C03" w14:textId="1FEBA726" w:rsidR="00AA3CE9" w:rsidRPr="00AA3CE9" w:rsidRDefault="000D10EF" w:rsidP="00AA3CE9">
      <w:pPr>
        <w:pStyle w:val="Heading3"/>
      </w:pPr>
      <w:r>
        <w:rPr>
          <w:bCs/>
          <w:lang w:val="en-GB"/>
        </w:rPr>
        <w:t>Survey timing</w:t>
      </w:r>
    </w:p>
    <w:p w14:paraId="799E3614" w14:textId="59408DFE" w:rsidR="00AA3CE9" w:rsidRDefault="000D10EF" w:rsidP="00AA3CE9">
      <w:pPr>
        <w:rPr>
          <w:lang w:val="en-GB"/>
        </w:rPr>
      </w:pPr>
      <w:r>
        <w:rPr>
          <w:lang w:val="en-GB"/>
        </w:rPr>
        <w:t>Each survey was conducted at the following times during the year</w:t>
      </w:r>
      <w:r w:rsidR="00857E18">
        <w:rPr>
          <w:lang w:val="en-GB"/>
        </w:rPr>
        <w:t>:</w:t>
      </w:r>
    </w:p>
    <w:p w14:paraId="386B7783" w14:textId="69E0A190" w:rsidR="000D10EF" w:rsidRDefault="000D10EF" w:rsidP="00F07566">
      <w:pPr>
        <w:pStyle w:val="ListParagraph"/>
        <w:numPr>
          <w:ilvl w:val="0"/>
          <w:numId w:val="6"/>
        </w:numPr>
      </w:pPr>
      <w:r>
        <w:t>2022: 5 August to 24 September</w:t>
      </w:r>
    </w:p>
    <w:p w14:paraId="2B409C0A" w14:textId="4E79AA54" w:rsidR="000D10EF" w:rsidRDefault="000D10EF" w:rsidP="00F07566">
      <w:pPr>
        <w:pStyle w:val="ListParagraph"/>
        <w:numPr>
          <w:ilvl w:val="0"/>
          <w:numId w:val="6"/>
        </w:numPr>
      </w:pPr>
      <w:r>
        <w:t>2023: 31 October to 30 November</w:t>
      </w:r>
    </w:p>
    <w:p w14:paraId="75163FA8" w14:textId="356CC56D" w:rsidR="000D10EF" w:rsidRDefault="000D10EF" w:rsidP="00F07566">
      <w:pPr>
        <w:pStyle w:val="ListParagraph"/>
        <w:numPr>
          <w:ilvl w:val="0"/>
          <w:numId w:val="6"/>
        </w:numPr>
      </w:pPr>
      <w:r>
        <w:t>2024: 31 October to 9 December</w:t>
      </w:r>
    </w:p>
    <w:p w14:paraId="02B4CF72" w14:textId="5A00D9FD" w:rsidR="000D10EF" w:rsidRDefault="000D10EF" w:rsidP="000D10EF">
      <w:r>
        <w:t xml:space="preserve">This slight variation in survey timing may mean seasonal and workforce differences could impact participation rates as well as the nature of feedback provided. This is particularly the case among water licence holders whose work is oriented around seasonal factors, such as harvesting through the summer months </w:t>
      </w:r>
      <w:r w:rsidR="00A86E82">
        <w:t xml:space="preserve">– </w:t>
      </w:r>
      <w:r>
        <w:t>usually from November onwards.</w:t>
      </w:r>
    </w:p>
    <w:p w14:paraId="0C32932C" w14:textId="77777777" w:rsidR="000D10EF" w:rsidRPr="000D10EF" w:rsidRDefault="000D10EF" w:rsidP="00EA4C8E">
      <w:pPr>
        <w:spacing w:before="4080" w:after="0"/>
        <w:rPr>
          <w:rFonts w:ascii="Times New Roman" w:eastAsia="Times New Roman" w:hAnsi="Times New Roman"/>
          <w:sz w:val="24"/>
          <w:szCs w:val="24"/>
          <w:lang w:eastAsia="en-AU"/>
        </w:rPr>
      </w:pPr>
      <w:r w:rsidRPr="000D10EF">
        <w:rPr>
          <w:rFonts w:eastAsia="Verdana" w:cs="Calibri"/>
          <w:color w:val="7F7F7F"/>
          <w:kern w:val="24"/>
          <w:sz w:val="14"/>
          <w:szCs w:val="14"/>
          <w:lang w:eastAsia="en-AU"/>
        </w:rPr>
        <w:t>*</w:t>
      </w:r>
      <w:hyperlink r:id="rId12" w:history="1">
        <w:r w:rsidRPr="000D10EF">
          <w:rPr>
            <w:rFonts w:eastAsia="Verdana" w:cs="Calibri"/>
            <w:i/>
            <w:iCs/>
            <w:color w:val="7F7F7F"/>
            <w:kern w:val="24"/>
            <w:sz w:val="14"/>
            <w:szCs w:val="14"/>
            <w:u w:val="single"/>
            <w:lang w:eastAsia="en-AU"/>
          </w:rPr>
          <w:t>https://www.mdba.gov.au/publications-and-data/data-and-dashboards/river-murray-weekly-reports-0</w:t>
        </w:r>
      </w:hyperlink>
    </w:p>
    <w:p w14:paraId="0B44AA12" w14:textId="77777777" w:rsidR="000D10EF" w:rsidRPr="000D10EF" w:rsidRDefault="000D10EF" w:rsidP="000D10EF">
      <w:pPr>
        <w:spacing w:after="0"/>
        <w:rPr>
          <w:rFonts w:ascii="Times New Roman" w:eastAsia="Times New Roman" w:hAnsi="Times New Roman"/>
          <w:sz w:val="24"/>
          <w:szCs w:val="24"/>
          <w:lang w:eastAsia="en-AU"/>
        </w:rPr>
      </w:pPr>
      <w:r w:rsidRPr="000D10EF">
        <w:rPr>
          <w:rFonts w:eastAsia="Verdana" w:cs="Calibri"/>
          <w:i/>
          <w:iCs/>
          <w:color w:val="7F7F7F"/>
          <w:kern w:val="24"/>
          <w:sz w:val="14"/>
          <w:szCs w:val="14"/>
          <w:lang w:eastAsia="en-AU"/>
        </w:rPr>
        <w:t xml:space="preserve">** </w:t>
      </w:r>
      <w:hyperlink r:id="rId13" w:history="1">
        <w:r w:rsidRPr="000D10EF">
          <w:rPr>
            <w:rFonts w:eastAsia="Verdana" w:cs="Calibri"/>
            <w:i/>
            <w:iCs/>
            <w:color w:val="7F7F7F"/>
            <w:kern w:val="24"/>
            <w:sz w:val="14"/>
            <w:szCs w:val="14"/>
            <w:u w:val="single"/>
            <w:lang w:eastAsia="en-AU"/>
          </w:rPr>
          <w:t>https://www.dcceew.gov.au/water/policy/water-recovery/government-water-purchasing/voluntary-restoring-our-rivers</w:t>
        </w:r>
      </w:hyperlink>
    </w:p>
    <w:p w14:paraId="643D3906" w14:textId="77777777" w:rsidR="000D10EF" w:rsidRPr="000D10EF" w:rsidRDefault="000D10EF" w:rsidP="000D10EF">
      <w:pPr>
        <w:spacing w:after="0"/>
        <w:rPr>
          <w:rFonts w:ascii="Times New Roman" w:eastAsia="Times New Roman" w:hAnsi="Times New Roman"/>
          <w:sz w:val="24"/>
          <w:szCs w:val="24"/>
          <w:lang w:eastAsia="en-AU"/>
        </w:rPr>
      </w:pPr>
      <w:r w:rsidRPr="000D10EF">
        <w:rPr>
          <w:rFonts w:eastAsia="Verdana" w:cs="Calibri"/>
          <w:i/>
          <w:iCs/>
          <w:color w:val="7F7F7F"/>
          <w:kern w:val="24"/>
          <w:sz w:val="14"/>
          <w:szCs w:val="14"/>
          <w:lang w:eastAsia="en-AU"/>
        </w:rPr>
        <w:t xml:space="preserve">*** </w:t>
      </w:r>
      <w:hyperlink r:id="rId14" w:history="1">
        <w:r w:rsidRPr="000D10EF">
          <w:rPr>
            <w:rFonts w:eastAsia="Verdana" w:cs="Calibri"/>
            <w:i/>
            <w:iCs/>
            <w:color w:val="7F7F7F"/>
            <w:kern w:val="24"/>
            <w:sz w:val="14"/>
            <w:szCs w:val="14"/>
            <w:u w:val="single"/>
            <w:lang w:eastAsia="en-AU"/>
          </w:rPr>
          <w:t>https://daff.ent.sirsidynix.net.au/client/en_AU/search/asset/1035603/0</w:t>
        </w:r>
      </w:hyperlink>
    </w:p>
    <w:p w14:paraId="25C0C3D2" w14:textId="50E81238" w:rsidR="000D10EF" w:rsidRPr="000D10EF" w:rsidRDefault="000D10EF" w:rsidP="000D10EF">
      <w:pPr>
        <w:pStyle w:val="Heading1"/>
        <w:rPr>
          <w:bCs/>
        </w:rPr>
      </w:pPr>
      <w:bookmarkStart w:id="3" w:name="_Hlk198723764"/>
      <w:bookmarkStart w:id="4" w:name="_Hlk198723786"/>
      <w:r>
        <w:rPr>
          <w:bCs/>
        </w:rPr>
        <w:lastRenderedPageBreak/>
        <w:t xml:space="preserve">Research </w:t>
      </w:r>
      <w:bookmarkEnd w:id="3"/>
      <w:r>
        <w:rPr>
          <w:bCs/>
        </w:rPr>
        <w:t xml:space="preserve">limitations </w:t>
      </w:r>
      <w:bookmarkEnd w:id="4"/>
      <w:r w:rsidRPr="00E04C88">
        <w:rPr>
          <w:bCs/>
          <w:sz w:val="48"/>
          <w:szCs w:val="22"/>
        </w:rPr>
        <w:t>(continued…)</w:t>
      </w:r>
    </w:p>
    <w:p w14:paraId="6FBF4C97" w14:textId="5E14ACE0" w:rsidR="00673A0D" w:rsidRDefault="000D10EF" w:rsidP="00673A0D">
      <w:pPr>
        <w:pStyle w:val="Heading3"/>
        <w:rPr>
          <w:bCs/>
          <w:lang w:val="en-GB"/>
        </w:rPr>
      </w:pPr>
      <w:r>
        <w:rPr>
          <w:bCs/>
          <w:lang w:val="en-GB"/>
        </w:rPr>
        <w:t>Non-response bias</w:t>
      </w:r>
    </w:p>
    <w:p w14:paraId="55B74762" w14:textId="6E8C45D5" w:rsidR="00673A0D" w:rsidRDefault="00673A0D" w:rsidP="00673A0D">
      <w:pPr>
        <w:rPr>
          <w:lang w:val="en-GB"/>
        </w:rPr>
      </w:pPr>
      <w:r>
        <w:rPr>
          <w:lang w:val="en-GB"/>
        </w:rPr>
        <w:t>An increase in refusal of water licence holders to participate in surveys has been observed, with response rates declining significantly in 2024, as described below. Despite high-level audience profiles being similar, non-response bias may alter the psychographic composition of the sample who did respond to the survey.</w:t>
      </w:r>
    </w:p>
    <w:p w14:paraId="7A4A3ECE" w14:textId="4F0E1277" w:rsidR="00673A0D" w:rsidRDefault="00A86E82" w:rsidP="00673A0D">
      <w:pPr>
        <w:rPr>
          <w:lang w:val="en-GB"/>
        </w:rPr>
      </w:pPr>
      <w:r>
        <w:rPr>
          <w:lang w:val="en-GB"/>
        </w:rPr>
        <w:t>Among</w:t>
      </w:r>
      <w:r w:rsidR="00673A0D">
        <w:rPr>
          <w:lang w:val="en-GB"/>
        </w:rPr>
        <w:t xml:space="preserve"> </w:t>
      </w:r>
      <w:r>
        <w:rPr>
          <w:lang w:val="en-GB"/>
        </w:rPr>
        <w:t>w</w:t>
      </w:r>
      <w:r w:rsidR="00673A0D">
        <w:rPr>
          <w:lang w:val="en-GB"/>
        </w:rPr>
        <w:t>ater licence holders</w:t>
      </w:r>
      <w:r>
        <w:rPr>
          <w:lang w:val="en-GB"/>
        </w:rPr>
        <w:t xml:space="preserve"> responding via</w:t>
      </w:r>
      <w:r w:rsidR="00673A0D">
        <w:rPr>
          <w:lang w:val="en-GB"/>
        </w:rPr>
        <w:t xml:space="preserve"> CATI</w:t>
      </w:r>
    </w:p>
    <w:p w14:paraId="6F017122" w14:textId="163C367A" w:rsidR="00673A0D" w:rsidRDefault="00673A0D" w:rsidP="00F07566">
      <w:pPr>
        <w:pStyle w:val="ListParagraph"/>
        <w:numPr>
          <w:ilvl w:val="0"/>
          <w:numId w:val="7"/>
        </w:numPr>
        <w:rPr>
          <w:lang w:val="en-GB"/>
        </w:rPr>
      </w:pPr>
      <w:r>
        <w:rPr>
          <w:lang w:val="en-GB"/>
        </w:rPr>
        <w:t>2022 response rates: 57%</w:t>
      </w:r>
    </w:p>
    <w:p w14:paraId="45C10B84" w14:textId="5E51152A" w:rsidR="00673A0D" w:rsidRDefault="00673A0D" w:rsidP="00F07566">
      <w:pPr>
        <w:pStyle w:val="ListParagraph"/>
        <w:numPr>
          <w:ilvl w:val="0"/>
          <w:numId w:val="7"/>
        </w:numPr>
        <w:rPr>
          <w:lang w:val="en-GB"/>
        </w:rPr>
      </w:pPr>
      <w:r>
        <w:rPr>
          <w:lang w:val="en-GB"/>
        </w:rPr>
        <w:t>2023 response rates: 64%</w:t>
      </w:r>
    </w:p>
    <w:p w14:paraId="60B2BBF7" w14:textId="23AB3497" w:rsidR="00673A0D" w:rsidRDefault="00673A0D" w:rsidP="00F07566">
      <w:pPr>
        <w:pStyle w:val="ListParagraph"/>
        <w:numPr>
          <w:ilvl w:val="0"/>
          <w:numId w:val="7"/>
        </w:numPr>
        <w:rPr>
          <w:lang w:val="en-GB"/>
        </w:rPr>
      </w:pPr>
      <w:r>
        <w:rPr>
          <w:lang w:val="en-GB"/>
        </w:rPr>
        <w:t>2024 response rates: 28%</w:t>
      </w:r>
    </w:p>
    <w:p w14:paraId="68BE0078" w14:textId="44265963" w:rsidR="00673A0D" w:rsidRPr="00A86E82" w:rsidRDefault="00A86E82" w:rsidP="00A86E82">
      <w:pPr>
        <w:rPr>
          <w:lang w:val="en-GB"/>
        </w:rPr>
      </w:pPr>
      <w:r>
        <w:rPr>
          <w:lang w:val="en-GB"/>
        </w:rPr>
        <w:t>Note that r</w:t>
      </w:r>
      <w:r w:rsidR="00673A0D" w:rsidRPr="00A86E82">
        <w:rPr>
          <w:lang w:val="en-GB"/>
        </w:rPr>
        <w:t>esponse rates exclude irrelevant CATI outcome categories</w:t>
      </w:r>
      <w:r w:rsidRPr="00A86E82">
        <w:rPr>
          <w:lang w:val="en-GB"/>
        </w:rPr>
        <w:t xml:space="preserve">, </w:t>
      </w:r>
      <w:r w:rsidR="00673A0D" w:rsidRPr="00A86E82">
        <w:rPr>
          <w:lang w:val="en-GB"/>
        </w:rPr>
        <w:t>such as not being eligible to participate or no one picking up the phone.</w:t>
      </w:r>
    </w:p>
    <w:p w14:paraId="2436BBDE" w14:textId="0E31A43C" w:rsidR="00673A0D" w:rsidRDefault="00673A0D" w:rsidP="00673A0D">
      <w:pPr>
        <w:rPr>
          <w:lang w:val="en-GB"/>
        </w:rPr>
      </w:pPr>
      <w:r>
        <w:rPr>
          <w:lang w:val="en-GB"/>
        </w:rPr>
        <w:t>Anecdotal feedback from interviewers suggests that this increase in refusal to participate was at least in part due to water licence holders feeling “over-consulted” and that their input and needs were not being fully considered. Timing of the survey</w:t>
      </w:r>
      <w:r w:rsidR="00A86E82">
        <w:rPr>
          <w:lang w:val="en-GB"/>
        </w:rPr>
        <w:t>, which was</w:t>
      </w:r>
      <w:r>
        <w:rPr>
          <w:lang w:val="en-GB"/>
        </w:rPr>
        <w:t xml:space="preserve"> during harvesting period</w:t>
      </w:r>
      <w:r w:rsidR="00A86E82">
        <w:rPr>
          <w:lang w:val="en-GB"/>
        </w:rPr>
        <w:t>,</w:t>
      </w:r>
      <w:r>
        <w:rPr>
          <w:lang w:val="en-GB"/>
        </w:rPr>
        <w:t xml:space="preserve"> also likely played a role in the higher refusal rate in 2024.</w:t>
      </w:r>
    </w:p>
    <w:p w14:paraId="391326A0" w14:textId="2A8551EF" w:rsidR="00673A0D" w:rsidRDefault="00673A0D" w:rsidP="00673A0D">
      <w:pPr>
        <w:rPr>
          <w:lang w:val="en-GB"/>
        </w:rPr>
      </w:pPr>
      <w:r>
        <w:rPr>
          <w:lang w:val="en-GB"/>
        </w:rPr>
        <w:t>Given the “consultation fatigue” mentioned, and the increase in survey refusals, it is suggested that consideration be given to the timing and frequency of conduct for future surveys.</w:t>
      </w:r>
    </w:p>
    <w:p w14:paraId="4E9F998C" w14:textId="77777777" w:rsidR="00673A0D" w:rsidRPr="00673A0D" w:rsidRDefault="00673A0D" w:rsidP="00673A0D">
      <w:r w:rsidRPr="00673A0D">
        <w:rPr>
          <w:lang w:val="en-US"/>
        </w:rPr>
        <w:t xml:space="preserve">Note that </w:t>
      </w:r>
      <w:proofErr w:type="gramStart"/>
      <w:r w:rsidRPr="00673A0D">
        <w:rPr>
          <w:lang w:val="en-US"/>
        </w:rPr>
        <w:t>as a result of</w:t>
      </w:r>
      <w:proofErr w:type="gramEnd"/>
      <w:r w:rsidRPr="00673A0D">
        <w:rPr>
          <w:lang w:val="en-US"/>
        </w:rPr>
        <w:t xml:space="preserve"> these potential limitations, three results for water licence holders in the 2024 data relating to awareness have been adjusted, as they appeared anomalous </w:t>
      </w:r>
      <w:proofErr w:type="gramStart"/>
      <w:r w:rsidRPr="00673A0D">
        <w:rPr>
          <w:lang w:val="en-US"/>
        </w:rPr>
        <w:t>in light of</w:t>
      </w:r>
      <w:proofErr w:type="gramEnd"/>
      <w:r w:rsidRPr="00673A0D">
        <w:rPr>
          <w:lang w:val="en-US"/>
        </w:rPr>
        <w:t xml:space="preserve"> the relative consistency of other data and trends. Results from 2023 have been used in these instances as the best available estimate of these measures. These were:</w:t>
      </w:r>
    </w:p>
    <w:p w14:paraId="5BD27C81" w14:textId="77777777" w:rsidR="00673A0D" w:rsidRPr="00673A0D" w:rsidRDefault="00673A0D" w:rsidP="00F07566">
      <w:pPr>
        <w:numPr>
          <w:ilvl w:val="0"/>
          <w:numId w:val="8"/>
        </w:numPr>
      </w:pPr>
      <w:r w:rsidRPr="00673A0D">
        <w:rPr>
          <w:lang w:val="en-US"/>
        </w:rPr>
        <w:t xml:space="preserve">The proportion of water licence holders who had heard of the </w:t>
      </w:r>
      <w:proofErr w:type="gramStart"/>
      <w:r w:rsidRPr="00673A0D">
        <w:rPr>
          <w:lang w:val="en-US"/>
        </w:rPr>
        <w:t>Plan;</w:t>
      </w:r>
      <w:proofErr w:type="gramEnd"/>
      <w:r w:rsidRPr="00673A0D">
        <w:rPr>
          <w:lang w:val="en-US"/>
        </w:rPr>
        <w:t xml:space="preserve"> </w:t>
      </w:r>
    </w:p>
    <w:p w14:paraId="34FF493D" w14:textId="77777777" w:rsidR="00673A0D" w:rsidRPr="00673A0D" w:rsidRDefault="00673A0D" w:rsidP="00F07566">
      <w:pPr>
        <w:numPr>
          <w:ilvl w:val="0"/>
          <w:numId w:val="8"/>
        </w:numPr>
      </w:pPr>
      <w:r w:rsidRPr="00673A0D">
        <w:rPr>
          <w:lang w:val="en-US"/>
        </w:rPr>
        <w:t xml:space="preserve">The proportion of water licence holders who had heard of the </w:t>
      </w:r>
      <w:r w:rsidRPr="00673A0D">
        <w:t>Inspector-General</w:t>
      </w:r>
      <w:r w:rsidRPr="00673A0D">
        <w:rPr>
          <w:lang w:val="en-US"/>
        </w:rPr>
        <w:t>; and</w:t>
      </w:r>
    </w:p>
    <w:p w14:paraId="40A983F9" w14:textId="6084EF95" w:rsidR="00EA4C8E" w:rsidRDefault="00673A0D" w:rsidP="00F07566">
      <w:pPr>
        <w:numPr>
          <w:ilvl w:val="0"/>
          <w:numId w:val="8"/>
        </w:numPr>
        <w:rPr>
          <w:lang w:val="en-US"/>
        </w:rPr>
      </w:pPr>
      <w:r w:rsidRPr="00673A0D">
        <w:rPr>
          <w:lang w:val="en-US"/>
        </w:rPr>
        <w:t xml:space="preserve">The proportion of water licence holders who were aware the </w:t>
      </w:r>
      <w:r w:rsidRPr="00673A0D">
        <w:t>Inspector-General</w:t>
      </w:r>
      <w:r w:rsidRPr="00673A0D">
        <w:rPr>
          <w:lang w:val="en-US"/>
        </w:rPr>
        <w:t xml:space="preserve"> is </w:t>
      </w:r>
      <w:r w:rsidRPr="00673A0D">
        <w:t>responsible for overseeing compliance and enforcement of water rules in the Basin</w:t>
      </w:r>
      <w:r w:rsidRPr="00673A0D">
        <w:rPr>
          <w:lang w:val="en-US"/>
        </w:rPr>
        <w:t>.</w:t>
      </w:r>
    </w:p>
    <w:p w14:paraId="15FE86C5" w14:textId="70513B0B" w:rsidR="00673A0D" w:rsidRPr="00EA4C8E" w:rsidRDefault="00EA4C8E" w:rsidP="00EA4C8E">
      <w:pPr>
        <w:spacing w:after="0"/>
        <w:rPr>
          <w:lang w:val="en-US"/>
        </w:rPr>
      </w:pPr>
      <w:r>
        <w:rPr>
          <w:lang w:val="en-US"/>
        </w:rPr>
        <w:br w:type="page"/>
      </w:r>
    </w:p>
    <w:p w14:paraId="3F62E6C3" w14:textId="4211D8A1" w:rsidR="000D10EF" w:rsidRDefault="00673A0D" w:rsidP="000D10EF">
      <w:pPr>
        <w:rPr>
          <w:b/>
          <w:bCs/>
          <w:color w:val="4C6968" w:themeColor="text1"/>
          <w:sz w:val="50"/>
          <w:szCs w:val="50"/>
          <w:lang w:val="en-GB"/>
        </w:rPr>
      </w:pPr>
      <w:r w:rsidRPr="00673A0D">
        <w:rPr>
          <w:b/>
          <w:bCs/>
          <w:color w:val="4C6968" w:themeColor="text1"/>
          <w:sz w:val="50"/>
          <w:szCs w:val="50"/>
          <w:lang w:val="en-GB"/>
        </w:rPr>
        <w:lastRenderedPageBreak/>
        <w:t>Explanatory notes</w:t>
      </w:r>
    </w:p>
    <w:p w14:paraId="7951DBFF" w14:textId="06BEFBF6" w:rsidR="00673A0D" w:rsidRPr="00673A0D" w:rsidRDefault="00673A0D" w:rsidP="000D10EF">
      <w:pPr>
        <w:rPr>
          <w:b/>
          <w:bCs/>
          <w:color w:val="4C6968" w:themeColor="text1"/>
          <w:sz w:val="50"/>
          <w:szCs w:val="50"/>
          <w:lang w:val="en-GB"/>
        </w:rPr>
      </w:pPr>
      <w:bookmarkStart w:id="5" w:name="_Hlk198723890"/>
      <w:r>
        <w:rPr>
          <w:rStyle w:val="Heading3Char"/>
        </w:rPr>
        <w:t xml:space="preserve">Project </w:t>
      </w:r>
      <w:bookmarkEnd w:id="5"/>
      <w:r>
        <w:rPr>
          <w:rStyle w:val="Heading3Char"/>
        </w:rPr>
        <w:t xml:space="preserve">background </w:t>
      </w:r>
    </w:p>
    <w:p w14:paraId="3001FEAD" w14:textId="484A43E5" w:rsidR="00673A0D" w:rsidRDefault="00673A0D" w:rsidP="00673A0D">
      <w:pPr>
        <w:rPr>
          <w:lang w:val="en-US"/>
        </w:rPr>
      </w:pPr>
      <w:r w:rsidRPr="00673A0D">
        <w:rPr>
          <w:lang w:val="en-US"/>
        </w:rPr>
        <w:t>In May 2021, the Australian Government introduced a Bill amending the Water Act 2007 (the Water Act) to establish the Inspector-General of Water Compliance (the Inspector-General) to oversee and monitor water compliance in the Murray–Darling Basin (the Basin). Through this role, the Inspector-General commits to delivering trust and transparency, accountability, and engagement with the community around the management of Basin water resources. In 2022, ORIMA Research conducted initial exploratory research with Basin community members and water licence holders to establish baseline community perceptions and sentiment towards water management, compliance and enforcement in the Basin, and to inform the establishment of the Inspector-General’s community sentiment KPIs. Subsequently in 2023 and 2024, the Inspector-General commissioned ORIMA Research to conduct tracking research to monitor changes in community sentiment over time, as well as to measure performance against the KPIs. This report presents the findings from the community sentiment survey and qualitative research conducted in late 2024 and early 2025.</w:t>
      </w:r>
    </w:p>
    <w:p w14:paraId="62B81023" w14:textId="5AFD8D4A" w:rsidR="00673A0D" w:rsidRDefault="00673A0D" w:rsidP="00673A0D">
      <w:pPr>
        <w:rPr>
          <w:rStyle w:val="Heading3Char"/>
        </w:rPr>
      </w:pPr>
      <w:bookmarkStart w:id="6" w:name="_Hlk198723969"/>
      <w:r>
        <w:rPr>
          <w:rStyle w:val="Heading3Char"/>
        </w:rPr>
        <w:t xml:space="preserve">Weighting </w:t>
      </w:r>
      <w:bookmarkEnd w:id="6"/>
      <w:r>
        <w:rPr>
          <w:rStyle w:val="Heading3Char"/>
        </w:rPr>
        <w:t>considerations in the quantitative research methodology</w:t>
      </w:r>
    </w:p>
    <w:p w14:paraId="0562E169" w14:textId="727D91D6" w:rsidR="00EA4C8E" w:rsidRDefault="00673A0D" w:rsidP="00673A0D">
      <w:pPr>
        <w:rPr>
          <w:lang w:val="en-US"/>
        </w:rPr>
      </w:pPr>
      <w:r w:rsidRPr="00673A0D">
        <w:rPr>
          <w:lang w:val="en-US"/>
        </w:rPr>
        <w:t>The questionnaires differed somewhat across the audiences to account for differences in experiences</w:t>
      </w:r>
      <w:r w:rsidR="00A86E82">
        <w:rPr>
          <w:lang w:val="en-US"/>
        </w:rPr>
        <w:t>, such as</w:t>
      </w:r>
      <w:r w:rsidRPr="00673A0D">
        <w:rPr>
          <w:lang w:val="en-US"/>
        </w:rPr>
        <w:t xml:space="preserve"> water licence holders compared to community members. The survey data for the community audiences was weighted to align the sample distributions for age, location, gender and First Nations status with their respective population benchmarks from ABS Census data. The survey data for water licence holders was weighted to align the sample distribution across the </w:t>
      </w:r>
      <w:r w:rsidR="00A86E82">
        <w:rPr>
          <w:lang w:val="en-US"/>
        </w:rPr>
        <w:t xml:space="preserve">Basin </w:t>
      </w:r>
      <w:r w:rsidRPr="00673A0D">
        <w:rPr>
          <w:lang w:val="en-US"/>
        </w:rPr>
        <w:t>States</w:t>
      </w:r>
      <w:r w:rsidR="00A86E82">
        <w:rPr>
          <w:lang w:val="en-US"/>
        </w:rPr>
        <w:t xml:space="preserve"> and</w:t>
      </w:r>
      <w:r w:rsidRPr="00673A0D">
        <w:rPr>
          <w:lang w:val="en-US"/>
        </w:rPr>
        <w:t xml:space="preserve"> Territory with that of the number of irrigating farms, based on ABS farm water use statistics. Note that in 2023, updates to the weighting approach were retrospectively made to the 2022 data to factor in the most recent and robust data publicly available. This update accounts for some minor differences to results previously reported in 2022.</w:t>
      </w:r>
    </w:p>
    <w:p w14:paraId="0D0ACD95" w14:textId="7039186C" w:rsidR="00673A0D" w:rsidRPr="00EA4C8E" w:rsidRDefault="00EA4C8E" w:rsidP="00EA4C8E">
      <w:pPr>
        <w:spacing w:after="0"/>
        <w:rPr>
          <w:lang w:val="en-US"/>
        </w:rPr>
      </w:pPr>
      <w:r>
        <w:rPr>
          <w:lang w:val="en-US"/>
        </w:rPr>
        <w:br w:type="page"/>
      </w:r>
    </w:p>
    <w:p w14:paraId="0531BF5E" w14:textId="5C037E10" w:rsidR="00273CE1" w:rsidRPr="00273CE1" w:rsidRDefault="00273CE1" w:rsidP="005E2A4B">
      <w:pPr>
        <w:rPr>
          <w:rStyle w:val="Heading3Char"/>
          <w:color w:val="4C6968" w:themeColor="text1"/>
          <w:sz w:val="50"/>
          <w:szCs w:val="50"/>
        </w:rPr>
      </w:pPr>
      <w:r w:rsidRPr="00273CE1">
        <w:rPr>
          <w:rStyle w:val="Heading3Char"/>
          <w:color w:val="4C6968" w:themeColor="text1"/>
          <w:sz w:val="50"/>
          <w:szCs w:val="50"/>
        </w:rPr>
        <w:lastRenderedPageBreak/>
        <w:t xml:space="preserve">Explanatory notes </w:t>
      </w:r>
      <w:r w:rsidRPr="00E04C88">
        <w:rPr>
          <w:rStyle w:val="Heading3Char"/>
          <w:color w:val="4C6968" w:themeColor="text1"/>
          <w:sz w:val="48"/>
          <w:szCs w:val="48"/>
        </w:rPr>
        <w:t>(continued…)</w:t>
      </w:r>
    </w:p>
    <w:p w14:paraId="5669144C" w14:textId="2318B057" w:rsidR="005E2A4B" w:rsidRDefault="00273CE1" w:rsidP="005E2A4B">
      <w:pPr>
        <w:rPr>
          <w:rStyle w:val="Heading3Char"/>
        </w:rPr>
      </w:pPr>
      <w:r>
        <w:rPr>
          <w:rStyle w:val="Heading3Char"/>
        </w:rPr>
        <w:t>Presentation of findings throughout the report</w:t>
      </w:r>
    </w:p>
    <w:p w14:paraId="71C042B5" w14:textId="6265ADD3" w:rsidR="00273CE1" w:rsidRDefault="00273CE1" w:rsidP="005E2A4B">
      <w:pPr>
        <w:rPr>
          <w:rStyle w:val="Heading3Char"/>
          <w:b w:val="0"/>
          <w:bCs/>
          <w:color w:val="auto"/>
          <w:sz w:val="20"/>
          <w:szCs w:val="16"/>
        </w:rPr>
      </w:pPr>
      <w:r>
        <w:rPr>
          <w:rStyle w:val="Heading3Char"/>
          <w:b w:val="0"/>
          <w:bCs/>
          <w:color w:val="auto"/>
          <w:sz w:val="20"/>
          <w:szCs w:val="16"/>
        </w:rPr>
        <w:t>When reporting the research results, the following references have been used to differentiate between the quantitative and qualitative findings:</w:t>
      </w:r>
    </w:p>
    <w:p w14:paraId="7BE6E673" w14:textId="74BA2542" w:rsidR="00273CE1" w:rsidRDefault="00273CE1" w:rsidP="00F07566">
      <w:pPr>
        <w:pStyle w:val="ListParagraph"/>
        <w:numPr>
          <w:ilvl w:val="0"/>
          <w:numId w:val="9"/>
        </w:numPr>
        <w:rPr>
          <w:bCs/>
          <w:szCs w:val="16"/>
        </w:rPr>
      </w:pPr>
      <w:r>
        <w:rPr>
          <w:bCs/>
          <w:szCs w:val="16"/>
        </w:rPr>
        <w:t>The term ‘respondents’ refers to respondents from the quantitative survey whilst ‘participants’ refers to participants in the qualitative research; and</w:t>
      </w:r>
    </w:p>
    <w:p w14:paraId="5301BDF3" w14:textId="668A03EC" w:rsidR="00273CE1" w:rsidRPr="00EA4C8E" w:rsidRDefault="00273CE1" w:rsidP="00273CE1">
      <w:pPr>
        <w:pStyle w:val="ListParagraph"/>
        <w:numPr>
          <w:ilvl w:val="0"/>
          <w:numId w:val="9"/>
        </w:numPr>
        <w:rPr>
          <w:bCs/>
          <w:szCs w:val="16"/>
        </w:rPr>
      </w:pPr>
      <w:r>
        <w:rPr>
          <w:bCs/>
          <w:szCs w:val="16"/>
        </w:rPr>
        <w:t>Numbers and percentages used refer only to the quantitative research findings.</w:t>
      </w:r>
    </w:p>
    <w:p w14:paraId="124278C9" w14:textId="5936BD8D" w:rsidR="00273CE1" w:rsidRDefault="00273CE1" w:rsidP="00273CE1">
      <w:pPr>
        <w:rPr>
          <w:b/>
          <w:color w:val="48555E" w:themeColor="text2"/>
          <w:szCs w:val="16"/>
        </w:rPr>
      </w:pPr>
      <w:bookmarkStart w:id="7" w:name="_Hlk198724420"/>
      <w:r w:rsidRPr="00273CE1">
        <w:rPr>
          <w:b/>
          <w:color w:val="48555E" w:themeColor="text2"/>
          <w:szCs w:val="16"/>
        </w:rPr>
        <w:t xml:space="preserve">Understanding </w:t>
      </w:r>
      <w:bookmarkEnd w:id="7"/>
      <w:r w:rsidRPr="00273CE1">
        <w:rPr>
          <w:b/>
          <w:color w:val="48555E" w:themeColor="text2"/>
          <w:szCs w:val="16"/>
        </w:rPr>
        <w:t>the quantitative research findings</w:t>
      </w:r>
    </w:p>
    <w:p w14:paraId="33855B02" w14:textId="3E86C3AD" w:rsidR="00273CE1" w:rsidRDefault="00273CE1" w:rsidP="00273CE1">
      <w:pPr>
        <w:rPr>
          <w:bCs/>
          <w:szCs w:val="16"/>
        </w:rPr>
      </w:pPr>
      <w:r>
        <w:rPr>
          <w:bCs/>
          <w:szCs w:val="16"/>
        </w:rPr>
        <w:t xml:space="preserve">Percentages from the quantitative survey presented in this report are based on the total number of valid responses made to the question being reported on. In most cases, results reflect those respondents who had a view and for whom the questions were applicable. </w:t>
      </w:r>
    </w:p>
    <w:p w14:paraId="1AEA6C12" w14:textId="57C551DE" w:rsidR="00273CE1" w:rsidRDefault="00273CE1" w:rsidP="00273CE1">
      <w:pPr>
        <w:rPr>
          <w:bCs/>
          <w:szCs w:val="16"/>
        </w:rPr>
      </w:pPr>
      <w:r>
        <w:rPr>
          <w:bCs/>
          <w:szCs w:val="16"/>
        </w:rPr>
        <w:t>Results may not add to 100% due to rounding. In stacked bar charts, results less than 5% may not be displayed for ease of reading and clarity. ‘n’ refers to the total number of individuals in the sample for that question.</w:t>
      </w:r>
    </w:p>
    <w:p w14:paraId="00384945" w14:textId="4D26F758" w:rsidR="00273CE1" w:rsidRDefault="00273CE1" w:rsidP="00273CE1">
      <w:pPr>
        <w:rPr>
          <w:b/>
          <w:color w:val="48555E" w:themeColor="text2"/>
          <w:szCs w:val="16"/>
        </w:rPr>
      </w:pPr>
      <w:r w:rsidRPr="00273CE1">
        <w:rPr>
          <w:b/>
          <w:color w:val="48555E" w:themeColor="text2"/>
          <w:szCs w:val="16"/>
        </w:rPr>
        <w:t>Understanding</w:t>
      </w:r>
      <w:r>
        <w:rPr>
          <w:b/>
          <w:color w:val="48555E" w:themeColor="text2"/>
          <w:szCs w:val="16"/>
        </w:rPr>
        <w:t xml:space="preserve"> the qualitative research findings</w:t>
      </w:r>
    </w:p>
    <w:p w14:paraId="723A873F" w14:textId="2825E6CC" w:rsidR="00273CE1" w:rsidRDefault="00273CE1" w:rsidP="00273CE1">
      <w:pPr>
        <w:rPr>
          <w:bCs/>
          <w:szCs w:val="16"/>
        </w:rPr>
      </w:pPr>
      <w:r>
        <w:rPr>
          <w:bCs/>
          <w:szCs w:val="16"/>
        </w:rPr>
        <w:t>In some cases, qualitative data has been presented without quantitative data. In these cases, it should be noted that the exact number of participants holding a particular view on individual issues cannot be measured</w:t>
      </w:r>
      <w:r w:rsidR="00A86E82">
        <w:rPr>
          <w:bCs/>
          <w:szCs w:val="16"/>
        </w:rPr>
        <w:t>, noting that measurement is not the intent of qualitative research</w:t>
      </w:r>
    </w:p>
    <w:p w14:paraId="76045E31" w14:textId="75DD90C2" w:rsidR="00273CE1" w:rsidRDefault="00273CE1" w:rsidP="00273CE1">
      <w:pPr>
        <w:rPr>
          <w:bCs/>
          <w:szCs w:val="16"/>
        </w:rPr>
      </w:pPr>
      <w:r>
        <w:rPr>
          <w:bCs/>
          <w:szCs w:val="16"/>
        </w:rPr>
        <w:t xml:space="preserve">The following terms used in the report provide a qualitative indication and approximation of the size of the target audience who held </w:t>
      </w:r>
      <w:proofErr w:type="gramStart"/>
      <w:r>
        <w:rPr>
          <w:bCs/>
          <w:szCs w:val="16"/>
        </w:rPr>
        <w:t>particular views</w:t>
      </w:r>
      <w:proofErr w:type="gramEnd"/>
      <w:r>
        <w:rPr>
          <w:bCs/>
          <w:szCs w:val="16"/>
        </w:rPr>
        <w:t>:</w:t>
      </w:r>
    </w:p>
    <w:p w14:paraId="447E94AF" w14:textId="01B16745" w:rsidR="00273CE1" w:rsidRDefault="00273CE1" w:rsidP="00F07566">
      <w:pPr>
        <w:pStyle w:val="ListParagraph"/>
        <w:numPr>
          <w:ilvl w:val="0"/>
          <w:numId w:val="10"/>
        </w:numPr>
        <w:rPr>
          <w:bCs/>
          <w:szCs w:val="16"/>
        </w:rPr>
      </w:pPr>
      <w:r>
        <w:rPr>
          <w:bCs/>
          <w:szCs w:val="16"/>
        </w:rPr>
        <w:t>Most – refers to findings that relate to more than three</w:t>
      </w:r>
      <w:r w:rsidR="00A86E82">
        <w:rPr>
          <w:bCs/>
          <w:szCs w:val="16"/>
        </w:rPr>
        <w:t>-</w:t>
      </w:r>
      <w:r>
        <w:rPr>
          <w:bCs/>
          <w:szCs w:val="16"/>
        </w:rPr>
        <w:t xml:space="preserve">quarters of the research </w:t>
      </w:r>
      <w:proofErr w:type="gramStart"/>
      <w:r>
        <w:rPr>
          <w:bCs/>
          <w:szCs w:val="16"/>
        </w:rPr>
        <w:t>participants;</w:t>
      </w:r>
      <w:proofErr w:type="gramEnd"/>
    </w:p>
    <w:p w14:paraId="51471672" w14:textId="51B7EFF0" w:rsidR="00273CE1" w:rsidRDefault="00273CE1" w:rsidP="00F07566">
      <w:pPr>
        <w:pStyle w:val="ListParagraph"/>
        <w:numPr>
          <w:ilvl w:val="0"/>
          <w:numId w:val="10"/>
        </w:numPr>
        <w:rPr>
          <w:bCs/>
          <w:szCs w:val="16"/>
        </w:rPr>
      </w:pPr>
      <w:r>
        <w:rPr>
          <w:bCs/>
          <w:szCs w:val="16"/>
        </w:rPr>
        <w:t xml:space="preserve">Many – refers to findings that relate to more than half of the research </w:t>
      </w:r>
      <w:proofErr w:type="gramStart"/>
      <w:r>
        <w:rPr>
          <w:bCs/>
          <w:szCs w:val="16"/>
        </w:rPr>
        <w:t>participants;</w:t>
      </w:r>
      <w:proofErr w:type="gramEnd"/>
    </w:p>
    <w:p w14:paraId="031D3628" w14:textId="1E2A8537" w:rsidR="00273CE1" w:rsidRDefault="00273CE1" w:rsidP="00F07566">
      <w:pPr>
        <w:pStyle w:val="ListParagraph"/>
        <w:numPr>
          <w:ilvl w:val="0"/>
          <w:numId w:val="10"/>
        </w:numPr>
        <w:rPr>
          <w:bCs/>
          <w:szCs w:val="16"/>
        </w:rPr>
      </w:pPr>
      <w:r>
        <w:rPr>
          <w:bCs/>
          <w:szCs w:val="16"/>
        </w:rPr>
        <w:t>Some – refers to findings that relate to around a third of research participants; and</w:t>
      </w:r>
    </w:p>
    <w:p w14:paraId="604F036B" w14:textId="1E6CE92A" w:rsidR="00273CE1" w:rsidRDefault="00273CE1" w:rsidP="00F07566">
      <w:pPr>
        <w:pStyle w:val="ListParagraph"/>
        <w:numPr>
          <w:ilvl w:val="0"/>
          <w:numId w:val="10"/>
        </w:numPr>
        <w:rPr>
          <w:bCs/>
          <w:szCs w:val="16"/>
        </w:rPr>
      </w:pPr>
      <w:r>
        <w:rPr>
          <w:bCs/>
          <w:szCs w:val="16"/>
        </w:rPr>
        <w:t>A few – refers to findings that relate to less than a quarter of research participants</w:t>
      </w:r>
      <w:r w:rsidR="00F07566">
        <w:rPr>
          <w:bCs/>
          <w:szCs w:val="16"/>
        </w:rPr>
        <w:t>.</w:t>
      </w:r>
    </w:p>
    <w:p w14:paraId="56623428" w14:textId="313726FB" w:rsidR="00F07566" w:rsidRDefault="00F07566" w:rsidP="00F07566">
      <w:pPr>
        <w:rPr>
          <w:bCs/>
          <w:szCs w:val="16"/>
        </w:rPr>
      </w:pPr>
      <w:r>
        <w:rPr>
          <w:bCs/>
          <w:szCs w:val="16"/>
        </w:rPr>
        <w:t>The most common qualitative findings are reported except in certain situations where only a minority ha</w:t>
      </w:r>
      <w:r w:rsidR="00A86E82">
        <w:rPr>
          <w:bCs/>
          <w:szCs w:val="16"/>
        </w:rPr>
        <w:t>ve</w:t>
      </w:r>
      <w:r>
        <w:rPr>
          <w:bCs/>
          <w:szCs w:val="16"/>
        </w:rPr>
        <w:t xml:space="preserve"> raised </w:t>
      </w:r>
      <w:proofErr w:type="gramStart"/>
      <w:r>
        <w:rPr>
          <w:bCs/>
          <w:szCs w:val="16"/>
        </w:rPr>
        <w:t>particular issues</w:t>
      </w:r>
      <w:proofErr w:type="gramEnd"/>
      <w:r>
        <w:rPr>
          <w:bCs/>
          <w:szCs w:val="16"/>
        </w:rPr>
        <w:t>, but these are nevertheless considered to be important and to have potentially wide-ranging implications or applications.</w:t>
      </w:r>
    </w:p>
    <w:p w14:paraId="5D936DE5" w14:textId="6BA7C262" w:rsidR="00F07566" w:rsidRDefault="00F07566" w:rsidP="00E04C88">
      <w:pPr>
        <w:spacing w:before="600"/>
        <w:rPr>
          <w:bCs/>
          <w:szCs w:val="16"/>
        </w:rPr>
      </w:pPr>
      <w:r>
        <w:rPr>
          <w:bCs/>
          <w:szCs w:val="16"/>
        </w:rPr>
        <w:t xml:space="preserve">This project was conducted in accordance with the international quality standard ISO 20252, the international information security standard ISO 27001, as well as the Australian Privacy Principles contained in the </w:t>
      </w:r>
      <w:r w:rsidRPr="00F07566">
        <w:rPr>
          <w:bCs/>
          <w:i/>
          <w:iCs/>
          <w:szCs w:val="16"/>
        </w:rPr>
        <w:t>Privacy Act 1988</w:t>
      </w:r>
      <w:r>
        <w:rPr>
          <w:bCs/>
          <w:szCs w:val="16"/>
        </w:rPr>
        <w:t xml:space="preserve"> (</w:t>
      </w:r>
      <w:proofErr w:type="spellStart"/>
      <w:r>
        <w:rPr>
          <w:bCs/>
          <w:szCs w:val="16"/>
        </w:rPr>
        <w:t>Cth</w:t>
      </w:r>
      <w:proofErr w:type="spellEnd"/>
      <w:r>
        <w:rPr>
          <w:bCs/>
          <w:szCs w:val="16"/>
        </w:rPr>
        <w:t>). ORIMA Research also adheres to the Privacy (Market and Social Research) Code 2021 administered by the Australian Data and Insights Association (ADIA).</w:t>
      </w:r>
    </w:p>
    <w:sectPr w:rsidR="00F07566" w:rsidSect="009D1809">
      <w:footerReference w:type="default" r:id="rId15"/>
      <w:headerReference w:type="first" r:id="rId16"/>
      <w:footerReference w:type="first" r:id="rId17"/>
      <w:pgSz w:w="11906" w:h="16838"/>
      <w:pgMar w:top="1284" w:right="1134" w:bottom="816" w:left="1134" w:header="431" w:footer="9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A3D50" w14:textId="77777777" w:rsidR="006D7BAA" w:rsidRDefault="006D7BAA">
      <w:r>
        <w:separator/>
      </w:r>
    </w:p>
  </w:endnote>
  <w:endnote w:type="continuationSeparator" w:id="0">
    <w:p w14:paraId="283B91F7" w14:textId="77777777" w:rsidR="006D7BAA" w:rsidRDefault="006D7BAA">
      <w:r>
        <w:continuationSeparator/>
      </w:r>
    </w:p>
  </w:endnote>
  <w:endnote w:type="continuationNotice" w:id="1">
    <w:p w14:paraId="5C48DE6A" w14:textId="77777777" w:rsidR="004C0BB0" w:rsidRDefault="004C0B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DA9B" w14:textId="75B3BCCA" w:rsidR="003C5491" w:rsidRPr="007421F4" w:rsidRDefault="00794F8E" w:rsidP="007421F4">
    <w:pPr>
      <w:pStyle w:val="Footer"/>
      <w:tabs>
        <w:tab w:val="clear" w:pos="4513"/>
        <w:tab w:val="clear" w:pos="9026"/>
        <w:tab w:val="right" w:pos="9638"/>
      </w:tabs>
    </w:pPr>
    <w:r>
      <w:t xml:space="preserve">IGWC Basin Community Perception </w:t>
    </w:r>
    <w:r w:rsidR="000F4D94">
      <w:t>Research 202</w:t>
    </w:r>
    <w:r w:rsidR="00FE1A3F">
      <w:t>4</w:t>
    </w:r>
    <w:r w:rsidR="0042346D">
      <w:t>–</w:t>
    </w:r>
    <w:r w:rsidR="00FE1A3F">
      <w:t>25</w:t>
    </w:r>
    <w:r w:rsidR="000F4D94">
      <w:t xml:space="preserve"> | Research conducted by O</w:t>
    </w:r>
    <w:r w:rsidR="00857E18">
      <w:t>RIMA</w:t>
    </w:r>
    <w:r w:rsidR="000F4D94">
      <w:t xml:space="preserve"> </w:t>
    </w:r>
    <w:r w:rsidR="007421F4" w:rsidRPr="007421F4">
      <w:tab/>
    </w:r>
    <w:r w:rsidR="007421F4" w:rsidRPr="007421F4">
      <w:fldChar w:fldCharType="begin"/>
    </w:r>
    <w:r w:rsidR="007421F4" w:rsidRPr="007421F4">
      <w:instrText xml:space="preserve"> PAGE   \* MERGEFORMAT </w:instrText>
    </w:r>
    <w:r w:rsidR="007421F4" w:rsidRPr="007421F4">
      <w:fldChar w:fldCharType="separate"/>
    </w:r>
    <w:r w:rsidR="007421F4" w:rsidRPr="007421F4">
      <w:t>1</w:t>
    </w:r>
    <w:r w:rsidR="007421F4" w:rsidRPr="007421F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4A9C" w14:textId="77777777" w:rsidR="00B25458" w:rsidRPr="002C07A5" w:rsidRDefault="00B25458" w:rsidP="002C07A5">
    <w:pPr>
      <w:pStyle w:val="Footer"/>
      <w:tabs>
        <w:tab w:val="clear" w:pos="4513"/>
        <w:tab w:val="clear" w:pos="9026"/>
        <w:tab w:val="right" w:pos="9638"/>
      </w:tabs>
      <w:rPr>
        <w:color w:val="FFFFFF"/>
      </w:rPr>
    </w:pPr>
    <w:r w:rsidRPr="00DA3699">
      <w:rPr>
        <w:color w:val="FF0000"/>
      </w:rPr>
      <w:t>Inspector-General of Water Compliance</w:t>
    </w:r>
    <w:r w:rsidRPr="00DA3699">
      <w:rPr>
        <w:color w:val="FF0000"/>
      </w:rPr>
      <w:tab/>
    </w:r>
    <w:r w:rsidRPr="00DA3699">
      <w:rPr>
        <w:color w:val="FF0000"/>
      </w:rPr>
      <w:fldChar w:fldCharType="begin"/>
    </w:r>
    <w:r w:rsidRPr="00DA3699">
      <w:rPr>
        <w:color w:val="FF0000"/>
      </w:rPr>
      <w:instrText xml:space="preserve"> PAGE   \* MERGEFORMAT </w:instrText>
    </w:r>
    <w:r w:rsidRPr="00DA3699">
      <w:rPr>
        <w:color w:val="FF0000"/>
      </w:rPr>
      <w:fldChar w:fldCharType="separate"/>
    </w:r>
    <w:r w:rsidRPr="00DA3699">
      <w:rPr>
        <w:color w:val="FF0000"/>
      </w:rPr>
      <w:t>3</w:t>
    </w:r>
    <w:r w:rsidRPr="00DA3699">
      <w:rPr>
        <w:noProof/>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6D2B" w14:textId="77777777" w:rsidR="006D7BAA" w:rsidRDefault="006D7BAA">
      <w:r>
        <w:separator/>
      </w:r>
    </w:p>
  </w:footnote>
  <w:footnote w:type="continuationSeparator" w:id="0">
    <w:p w14:paraId="008AE0A1" w14:textId="77777777" w:rsidR="006D7BAA" w:rsidRDefault="006D7BAA">
      <w:r>
        <w:continuationSeparator/>
      </w:r>
    </w:p>
  </w:footnote>
  <w:footnote w:type="continuationNotice" w:id="1">
    <w:p w14:paraId="04B6868B" w14:textId="77777777" w:rsidR="004C0BB0" w:rsidRDefault="004C0B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0BE3D" w14:textId="77777777" w:rsidR="00090D27" w:rsidRDefault="00090D27">
    <w:pPr>
      <w:pStyle w:val="Header"/>
    </w:pPr>
  </w:p>
  <w:p w14:paraId="0EA288ED" w14:textId="77777777" w:rsidR="00090D27" w:rsidRDefault="00090D27">
    <w:pPr>
      <w:pStyle w:val="Header"/>
    </w:pPr>
  </w:p>
  <w:p w14:paraId="650E3E13" w14:textId="77777777" w:rsidR="00090D27" w:rsidRDefault="00090D27">
    <w:pPr>
      <w:pStyle w:val="Header"/>
    </w:pPr>
  </w:p>
  <w:p w14:paraId="671A4AB2" w14:textId="77777777" w:rsidR="00090D27" w:rsidRDefault="00090D27">
    <w:pPr>
      <w:pStyle w:val="Header"/>
    </w:pPr>
  </w:p>
  <w:p w14:paraId="6B634EFA" w14:textId="77777777" w:rsidR="00090D27" w:rsidRDefault="00090D27">
    <w:pPr>
      <w:pStyle w:val="Header"/>
    </w:pPr>
  </w:p>
  <w:p w14:paraId="4C593F69" w14:textId="77777777" w:rsidR="00090D27" w:rsidRDefault="00090D27">
    <w:pPr>
      <w:pStyle w:val="Header"/>
    </w:pPr>
  </w:p>
  <w:p w14:paraId="0A703FE7" w14:textId="77777777" w:rsidR="00090D27" w:rsidRDefault="00090D27">
    <w:pPr>
      <w:pStyle w:val="Header"/>
    </w:pPr>
  </w:p>
  <w:p w14:paraId="1286BD69" w14:textId="77777777" w:rsidR="00090D27" w:rsidRDefault="00090D27">
    <w:pPr>
      <w:pStyle w:val="Header"/>
    </w:pPr>
  </w:p>
  <w:p w14:paraId="364BF1AA" w14:textId="77777777" w:rsidR="00090D27" w:rsidRDefault="00090D27">
    <w:pPr>
      <w:pStyle w:val="Header"/>
    </w:pPr>
  </w:p>
  <w:p w14:paraId="2B287129" w14:textId="77777777" w:rsidR="00090D27" w:rsidRDefault="00090D27">
    <w:pPr>
      <w:pStyle w:val="Header"/>
    </w:pPr>
  </w:p>
  <w:p w14:paraId="4BCC4CB1" w14:textId="77777777" w:rsidR="00090D27" w:rsidRDefault="00090D27">
    <w:pPr>
      <w:pStyle w:val="Header"/>
    </w:pPr>
  </w:p>
  <w:p w14:paraId="59FEBB73" w14:textId="77777777" w:rsidR="00090D27" w:rsidRDefault="00090D27">
    <w:pPr>
      <w:pStyle w:val="Header"/>
    </w:pPr>
  </w:p>
  <w:p w14:paraId="2D2B5172" w14:textId="77777777" w:rsidR="00090D27" w:rsidRDefault="00090D27">
    <w:pPr>
      <w:pStyle w:val="Header"/>
    </w:pPr>
  </w:p>
  <w:p w14:paraId="47963768" w14:textId="77777777" w:rsidR="00090D27" w:rsidRDefault="00090D27">
    <w:pPr>
      <w:pStyle w:val="Header"/>
    </w:pPr>
  </w:p>
  <w:p w14:paraId="502636F4" w14:textId="77777777" w:rsidR="00090D27" w:rsidRDefault="00090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92337A6"/>
    <w:multiLevelType w:val="hybridMultilevel"/>
    <w:tmpl w:val="4CAA7546"/>
    <w:lvl w:ilvl="0" w:tplc="0C090001">
      <w:start w:val="1"/>
      <w:numFmt w:val="bullet"/>
      <w:lvlText w:val=""/>
      <w:lvlJc w:val="left"/>
      <w:pPr>
        <w:tabs>
          <w:tab w:val="num" w:pos="720"/>
        </w:tabs>
        <w:ind w:left="720" w:hanging="360"/>
      </w:pPr>
      <w:rPr>
        <w:rFonts w:ascii="Symbol" w:hAnsi="Symbol" w:hint="default"/>
      </w:rPr>
    </w:lvl>
    <w:lvl w:ilvl="1" w:tplc="CF9C1424" w:tentative="1">
      <w:start w:val="1"/>
      <w:numFmt w:val="bullet"/>
      <w:lvlText w:val="•"/>
      <w:lvlJc w:val="left"/>
      <w:pPr>
        <w:tabs>
          <w:tab w:val="num" w:pos="1440"/>
        </w:tabs>
        <w:ind w:left="1440" w:hanging="360"/>
      </w:pPr>
      <w:rPr>
        <w:rFonts w:ascii="Arial" w:hAnsi="Arial" w:hint="default"/>
      </w:rPr>
    </w:lvl>
    <w:lvl w:ilvl="2" w:tplc="EEEEDD80" w:tentative="1">
      <w:start w:val="1"/>
      <w:numFmt w:val="bullet"/>
      <w:lvlText w:val="•"/>
      <w:lvlJc w:val="left"/>
      <w:pPr>
        <w:tabs>
          <w:tab w:val="num" w:pos="2160"/>
        </w:tabs>
        <w:ind w:left="2160" w:hanging="360"/>
      </w:pPr>
      <w:rPr>
        <w:rFonts w:ascii="Arial" w:hAnsi="Arial" w:hint="default"/>
      </w:rPr>
    </w:lvl>
    <w:lvl w:ilvl="3" w:tplc="3B3272CC" w:tentative="1">
      <w:start w:val="1"/>
      <w:numFmt w:val="bullet"/>
      <w:lvlText w:val="•"/>
      <w:lvlJc w:val="left"/>
      <w:pPr>
        <w:tabs>
          <w:tab w:val="num" w:pos="2880"/>
        </w:tabs>
        <w:ind w:left="2880" w:hanging="360"/>
      </w:pPr>
      <w:rPr>
        <w:rFonts w:ascii="Arial" w:hAnsi="Arial" w:hint="default"/>
      </w:rPr>
    </w:lvl>
    <w:lvl w:ilvl="4" w:tplc="9C72718A" w:tentative="1">
      <w:start w:val="1"/>
      <w:numFmt w:val="bullet"/>
      <w:lvlText w:val="•"/>
      <w:lvlJc w:val="left"/>
      <w:pPr>
        <w:tabs>
          <w:tab w:val="num" w:pos="3600"/>
        </w:tabs>
        <w:ind w:left="3600" w:hanging="360"/>
      </w:pPr>
      <w:rPr>
        <w:rFonts w:ascii="Arial" w:hAnsi="Arial" w:hint="default"/>
      </w:rPr>
    </w:lvl>
    <w:lvl w:ilvl="5" w:tplc="5D4A44E0" w:tentative="1">
      <w:start w:val="1"/>
      <w:numFmt w:val="bullet"/>
      <w:lvlText w:val="•"/>
      <w:lvlJc w:val="left"/>
      <w:pPr>
        <w:tabs>
          <w:tab w:val="num" w:pos="4320"/>
        </w:tabs>
        <w:ind w:left="4320" w:hanging="360"/>
      </w:pPr>
      <w:rPr>
        <w:rFonts w:ascii="Arial" w:hAnsi="Arial" w:hint="default"/>
      </w:rPr>
    </w:lvl>
    <w:lvl w:ilvl="6" w:tplc="B08A46F0" w:tentative="1">
      <w:start w:val="1"/>
      <w:numFmt w:val="bullet"/>
      <w:lvlText w:val="•"/>
      <w:lvlJc w:val="left"/>
      <w:pPr>
        <w:tabs>
          <w:tab w:val="num" w:pos="5040"/>
        </w:tabs>
        <w:ind w:left="5040" w:hanging="360"/>
      </w:pPr>
      <w:rPr>
        <w:rFonts w:ascii="Arial" w:hAnsi="Arial" w:hint="default"/>
      </w:rPr>
    </w:lvl>
    <w:lvl w:ilvl="7" w:tplc="F7228E70" w:tentative="1">
      <w:start w:val="1"/>
      <w:numFmt w:val="bullet"/>
      <w:lvlText w:val="•"/>
      <w:lvlJc w:val="left"/>
      <w:pPr>
        <w:tabs>
          <w:tab w:val="num" w:pos="5760"/>
        </w:tabs>
        <w:ind w:left="5760" w:hanging="360"/>
      </w:pPr>
      <w:rPr>
        <w:rFonts w:ascii="Arial" w:hAnsi="Arial" w:hint="default"/>
      </w:rPr>
    </w:lvl>
    <w:lvl w:ilvl="8" w:tplc="CA20D86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E7BB6"/>
    <w:multiLevelType w:val="hybridMultilevel"/>
    <w:tmpl w:val="6B74D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745BC2"/>
    <w:multiLevelType w:val="multilevel"/>
    <w:tmpl w:val="E5E89F92"/>
    <w:numStyleLink w:val="BulletList"/>
  </w:abstractNum>
  <w:abstractNum w:abstractNumId="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FD34BDB"/>
    <w:multiLevelType w:val="hybridMultilevel"/>
    <w:tmpl w:val="A33A5E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5456429"/>
    <w:multiLevelType w:val="multilevel"/>
    <w:tmpl w:val="D5F21E5A"/>
    <w:lvl w:ilvl="0">
      <w:start w:val="1"/>
      <w:numFmt w:val="decimal"/>
      <w:pStyle w:val="ListNumber"/>
      <w:lvlText w:val="%1."/>
      <w:lvlJc w:val="left"/>
      <w:pPr>
        <w:ind w:left="369" w:hanging="369"/>
      </w:pPr>
      <w:rPr>
        <w:rFonts w:ascii="Calibri" w:hAnsi="Calibri" w:hint="default"/>
        <w:sz w:val="22"/>
        <w:szCs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7" w15:restartNumberingAfterBreak="0">
    <w:nsid w:val="71C56B33"/>
    <w:multiLevelType w:val="hybridMultilevel"/>
    <w:tmpl w:val="C742E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62964D5"/>
    <w:multiLevelType w:val="multilevel"/>
    <w:tmpl w:val="E898CC72"/>
    <w:styleLink w:val="KeyPoints"/>
    <w:lvl w:ilvl="0">
      <w:start w:val="1"/>
      <w:numFmt w:val="decimal"/>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9" w15:restartNumberingAfterBreak="0">
    <w:nsid w:val="788F6AF0"/>
    <w:multiLevelType w:val="hybridMultilevel"/>
    <w:tmpl w:val="AD82F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1578559">
    <w:abstractNumId w:val="8"/>
  </w:num>
  <w:num w:numId="2" w16cid:durableId="1695494793">
    <w:abstractNumId w:val="0"/>
  </w:num>
  <w:num w:numId="3" w16cid:durableId="1193498152">
    <w:abstractNumId w:val="4"/>
  </w:num>
  <w:num w:numId="4" w16cid:durableId="904608017">
    <w:abstractNumId w:val="3"/>
  </w:num>
  <w:num w:numId="5" w16cid:durableId="1563101622">
    <w:abstractNumId w:val="6"/>
  </w:num>
  <w:num w:numId="6" w16cid:durableId="1841037688">
    <w:abstractNumId w:val="9"/>
  </w:num>
  <w:num w:numId="7" w16cid:durableId="997271584">
    <w:abstractNumId w:val="2"/>
  </w:num>
  <w:num w:numId="8" w16cid:durableId="1288928943">
    <w:abstractNumId w:val="1"/>
  </w:num>
  <w:num w:numId="9" w16cid:durableId="1067610342">
    <w:abstractNumId w:val="7"/>
  </w:num>
  <w:num w:numId="10" w16cid:durableId="19936054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efaultTableStyle w:val="TableGridLight"/>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41E"/>
    <w:rsid w:val="000001A1"/>
    <w:rsid w:val="00002287"/>
    <w:rsid w:val="000032A0"/>
    <w:rsid w:val="00007DE1"/>
    <w:rsid w:val="000131EE"/>
    <w:rsid w:val="00027643"/>
    <w:rsid w:val="000514BD"/>
    <w:rsid w:val="0005181B"/>
    <w:rsid w:val="0005366D"/>
    <w:rsid w:val="00055589"/>
    <w:rsid w:val="000613B1"/>
    <w:rsid w:val="00071327"/>
    <w:rsid w:val="00081166"/>
    <w:rsid w:val="00081F58"/>
    <w:rsid w:val="00082E59"/>
    <w:rsid w:val="00090D27"/>
    <w:rsid w:val="00091B06"/>
    <w:rsid w:val="000A048E"/>
    <w:rsid w:val="000A0A47"/>
    <w:rsid w:val="000A545D"/>
    <w:rsid w:val="000C1C6B"/>
    <w:rsid w:val="000D06D9"/>
    <w:rsid w:val="000D0DF9"/>
    <w:rsid w:val="000D10EF"/>
    <w:rsid w:val="000D1751"/>
    <w:rsid w:val="000D6789"/>
    <w:rsid w:val="000E1E4F"/>
    <w:rsid w:val="000E5C12"/>
    <w:rsid w:val="000F4D94"/>
    <w:rsid w:val="000F55E7"/>
    <w:rsid w:val="00105C5F"/>
    <w:rsid w:val="00114BA0"/>
    <w:rsid w:val="0013156A"/>
    <w:rsid w:val="001316EC"/>
    <w:rsid w:val="0013454F"/>
    <w:rsid w:val="001345C9"/>
    <w:rsid w:val="0013463C"/>
    <w:rsid w:val="0014182C"/>
    <w:rsid w:val="00142D08"/>
    <w:rsid w:val="00142E0B"/>
    <w:rsid w:val="00145590"/>
    <w:rsid w:val="001467BC"/>
    <w:rsid w:val="00156132"/>
    <w:rsid w:val="0015695F"/>
    <w:rsid w:val="0017077A"/>
    <w:rsid w:val="00170D66"/>
    <w:rsid w:val="00170DC6"/>
    <w:rsid w:val="0017351A"/>
    <w:rsid w:val="001827C2"/>
    <w:rsid w:val="00186E6F"/>
    <w:rsid w:val="00197857"/>
    <w:rsid w:val="001C0255"/>
    <w:rsid w:val="001C0F11"/>
    <w:rsid w:val="001C1ABF"/>
    <w:rsid w:val="001C752F"/>
    <w:rsid w:val="001E434A"/>
    <w:rsid w:val="001F2A15"/>
    <w:rsid w:val="00204E35"/>
    <w:rsid w:val="0021103E"/>
    <w:rsid w:val="00221662"/>
    <w:rsid w:val="00222CB5"/>
    <w:rsid w:val="00223EBF"/>
    <w:rsid w:val="00226F53"/>
    <w:rsid w:val="00230C4C"/>
    <w:rsid w:val="00230F46"/>
    <w:rsid w:val="00231A97"/>
    <w:rsid w:val="0023381A"/>
    <w:rsid w:val="00234917"/>
    <w:rsid w:val="00236D0F"/>
    <w:rsid w:val="00250CB7"/>
    <w:rsid w:val="002561B9"/>
    <w:rsid w:val="00272B0B"/>
    <w:rsid w:val="00272CBB"/>
    <w:rsid w:val="00273CE1"/>
    <w:rsid w:val="00280050"/>
    <w:rsid w:val="002857D6"/>
    <w:rsid w:val="00296907"/>
    <w:rsid w:val="002A5A1E"/>
    <w:rsid w:val="002A7384"/>
    <w:rsid w:val="002B41C1"/>
    <w:rsid w:val="002B4251"/>
    <w:rsid w:val="002C07A5"/>
    <w:rsid w:val="002C086E"/>
    <w:rsid w:val="002C5D57"/>
    <w:rsid w:val="002C6C13"/>
    <w:rsid w:val="002D3EC0"/>
    <w:rsid w:val="002E177E"/>
    <w:rsid w:val="002E351B"/>
    <w:rsid w:val="002E4CCA"/>
    <w:rsid w:val="002E5A71"/>
    <w:rsid w:val="002E712A"/>
    <w:rsid w:val="002F0C90"/>
    <w:rsid w:val="00303D1F"/>
    <w:rsid w:val="0030787F"/>
    <w:rsid w:val="0032356E"/>
    <w:rsid w:val="003268F7"/>
    <w:rsid w:val="00334F52"/>
    <w:rsid w:val="00335559"/>
    <w:rsid w:val="0035128A"/>
    <w:rsid w:val="003522E8"/>
    <w:rsid w:val="00352BB1"/>
    <w:rsid w:val="00361A48"/>
    <w:rsid w:val="0036565C"/>
    <w:rsid w:val="00371808"/>
    <w:rsid w:val="00374588"/>
    <w:rsid w:val="00374903"/>
    <w:rsid w:val="00376A5A"/>
    <w:rsid w:val="00384EC2"/>
    <w:rsid w:val="0039416C"/>
    <w:rsid w:val="003A39E1"/>
    <w:rsid w:val="003A39FE"/>
    <w:rsid w:val="003A6733"/>
    <w:rsid w:val="003A7927"/>
    <w:rsid w:val="003B10AF"/>
    <w:rsid w:val="003B3811"/>
    <w:rsid w:val="003B523D"/>
    <w:rsid w:val="003B64C4"/>
    <w:rsid w:val="003B7B80"/>
    <w:rsid w:val="003C464C"/>
    <w:rsid w:val="003C5491"/>
    <w:rsid w:val="003D32AF"/>
    <w:rsid w:val="003D4686"/>
    <w:rsid w:val="003D63BD"/>
    <w:rsid w:val="003D7A59"/>
    <w:rsid w:val="003F5D2E"/>
    <w:rsid w:val="003F7DA8"/>
    <w:rsid w:val="00402EF9"/>
    <w:rsid w:val="004036BC"/>
    <w:rsid w:val="00406DCC"/>
    <w:rsid w:val="00407D3B"/>
    <w:rsid w:val="004101E6"/>
    <w:rsid w:val="004111F5"/>
    <w:rsid w:val="00412531"/>
    <w:rsid w:val="0041656D"/>
    <w:rsid w:val="004201BD"/>
    <w:rsid w:val="0042346D"/>
    <w:rsid w:val="00435004"/>
    <w:rsid w:val="00447D96"/>
    <w:rsid w:val="00455651"/>
    <w:rsid w:val="00460B80"/>
    <w:rsid w:val="00463BE8"/>
    <w:rsid w:val="0046450A"/>
    <w:rsid w:val="00473F5B"/>
    <w:rsid w:val="00474D5B"/>
    <w:rsid w:val="00490047"/>
    <w:rsid w:val="00492AE6"/>
    <w:rsid w:val="004A3264"/>
    <w:rsid w:val="004B05C1"/>
    <w:rsid w:val="004B6AB8"/>
    <w:rsid w:val="004C0BB0"/>
    <w:rsid w:val="004C2235"/>
    <w:rsid w:val="004C561D"/>
    <w:rsid w:val="004D5646"/>
    <w:rsid w:val="004D7688"/>
    <w:rsid w:val="004E09A7"/>
    <w:rsid w:val="004E30CC"/>
    <w:rsid w:val="004E7BFE"/>
    <w:rsid w:val="004F33A8"/>
    <w:rsid w:val="004F4AA6"/>
    <w:rsid w:val="004F560A"/>
    <w:rsid w:val="004F5BB5"/>
    <w:rsid w:val="00502127"/>
    <w:rsid w:val="00503E62"/>
    <w:rsid w:val="00503EDD"/>
    <w:rsid w:val="005102AB"/>
    <w:rsid w:val="00510BCE"/>
    <w:rsid w:val="00522D98"/>
    <w:rsid w:val="005268BF"/>
    <w:rsid w:val="005278D2"/>
    <w:rsid w:val="005359F0"/>
    <w:rsid w:val="0053628B"/>
    <w:rsid w:val="00545945"/>
    <w:rsid w:val="0055136D"/>
    <w:rsid w:val="005611DF"/>
    <w:rsid w:val="00564FB9"/>
    <w:rsid w:val="0057289E"/>
    <w:rsid w:val="00584DDB"/>
    <w:rsid w:val="00585FD1"/>
    <w:rsid w:val="00587CF7"/>
    <w:rsid w:val="0059001F"/>
    <w:rsid w:val="005B18FD"/>
    <w:rsid w:val="005B2F67"/>
    <w:rsid w:val="005B6E13"/>
    <w:rsid w:val="005C5D99"/>
    <w:rsid w:val="005E2A4B"/>
    <w:rsid w:val="005E3F3F"/>
    <w:rsid w:val="005F0B50"/>
    <w:rsid w:val="005F2369"/>
    <w:rsid w:val="005F4732"/>
    <w:rsid w:val="006035B1"/>
    <w:rsid w:val="00606C45"/>
    <w:rsid w:val="00617D03"/>
    <w:rsid w:val="00617D67"/>
    <w:rsid w:val="00622053"/>
    <w:rsid w:val="00625BF6"/>
    <w:rsid w:val="006318A8"/>
    <w:rsid w:val="006413FA"/>
    <w:rsid w:val="0065066C"/>
    <w:rsid w:val="00653283"/>
    <w:rsid w:val="006537FD"/>
    <w:rsid w:val="0065411A"/>
    <w:rsid w:val="00656C46"/>
    <w:rsid w:val="00656F47"/>
    <w:rsid w:val="0066217F"/>
    <w:rsid w:val="006701E1"/>
    <w:rsid w:val="00672A68"/>
    <w:rsid w:val="00673A0D"/>
    <w:rsid w:val="00686F17"/>
    <w:rsid w:val="00690360"/>
    <w:rsid w:val="006A6E80"/>
    <w:rsid w:val="006A7A90"/>
    <w:rsid w:val="006B2B83"/>
    <w:rsid w:val="006C7649"/>
    <w:rsid w:val="006D01B3"/>
    <w:rsid w:val="006D7BAA"/>
    <w:rsid w:val="006E0EC3"/>
    <w:rsid w:val="006E2B5F"/>
    <w:rsid w:val="006E7B4A"/>
    <w:rsid w:val="006F3470"/>
    <w:rsid w:val="006F5E69"/>
    <w:rsid w:val="00702411"/>
    <w:rsid w:val="00710673"/>
    <w:rsid w:val="00723BDE"/>
    <w:rsid w:val="00725B2A"/>
    <w:rsid w:val="00726031"/>
    <w:rsid w:val="00736ACC"/>
    <w:rsid w:val="00741F41"/>
    <w:rsid w:val="007421F4"/>
    <w:rsid w:val="00743ABB"/>
    <w:rsid w:val="007440F7"/>
    <w:rsid w:val="0074454B"/>
    <w:rsid w:val="00746914"/>
    <w:rsid w:val="0076113A"/>
    <w:rsid w:val="007623D7"/>
    <w:rsid w:val="00770DD9"/>
    <w:rsid w:val="00774B4C"/>
    <w:rsid w:val="0077560D"/>
    <w:rsid w:val="00783454"/>
    <w:rsid w:val="00792822"/>
    <w:rsid w:val="007935B6"/>
    <w:rsid w:val="00794F8E"/>
    <w:rsid w:val="007966A3"/>
    <w:rsid w:val="007A1E2C"/>
    <w:rsid w:val="007A29DB"/>
    <w:rsid w:val="007B381A"/>
    <w:rsid w:val="007B47EF"/>
    <w:rsid w:val="007C3F00"/>
    <w:rsid w:val="007C67CA"/>
    <w:rsid w:val="007D41E5"/>
    <w:rsid w:val="007E0334"/>
    <w:rsid w:val="007E17AB"/>
    <w:rsid w:val="007E60B7"/>
    <w:rsid w:val="007F220F"/>
    <w:rsid w:val="007F6BD4"/>
    <w:rsid w:val="008015ED"/>
    <w:rsid w:val="0080319E"/>
    <w:rsid w:val="00804115"/>
    <w:rsid w:val="0080536E"/>
    <w:rsid w:val="008142C7"/>
    <w:rsid w:val="00825EBF"/>
    <w:rsid w:val="0082712F"/>
    <w:rsid w:val="00834088"/>
    <w:rsid w:val="00837020"/>
    <w:rsid w:val="00843C1C"/>
    <w:rsid w:val="00852318"/>
    <w:rsid w:val="00854106"/>
    <w:rsid w:val="008557E4"/>
    <w:rsid w:val="00857E18"/>
    <w:rsid w:val="00861326"/>
    <w:rsid w:val="00866D50"/>
    <w:rsid w:val="00867137"/>
    <w:rsid w:val="00871777"/>
    <w:rsid w:val="0087312F"/>
    <w:rsid w:val="00876FEF"/>
    <w:rsid w:val="008773E5"/>
    <w:rsid w:val="00892B80"/>
    <w:rsid w:val="008A0665"/>
    <w:rsid w:val="008A2AB3"/>
    <w:rsid w:val="008A6BDC"/>
    <w:rsid w:val="008A7636"/>
    <w:rsid w:val="008B1BA2"/>
    <w:rsid w:val="008B2B64"/>
    <w:rsid w:val="008B7664"/>
    <w:rsid w:val="008B7E56"/>
    <w:rsid w:val="008C182C"/>
    <w:rsid w:val="008C3DEE"/>
    <w:rsid w:val="008D20CB"/>
    <w:rsid w:val="008D5099"/>
    <w:rsid w:val="008D5EF9"/>
    <w:rsid w:val="008F1E81"/>
    <w:rsid w:val="008F202F"/>
    <w:rsid w:val="008F3F34"/>
    <w:rsid w:val="00901597"/>
    <w:rsid w:val="009045AB"/>
    <w:rsid w:val="00905566"/>
    <w:rsid w:val="009067DC"/>
    <w:rsid w:val="009114B8"/>
    <w:rsid w:val="009125C0"/>
    <w:rsid w:val="00923DF7"/>
    <w:rsid w:val="009427AA"/>
    <w:rsid w:val="00951AD8"/>
    <w:rsid w:val="00951EB3"/>
    <w:rsid w:val="00953791"/>
    <w:rsid w:val="0097075D"/>
    <w:rsid w:val="00985678"/>
    <w:rsid w:val="00990617"/>
    <w:rsid w:val="00990DBB"/>
    <w:rsid w:val="00994A4F"/>
    <w:rsid w:val="00994C1F"/>
    <w:rsid w:val="009A412F"/>
    <w:rsid w:val="009A650D"/>
    <w:rsid w:val="009A74DE"/>
    <w:rsid w:val="009C3510"/>
    <w:rsid w:val="009C47DF"/>
    <w:rsid w:val="009D1809"/>
    <w:rsid w:val="009E078F"/>
    <w:rsid w:val="009E2969"/>
    <w:rsid w:val="009E2D71"/>
    <w:rsid w:val="009E4C07"/>
    <w:rsid w:val="009F0367"/>
    <w:rsid w:val="009F140E"/>
    <w:rsid w:val="00A0033E"/>
    <w:rsid w:val="00A0041E"/>
    <w:rsid w:val="00A01A7C"/>
    <w:rsid w:val="00A1160B"/>
    <w:rsid w:val="00A122AB"/>
    <w:rsid w:val="00A2526F"/>
    <w:rsid w:val="00A26C2C"/>
    <w:rsid w:val="00A2762B"/>
    <w:rsid w:val="00A27E49"/>
    <w:rsid w:val="00A32892"/>
    <w:rsid w:val="00A4261E"/>
    <w:rsid w:val="00A645E5"/>
    <w:rsid w:val="00A648C8"/>
    <w:rsid w:val="00A65AB3"/>
    <w:rsid w:val="00A66860"/>
    <w:rsid w:val="00A72F55"/>
    <w:rsid w:val="00A74736"/>
    <w:rsid w:val="00A74C3E"/>
    <w:rsid w:val="00A74C64"/>
    <w:rsid w:val="00A86E82"/>
    <w:rsid w:val="00A879DC"/>
    <w:rsid w:val="00A87B87"/>
    <w:rsid w:val="00A94BCC"/>
    <w:rsid w:val="00AA2167"/>
    <w:rsid w:val="00AA3CE9"/>
    <w:rsid w:val="00AA7CB2"/>
    <w:rsid w:val="00AB3BEE"/>
    <w:rsid w:val="00AB7AE2"/>
    <w:rsid w:val="00AC0B97"/>
    <w:rsid w:val="00AC4678"/>
    <w:rsid w:val="00AD639E"/>
    <w:rsid w:val="00AF49AB"/>
    <w:rsid w:val="00AF63BF"/>
    <w:rsid w:val="00B00DE4"/>
    <w:rsid w:val="00B1156A"/>
    <w:rsid w:val="00B115A2"/>
    <w:rsid w:val="00B12041"/>
    <w:rsid w:val="00B244EC"/>
    <w:rsid w:val="00B25458"/>
    <w:rsid w:val="00B26CA9"/>
    <w:rsid w:val="00B478DE"/>
    <w:rsid w:val="00B51968"/>
    <w:rsid w:val="00B51E7D"/>
    <w:rsid w:val="00B62B0C"/>
    <w:rsid w:val="00B66CF4"/>
    <w:rsid w:val="00B80E07"/>
    <w:rsid w:val="00B86445"/>
    <w:rsid w:val="00B86AEC"/>
    <w:rsid w:val="00B90A04"/>
    <w:rsid w:val="00B924B6"/>
    <w:rsid w:val="00BA0F24"/>
    <w:rsid w:val="00BA1C1B"/>
    <w:rsid w:val="00BA7881"/>
    <w:rsid w:val="00BC31CE"/>
    <w:rsid w:val="00BC52E2"/>
    <w:rsid w:val="00BD586E"/>
    <w:rsid w:val="00BE74BB"/>
    <w:rsid w:val="00BE76F0"/>
    <w:rsid w:val="00BF237F"/>
    <w:rsid w:val="00BF7140"/>
    <w:rsid w:val="00BF7940"/>
    <w:rsid w:val="00C0103F"/>
    <w:rsid w:val="00C118DE"/>
    <w:rsid w:val="00C12631"/>
    <w:rsid w:val="00C27B9F"/>
    <w:rsid w:val="00C31E8E"/>
    <w:rsid w:val="00C322D8"/>
    <w:rsid w:val="00C33FDA"/>
    <w:rsid w:val="00C4688F"/>
    <w:rsid w:val="00C47057"/>
    <w:rsid w:val="00C5495A"/>
    <w:rsid w:val="00C56A2A"/>
    <w:rsid w:val="00C65F8C"/>
    <w:rsid w:val="00C721EA"/>
    <w:rsid w:val="00C73622"/>
    <w:rsid w:val="00C77664"/>
    <w:rsid w:val="00C827DA"/>
    <w:rsid w:val="00C82C04"/>
    <w:rsid w:val="00C83D74"/>
    <w:rsid w:val="00C94BF5"/>
    <w:rsid w:val="00CA62BF"/>
    <w:rsid w:val="00CB4316"/>
    <w:rsid w:val="00CC0D65"/>
    <w:rsid w:val="00CC19F8"/>
    <w:rsid w:val="00CC44C7"/>
    <w:rsid w:val="00CC76D5"/>
    <w:rsid w:val="00CC7983"/>
    <w:rsid w:val="00CD12E6"/>
    <w:rsid w:val="00CD346C"/>
    <w:rsid w:val="00CD3921"/>
    <w:rsid w:val="00CE1ED6"/>
    <w:rsid w:val="00CF2434"/>
    <w:rsid w:val="00CF2F22"/>
    <w:rsid w:val="00CF7A50"/>
    <w:rsid w:val="00D0112D"/>
    <w:rsid w:val="00D02834"/>
    <w:rsid w:val="00D0672A"/>
    <w:rsid w:val="00D06B94"/>
    <w:rsid w:val="00D167D0"/>
    <w:rsid w:val="00D20DD3"/>
    <w:rsid w:val="00D235BB"/>
    <w:rsid w:val="00D3516F"/>
    <w:rsid w:val="00D37335"/>
    <w:rsid w:val="00D43412"/>
    <w:rsid w:val="00D446A8"/>
    <w:rsid w:val="00D50C76"/>
    <w:rsid w:val="00D544D1"/>
    <w:rsid w:val="00D55F96"/>
    <w:rsid w:val="00D57125"/>
    <w:rsid w:val="00D57408"/>
    <w:rsid w:val="00D624A3"/>
    <w:rsid w:val="00D62612"/>
    <w:rsid w:val="00D62F55"/>
    <w:rsid w:val="00D76CD4"/>
    <w:rsid w:val="00D77587"/>
    <w:rsid w:val="00D775D1"/>
    <w:rsid w:val="00D80621"/>
    <w:rsid w:val="00D807FA"/>
    <w:rsid w:val="00D82E42"/>
    <w:rsid w:val="00DA3699"/>
    <w:rsid w:val="00DA3B85"/>
    <w:rsid w:val="00DB4BB7"/>
    <w:rsid w:val="00DC6237"/>
    <w:rsid w:val="00DD3E75"/>
    <w:rsid w:val="00DE06C0"/>
    <w:rsid w:val="00DF2153"/>
    <w:rsid w:val="00DF7D36"/>
    <w:rsid w:val="00E000B9"/>
    <w:rsid w:val="00E01EA0"/>
    <w:rsid w:val="00E04C88"/>
    <w:rsid w:val="00E14509"/>
    <w:rsid w:val="00E200CC"/>
    <w:rsid w:val="00E20D61"/>
    <w:rsid w:val="00E2229D"/>
    <w:rsid w:val="00E3588F"/>
    <w:rsid w:val="00E37723"/>
    <w:rsid w:val="00E41A78"/>
    <w:rsid w:val="00E4728C"/>
    <w:rsid w:val="00E51BFA"/>
    <w:rsid w:val="00E56ACF"/>
    <w:rsid w:val="00E75161"/>
    <w:rsid w:val="00E77B8C"/>
    <w:rsid w:val="00E97A4A"/>
    <w:rsid w:val="00EA4C8E"/>
    <w:rsid w:val="00ED1B2C"/>
    <w:rsid w:val="00ED30D0"/>
    <w:rsid w:val="00ED327E"/>
    <w:rsid w:val="00ED498D"/>
    <w:rsid w:val="00EE3B11"/>
    <w:rsid w:val="00EE4791"/>
    <w:rsid w:val="00EF336C"/>
    <w:rsid w:val="00F01AEB"/>
    <w:rsid w:val="00F07566"/>
    <w:rsid w:val="00F151D8"/>
    <w:rsid w:val="00F1542C"/>
    <w:rsid w:val="00F23F93"/>
    <w:rsid w:val="00F267AC"/>
    <w:rsid w:val="00F26CA8"/>
    <w:rsid w:val="00F3130F"/>
    <w:rsid w:val="00F33200"/>
    <w:rsid w:val="00F33452"/>
    <w:rsid w:val="00F33980"/>
    <w:rsid w:val="00F40AD4"/>
    <w:rsid w:val="00F46856"/>
    <w:rsid w:val="00F47020"/>
    <w:rsid w:val="00F54AA6"/>
    <w:rsid w:val="00F56549"/>
    <w:rsid w:val="00F70602"/>
    <w:rsid w:val="00F8107D"/>
    <w:rsid w:val="00F81F21"/>
    <w:rsid w:val="00F92297"/>
    <w:rsid w:val="00F93899"/>
    <w:rsid w:val="00F94D44"/>
    <w:rsid w:val="00FA0421"/>
    <w:rsid w:val="00FA05FE"/>
    <w:rsid w:val="00FA5CD7"/>
    <w:rsid w:val="00FA69DC"/>
    <w:rsid w:val="00FB0DE5"/>
    <w:rsid w:val="00FC2697"/>
    <w:rsid w:val="00FD1C48"/>
    <w:rsid w:val="00FD2E1F"/>
    <w:rsid w:val="00FD467B"/>
    <w:rsid w:val="00FE0C2F"/>
    <w:rsid w:val="00FE1267"/>
    <w:rsid w:val="00FE1A3F"/>
    <w:rsid w:val="00FE21E0"/>
    <w:rsid w:val="00FE2603"/>
    <w:rsid w:val="00FF0F0C"/>
    <w:rsid w:val="2F64F4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87BA"/>
  <w15:docId w15:val="{482308D9-A3C2-4A9A-BD60-DA3EC8B4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DD9"/>
    <w:pPr>
      <w:spacing w:after="200"/>
    </w:pPr>
    <w:rPr>
      <w:rFonts w:ascii="Verdana" w:hAnsi="Verdana"/>
      <w:sz w:val="20"/>
      <w:lang w:eastAsia="en-US"/>
    </w:rPr>
  </w:style>
  <w:style w:type="paragraph" w:styleId="Heading1">
    <w:name w:val="heading 1"/>
    <w:basedOn w:val="Normal"/>
    <w:next w:val="Normal"/>
    <w:link w:val="Heading1Char"/>
    <w:uiPriority w:val="9"/>
    <w:qFormat/>
    <w:rsid w:val="00DF2153"/>
    <w:pPr>
      <w:pageBreakBefore/>
      <w:tabs>
        <w:tab w:val="center" w:pos="4513"/>
        <w:tab w:val="right" w:pos="9026"/>
      </w:tabs>
      <w:spacing w:after="480"/>
      <w:outlineLvl w:val="0"/>
    </w:pPr>
    <w:rPr>
      <w:b/>
      <w:color w:val="4C6968" w:themeColor="text1"/>
      <w:sz w:val="50"/>
      <w:szCs w:val="24"/>
    </w:rPr>
  </w:style>
  <w:style w:type="paragraph" w:styleId="Heading2">
    <w:name w:val="heading 2"/>
    <w:basedOn w:val="Normal"/>
    <w:next w:val="Normal"/>
    <w:link w:val="Heading2Char"/>
    <w:uiPriority w:val="9"/>
    <w:qFormat/>
    <w:rsid w:val="003268F7"/>
    <w:pPr>
      <w:keepNext/>
      <w:spacing w:before="360" w:after="240"/>
      <w:outlineLvl w:val="1"/>
    </w:pPr>
    <w:rPr>
      <w:b/>
      <w:color w:val="48555E" w:themeColor="text2"/>
      <w:sz w:val="32"/>
      <w:szCs w:val="20"/>
    </w:rPr>
  </w:style>
  <w:style w:type="paragraph" w:styleId="Heading3">
    <w:name w:val="heading 3"/>
    <w:basedOn w:val="Normal"/>
    <w:next w:val="Normal"/>
    <w:link w:val="Heading3Char"/>
    <w:uiPriority w:val="9"/>
    <w:qFormat/>
    <w:rsid w:val="003268F7"/>
    <w:pPr>
      <w:keepNext/>
      <w:spacing w:before="120" w:after="120"/>
      <w:outlineLvl w:val="2"/>
    </w:pPr>
    <w:rPr>
      <w:rFonts w:cs="Arial"/>
      <w:b/>
      <w:color w:val="48555E" w:themeColor="text2"/>
      <w:sz w:val="26"/>
    </w:rPr>
  </w:style>
  <w:style w:type="paragraph" w:styleId="Heading4">
    <w:name w:val="heading 4"/>
    <w:basedOn w:val="Normal"/>
    <w:next w:val="Normal"/>
    <w:link w:val="Heading4Char"/>
    <w:uiPriority w:val="9"/>
    <w:qFormat/>
    <w:rsid w:val="003268F7"/>
    <w:pPr>
      <w:keepNext/>
      <w:spacing w:before="120"/>
      <w:outlineLvl w:val="3"/>
    </w:pPr>
    <w:rPr>
      <w:rFonts w:cs="Arial"/>
      <w:sz w:val="22"/>
    </w:rPr>
  </w:style>
  <w:style w:type="paragraph" w:styleId="Heading5">
    <w:name w:val="heading 5"/>
    <w:basedOn w:val="Normal"/>
    <w:next w:val="Normal"/>
    <w:link w:val="Heading5Char"/>
    <w:uiPriority w:val="9"/>
    <w:unhideWhenUsed/>
    <w:rsid w:val="008015ED"/>
    <w:pPr>
      <w:keepNext/>
      <w:keepLines/>
      <w:spacing w:before="40" w:after="240"/>
      <w:outlineLvl w:val="4"/>
    </w:pPr>
    <w:rPr>
      <w:rFonts w:eastAsiaTheme="majorEastAsia" w:cstheme="majorBidi"/>
      <w:i/>
      <w:color w:val="4C6968"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unhideWhenUsed/>
    <w:rsid w:val="00CA62BF"/>
    <w:rPr>
      <w:b/>
      <w:color w:val="4C6968" w:themeColor="text1"/>
      <w:sz w:val="24"/>
    </w:rPr>
  </w:style>
  <w:style w:type="character" w:customStyle="1" w:styleId="DateChar">
    <w:name w:val="Date Char"/>
    <w:basedOn w:val="DefaultParagraphFont"/>
    <w:link w:val="Date"/>
    <w:uiPriority w:val="99"/>
    <w:rsid w:val="00CA62BF"/>
    <w:rPr>
      <w:rFonts w:ascii="Verdana" w:hAnsi="Verdana"/>
      <w:b/>
      <w:color w:val="4C6968" w:themeColor="text1"/>
      <w:sz w:val="24"/>
      <w:lang w:eastAsia="en-US"/>
    </w:rPr>
  </w:style>
  <w:style w:type="paragraph" w:styleId="Footer">
    <w:name w:val="footer"/>
    <w:basedOn w:val="Normal"/>
    <w:link w:val="FooterChar"/>
    <w:uiPriority w:val="99"/>
    <w:unhideWhenUsed/>
    <w:rsid w:val="00DE06C0"/>
    <w:pPr>
      <w:tabs>
        <w:tab w:val="center" w:pos="4513"/>
        <w:tab w:val="right" w:pos="9026"/>
      </w:tabs>
      <w:spacing w:after="0"/>
    </w:pPr>
    <w:rPr>
      <w:sz w:val="16"/>
    </w:rPr>
  </w:style>
  <w:style w:type="character" w:customStyle="1" w:styleId="FooterChar">
    <w:name w:val="Footer Char"/>
    <w:basedOn w:val="DefaultParagraphFont"/>
    <w:link w:val="Footer"/>
    <w:uiPriority w:val="99"/>
    <w:rsid w:val="00DE06C0"/>
    <w:rPr>
      <w:rFonts w:ascii="Verdana" w:hAnsi="Verdana"/>
      <w:sz w:val="16"/>
      <w:lang w:eastAsia="en-U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numbering" w:customStyle="1" w:styleId="KeyPoints">
    <w:name w:val="Key Points"/>
    <w:basedOn w:val="NoList"/>
    <w:uiPriority w:val="99"/>
    <w:pPr>
      <w:numPr>
        <w:numId w:val="1"/>
      </w:numPr>
    </w:pPr>
  </w:style>
  <w:style w:type="paragraph" w:customStyle="1" w:styleId="1NumberedPointsStyle">
    <w:name w:val="1. Numbered Points Style"/>
    <w:basedOn w:val="Normal"/>
    <w:uiPriority w:val="99"/>
    <w:semiHidden/>
  </w:style>
  <w:style w:type="numbering" w:customStyle="1" w:styleId="BulletList">
    <w:name w:val="Bullet List"/>
    <w:uiPriority w:val="99"/>
    <w:pPr>
      <w:numPr>
        <w:numId w:val="2"/>
      </w:numPr>
    </w:pPr>
  </w:style>
  <w:style w:type="paragraph" w:customStyle="1" w:styleId="1BulletStyleList">
    <w:name w:val="1. Bullet Style List"/>
    <w:basedOn w:val="Normal"/>
    <w:uiPriority w:val="99"/>
    <w:semiHidden/>
    <w:rPr>
      <w:rFonts w:eastAsia="Times New Roman"/>
      <w:szCs w:val="20"/>
      <w:lang w:eastAsia="en-AU"/>
    </w:rPr>
  </w:style>
  <w:style w:type="character" w:customStyle="1" w:styleId="Heading1Char">
    <w:name w:val="Heading 1 Char"/>
    <w:basedOn w:val="DefaultParagraphFont"/>
    <w:link w:val="Heading1"/>
    <w:uiPriority w:val="9"/>
    <w:rsid w:val="00DF2153"/>
    <w:rPr>
      <w:rFonts w:ascii="Verdana" w:hAnsi="Verdana"/>
      <w:b/>
      <w:color w:val="4C6968" w:themeColor="text1"/>
      <w:sz w:val="50"/>
      <w:szCs w:val="24"/>
      <w:lang w:eastAsia="en-US"/>
    </w:rPr>
  </w:style>
  <w:style w:type="character" w:customStyle="1" w:styleId="Heading2Char">
    <w:name w:val="Heading 2 Char"/>
    <w:basedOn w:val="DefaultParagraphFont"/>
    <w:link w:val="Heading2"/>
    <w:uiPriority w:val="9"/>
    <w:rsid w:val="003268F7"/>
    <w:rPr>
      <w:rFonts w:ascii="Verdana" w:hAnsi="Verdana"/>
      <w:b/>
      <w:color w:val="48555E" w:themeColor="text2"/>
      <w:sz w:val="32"/>
      <w:szCs w:val="20"/>
      <w:lang w:eastAsia="en-US"/>
    </w:rPr>
  </w:style>
  <w:style w:type="character" w:customStyle="1" w:styleId="Heading3Char">
    <w:name w:val="Heading 3 Char"/>
    <w:basedOn w:val="DefaultParagraphFont"/>
    <w:link w:val="Heading3"/>
    <w:uiPriority w:val="9"/>
    <w:rsid w:val="003268F7"/>
    <w:rPr>
      <w:rFonts w:ascii="Verdana" w:hAnsi="Verdana" w:cs="Arial"/>
      <w:b/>
      <w:color w:val="48555E" w:themeColor="text2"/>
      <w:sz w:val="26"/>
      <w:lang w:eastAsia="en-US"/>
    </w:rPr>
  </w:style>
  <w:style w:type="character" w:customStyle="1" w:styleId="Heading4Char">
    <w:name w:val="Heading 4 Char"/>
    <w:basedOn w:val="DefaultParagraphFont"/>
    <w:link w:val="Heading4"/>
    <w:uiPriority w:val="9"/>
    <w:rsid w:val="003268F7"/>
    <w:rPr>
      <w:rFonts w:ascii="Verdana" w:hAnsi="Verdana" w:cs="Arial"/>
      <w:lang w:eastAsia="en-US"/>
    </w:rPr>
  </w:style>
  <w:style w:type="paragraph" w:styleId="ListBullet">
    <w:name w:val="List Bullet"/>
    <w:basedOn w:val="Normal"/>
    <w:uiPriority w:val="99"/>
    <w:unhideWhenUsed/>
    <w:qFormat/>
    <w:rsid w:val="007C3F00"/>
    <w:pPr>
      <w:numPr>
        <w:numId w:val="4"/>
      </w:numPr>
      <w:spacing w:after="120"/>
    </w:pPr>
  </w:style>
  <w:style w:type="paragraph" w:styleId="ListBullet2">
    <w:name w:val="List Bullet 2"/>
    <w:basedOn w:val="Normal"/>
    <w:uiPriority w:val="99"/>
    <w:unhideWhenUsed/>
    <w:pPr>
      <w:numPr>
        <w:ilvl w:val="1"/>
        <w:numId w:val="4"/>
      </w:numPr>
    </w:pPr>
  </w:style>
  <w:style w:type="numbering" w:customStyle="1" w:styleId="Attach">
    <w:name w:val="Attach"/>
    <w:basedOn w:val="NoList"/>
    <w:uiPriority w:val="99"/>
    <w:pPr>
      <w:numPr>
        <w:numId w:val="3"/>
      </w:numPr>
    </w:pPr>
  </w:style>
  <w:style w:type="character" w:customStyle="1" w:styleId="Heading5Char">
    <w:name w:val="Heading 5 Char"/>
    <w:basedOn w:val="DefaultParagraphFont"/>
    <w:link w:val="Heading5"/>
    <w:uiPriority w:val="9"/>
    <w:rsid w:val="008015ED"/>
    <w:rPr>
      <w:rFonts w:ascii="Verdana" w:eastAsiaTheme="majorEastAsia" w:hAnsi="Verdana" w:cstheme="majorBidi"/>
      <w:i/>
      <w:color w:val="4C6968" w:themeColor="text1"/>
      <w:sz w:val="20"/>
      <w:lang w:eastAsia="en-US"/>
    </w:rPr>
  </w:style>
  <w:style w:type="paragraph" w:styleId="ListNumber">
    <w:name w:val="List Number"/>
    <w:basedOn w:val="Normal"/>
    <w:uiPriority w:val="99"/>
    <w:qFormat/>
    <w:pPr>
      <w:numPr>
        <w:numId w:val="5"/>
      </w:numPr>
      <w:spacing w:before="120" w:after="120"/>
    </w:pPr>
  </w:style>
  <w:style w:type="paragraph" w:styleId="ListNumber2">
    <w:name w:val="List Number 2"/>
    <w:basedOn w:val="Normal"/>
    <w:uiPriority w:val="99"/>
    <w:rsid w:val="00FE0C2F"/>
    <w:pPr>
      <w:numPr>
        <w:ilvl w:val="1"/>
        <w:numId w:val="5"/>
      </w:numPr>
      <w:spacing w:after="120"/>
    </w:pPr>
    <w:rPr>
      <w:rFonts w:cs="Segoe UI"/>
    </w:rPr>
  </w:style>
  <w:style w:type="paragraph" w:styleId="ListNumber3">
    <w:name w:val="List Number 3"/>
    <w:basedOn w:val="Normal"/>
    <w:uiPriority w:val="99"/>
    <w:rsid w:val="00FE0C2F"/>
    <w:pPr>
      <w:numPr>
        <w:ilvl w:val="2"/>
        <w:numId w:val="5"/>
      </w:numPr>
      <w:spacing w:after="120"/>
      <w:ind w:left="1106"/>
    </w:pPr>
    <w:rPr>
      <w:rFonts w:cs="Segoe UI"/>
    </w:rPr>
  </w:style>
  <w:style w:type="paragraph" w:styleId="Header">
    <w:name w:val="header"/>
    <w:basedOn w:val="Normal"/>
    <w:link w:val="HeaderChar"/>
    <w:uiPriority w:val="99"/>
    <w:unhideWhenUsed/>
    <w:rsid w:val="004E09A7"/>
    <w:pPr>
      <w:tabs>
        <w:tab w:val="center" w:pos="4513"/>
        <w:tab w:val="right" w:pos="9026"/>
      </w:tabs>
      <w:spacing w:after="0"/>
    </w:pPr>
  </w:style>
  <w:style w:type="character" w:customStyle="1" w:styleId="HeaderChar">
    <w:name w:val="Header Char"/>
    <w:basedOn w:val="DefaultParagraphFont"/>
    <w:link w:val="Header"/>
    <w:uiPriority w:val="99"/>
    <w:rsid w:val="004E09A7"/>
    <w:rPr>
      <w:rFonts w:ascii="Verdana" w:hAnsi="Verdana"/>
      <w:sz w:val="20"/>
      <w:lang w:eastAsia="en-US"/>
    </w:rPr>
  </w:style>
  <w:style w:type="table" w:styleId="TableGrid">
    <w:name w:val="Table Grid"/>
    <w:basedOn w:val="TableNormal"/>
    <w:uiPriority w:val="59"/>
    <w:tblPr>
      <w:tblBorders>
        <w:top w:val="single" w:sz="4" w:space="0" w:color="4C6968" w:themeColor="text1"/>
        <w:left w:val="single" w:sz="4" w:space="0" w:color="4C6968" w:themeColor="text1"/>
        <w:bottom w:val="single" w:sz="4" w:space="0" w:color="4C6968" w:themeColor="text1"/>
        <w:right w:val="single" w:sz="4" w:space="0" w:color="4C6968" w:themeColor="text1"/>
        <w:insideH w:val="single" w:sz="4" w:space="0" w:color="4C6968" w:themeColor="text1"/>
        <w:insideV w:val="single" w:sz="4" w:space="0" w:color="4C6968" w:themeColor="text1"/>
      </w:tblBorders>
    </w:tblPr>
  </w:style>
  <w:style w:type="paragraph" w:styleId="Title">
    <w:name w:val="Title"/>
    <w:basedOn w:val="Normal"/>
    <w:next w:val="Normal"/>
    <w:link w:val="TitleChar"/>
    <w:uiPriority w:val="10"/>
    <w:qFormat/>
    <w:rsid w:val="00473F5B"/>
    <w:pPr>
      <w:spacing w:after="0"/>
      <w:contextualSpacing/>
    </w:pPr>
    <w:rPr>
      <w:rFonts w:eastAsiaTheme="majorEastAsia" w:cstheme="majorBidi"/>
      <w:b/>
      <w:color w:val="FFFFFF"/>
      <w:spacing w:val="-10"/>
      <w:kern w:val="28"/>
      <w:sz w:val="70"/>
      <w:szCs w:val="56"/>
    </w:rPr>
  </w:style>
  <w:style w:type="character" w:customStyle="1" w:styleId="TitleChar">
    <w:name w:val="Title Char"/>
    <w:basedOn w:val="DefaultParagraphFont"/>
    <w:link w:val="Title"/>
    <w:uiPriority w:val="10"/>
    <w:rsid w:val="00473F5B"/>
    <w:rPr>
      <w:rFonts w:ascii="Verdana" w:eastAsiaTheme="majorEastAsia" w:hAnsi="Verdana" w:cstheme="majorBidi"/>
      <w:b/>
      <w:color w:val="FFFFFF"/>
      <w:spacing w:val="-10"/>
      <w:kern w:val="28"/>
      <w:sz w:val="70"/>
      <w:szCs w:val="56"/>
      <w:lang w:eastAsia="en-US"/>
    </w:rPr>
  </w:style>
  <w:style w:type="character" w:styleId="CommentReference">
    <w:name w:val="annotation reference"/>
    <w:basedOn w:val="DefaultParagraphFont"/>
    <w:uiPriority w:val="99"/>
    <w:semiHidden/>
    <w:unhideWhenUsed/>
    <w:rPr>
      <w:sz w:val="16"/>
      <w:szCs w:val="16"/>
    </w:rPr>
  </w:style>
  <w:style w:type="table" w:styleId="PlainTable1">
    <w:name w:val="Plain Table 1"/>
    <w:basedOn w:val="TableNormal"/>
    <w:uiPriority w:val="41"/>
    <w:rsid w:val="007C3F00"/>
    <w:tblPr>
      <w:tblStyleRowBandSize w:val="1"/>
      <w:tblStyleColBandSize w:val="1"/>
      <w:tblBorders>
        <w:top w:val="single" w:sz="4" w:space="0" w:color="72ADC4" w:themeColor="background1" w:themeShade="BF"/>
        <w:left w:val="single" w:sz="4" w:space="0" w:color="72ADC4" w:themeColor="background1" w:themeShade="BF"/>
        <w:bottom w:val="single" w:sz="4" w:space="0" w:color="72ADC4" w:themeColor="background1" w:themeShade="BF"/>
        <w:right w:val="single" w:sz="4" w:space="0" w:color="72ADC4" w:themeColor="background1" w:themeShade="BF"/>
        <w:insideH w:val="single" w:sz="4" w:space="0" w:color="72ADC4" w:themeColor="background1" w:themeShade="BF"/>
        <w:insideV w:val="single" w:sz="4" w:space="0" w:color="72ADC4" w:themeColor="background1" w:themeShade="BF"/>
      </w:tblBorders>
    </w:tblPr>
    <w:tblStylePr w:type="firstRow">
      <w:rPr>
        <w:b/>
        <w:bCs/>
      </w:rPr>
    </w:tblStylePr>
    <w:tblStylePr w:type="lastRow">
      <w:rPr>
        <w:b/>
        <w:bCs/>
      </w:rPr>
      <w:tblPr/>
      <w:tcPr>
        <w:tcBorders>
          <w:top w:val="double" w:sz="4" w:space="0" w:color="72ADC4" w:themeColor="background1" w:themeShade="BF"/>
        </w:tcBorders>
      </w:tcPr>
    </w:tblStylePr>
    <w:tblStylePr w:type="firstCol">
      <w:rPr>
        <w:b/>
        <w:bCs/>
      </w:rPr>
    </w:tblStylePr>
    <w:tblStylePr w:type="lastCol">
      <w:rPr>
        <w:b/>
        <w:bCs/>
      </w:rPr>
    </w:tblStylePr>
    <w:tblStylePr w:type="band1Vert">
      <w:tblPr/>
      <w:tcPr>
        <w:shd w:val="clear" w:color="auto" w:fill="ACCFDC" w:themeFill="background1" w:themeFillShade="F2"/>
      </w:tcPr>
    </w:tblStylePr>
    <w:tblStylePr w:type="band1Horz">
      <w:tblPr/>
      <w:tcPr>
        <w:shd w:val="clear" w:color="auto" w:fill="ACCFDC" w:themeFill="background1" w:themeFillShade="F2"/>
      </w:tcPr>
    </w:tblStylePr>
  </w:style>
  <w:style w:type="paragraph" w:customStyle="1" w:styleId="TableHeader">
    <w:name w:val="Table Header"/>
    <w:basedOn w:val="Normal"/>
    <w:qFormat/>
    <w:rsid w:val="003268F7"/>
    <w:pPr>
      <w:spacing w:before="120" w:after="120"/>
    </w:pPr>
    <w:rPr>
      <w:b/>
      <w:color w:val="FFFFFF"/>
    </w:rPr>
  </w:style>
  <w:style w:type="paragraph" w:styleId="CommentSubject">
    <w:name w:val="annotation subject"/>
    <w:basedOn w:val="Normal"/>
    <w:next w:val="Normal"/>
    <w:link w:val="CommentSubjectChar"/>
    <w:uiPriority w:val="99"/>
    <w:semiHidden/>
    <w:unhideWhenUsed/>
    <w:rsid w:val="00CA62BF"/>
    <w:rPr>
      <w:b/>
      <w:bCs/>
      <w:szCs w:val="20"/>
    </w:rPr>
  </w:style>
  <w:style w:type="character" w:customStyle="1" w:styleId="CommentSubjectChar">
    <w:name w:val="Comment Subject Char"/>
    <w:basedOn w:val="DefaultParagraphFont"/>
    <w:link w:val="CommentSubject"/>
    <w:uiPriority w:val="99"/>
    <w:semiHidden/>
    <w:rsid w:val="00CA62BF"/>
    <w:rPr>
      <w:rFonts w:ascii="Calibri" w:hAnsi="Calibri"/>
      <w:b/>
      <w:bCs/>
      <w:sz w:val="20"/>
      <w:szCs w:val="20"/>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szCs w:val="24"/>
      <w:lang w:eastAsia="en-AU"/>
    </w:rPr>
  </w:style>
  <w:style w:type="paragraph" w:customStyle="1" w:styleId="TableText">
    <w:name w:val="Table Text"/>
    <w:basedOn w:val="Normal"/>
    <w:qFormat/>
    <w:rsid w:val="003268F7"/>
    <w:pPr>
      <w:spacing w:before="120" w:after="120"/>
    </w:pPr>
  </w:style>
  <w:style w:type="character" w:styleId="PlaceholderText">
    <w:name w:val="Placeholder Text"/>
    <w:basedOn w:val="DefaultParagraphFont"/>
    <w:uiPriority w:val="99"/>
    <w:semiHidden/>
    <w:rPr>
      <w:color w:val="808080"/>
    </w:rPr>
  </w:style>
  <w:style w:type="character" w:styleId="Hyperlink">
    <w:name w:val="Hyperlink"/>
    <w:basedOn w:val="DefaultParagraphFont"/>
    <w:uiPriority w:val="99"/>
    <w:unhideWhenUsed/>
    <w:rPr>
      <w:color w:val="48545E" w:themeColor="hyperlink"/>
      <w:u w:val="single"/>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sid w:val="00AA7CB2"/>
    <w:rPr>
      <w:color w:val="FFFFFF" w:themeColor="followedHyperlink"/>
      <w:u w:val="single"/>
    </w:rPr>
  </w:style>
  <w:style w:type="character" w:styleId="UnresolvedMention">
    <w:name w:val="Unresolved Mention"/>
    <w:basedOn w:val="DefaultParagraphFont"/>
    <w:uiPriority w:val="99"/>
    <w:semiHidden/>
    <w:unhideWhenUsed/>
    <w:rsid w:val="00AA7CB2"/>
    <w:rPr>
      <w:color w:val="605E5C"/>
      <w:shd w:val="clear" w:color="auto" w:fill="E1DFDD"/>
    </w:rPr>
  </w:style>
  <w:style w:type="paragraph" w:customStyle="1" w:styleId="TableHeading">
    <w:name w:val="Table Heading"/>
    <w:basedOn w:val="Normal"/>
    <w:qFormat/>
    <w:rsid w:val="003268F7"/>
    <w:pPr>
      <w:spacing w:before="240" w:after="120"/>
    </w:pPr>
    <w:rPr>
      <w:color w:val="4C6968" w:themeColor="text1"/>
    </w:rPr>
  </w:style>
  <w:style w:type="table" w:styleId="TableGridLight">
    <w:name w:val="Grid Table Light"/>
    <w:basedOn w:val="TableNormal"/>
    <w:uiPriority w:val="40"/>
    <w:rsid w:val="003268F7"/>
    <w:rPr>
      <w:rFonts w:ascii="Verdana" w:hAnsi="Verdana"/>
      <w:sz w:val="20"/>
    </w:rPr>
    <w:tblPr>
      <w:tblBorders>
        <w:top w:val="single" w:sz="4" w:space="0" w:color="48555E" w:themeColor="text2"/>
        <w:bottom w:val="single" w:sz="4" w:space="0" w:color="48555E" w:themeColor="text2"/>
        <w:insideH w:val="single" w:sz="4" w:space="0" w:color="48555E" w:themeColor="text2"/>
      </w:tblBorders>
    </w:tblPr>
    <w:tblStylePr w:type="firstRow">
      <w:tblPr/>
      <w:tcPr>
        <w:shd w:val="clear" w:color="auto" w:fill="4C6968" w:themeFill="text1"/>
      </w:tcPr>
    </w:tblStylePr>
  </w:style>
  <w:style w:type="paragraph" w:styleId="Subtitle">
    <w:name w:val="Subtitle"/>
    <w:basedOn w:val="Normal"/>
    <w:next w:val="Normal"/>
    <w:link w:val="SubtitleChar"/>
    <w:uiPriority w:val="11"/>
    <w:unhideWhenUsed/>
    <w:qFormat/>
    <w:rsid w:val="00E56ACF"/>
    <w:pPr>
      <w:numPr>
        <w:ilvl w:val="1"/>
      </w:numPr>
      <w:spacing w:before="360" w:after="160"/>
    </w:pPr>
    <w:rPr>
      <w:rFonts w:eastAsiaTheme="minorEastAsia" w:cstheme="minorBidi"/>
      <w:color w:val="FFFFFF"/>
      <w:spacing w:val="15"/>
      <w:sz w:val="30"/>
    </w:rPr>
  </w:style>
  <w:style w:type="character" w:customStyle="1" w:styleId="SubtitleChar">
    <w:name w:val="Subtitle Char"/>
    <w:basedOn w:val="DefaultParagraphFont"/>
    <w:link w:val="Subtitle"/>
    <w:uiPriority w:val="11"/>
    <w:rsid w:val="00E56ACF"/>
    <w:rPr>
      <w:rFonts w:ascii="Verdana" w:eastAsiaTheme="minorEastAsia" w:hAnsi="Verdana" w:cstheme="minorBidi"/>
      <w:color w:val="FFFFFF"/>
      <w:spacing w:val="15"/>
      <w:sz w:val="30"/>
      <w:lang w:eastAsia="en-US"/>
    </w:rPr>
  </w:style>
  <w:style w:type="paragraph" w:customStyle="1" w:styleId="Author">
    <w:name w:val="Author"/>
    <w:basedOn w:val="Normal"/>
    <w:qFormat/>
    <w:rsid w:val="00E56ACF"/>
    <w:pPr>
      <w:spacing w:before="600" w:after="120"/>
    </w:pPr>
    <w:rPr>
      <w:color w:val="FFFFFF"/>
    </w:rPr>
  </w:style>
  <w:style w:type="paragraph" w:customStyle="1" w:styleId="IntroductionParagraph">
    <w:name w:val="Introduction Paragraph"/>
    <w:basedOn w:val="Normal"/>
    <w:qFormat/>
    <w:rsid w:val="002C07A5"/>
    <w:pPr>
      <w:spacing w:after="360"/>
    </w:pPr>
    <w:rPr>
      <w:b/>
      <w:color w:val="FFFFFF"/>
      <w:sz w:val="28"/>
    </w:rPr>
  </w:style>
  <w:style w:type="paragraph" w:customStyle="1" w:styleId="NormalWhite">
    <w:name w:val="Normal White"/>
    <w:basedOn w:val="Normal"/>
    <w:qFormat/>
    <w:rsid w:val="002C07A5"/>
    <w:rPr>
      <w:color w:val="FFFFFF"/>
    </w:rPr>
  </w:style>
  <w:style w:type="paragraph" w:customStyle="1" w:styleId="FigureHeading">
    <w:name w:val="Figure Heading"/>
    <w:basedOn w:val="TableHeading"/>
    <w:qFormat/>
    <w:rsid w:val="00142E0B"/>
  </w:style>
  <w:style w:type="paragraph" w:styleId="TOC2">
    <w:name w:val="toc 2"/>
    <w:basedOn w:val="Normal"/>
    <w:next w:val="Normal"/>
    <w:autoRedefine/>
    <w:uiPriority w:val="39"/>
    <w:unhideWhenUsed/>
    <w:rsid w:val="0066217F"/>
    <w:pPr>
      <w:tabs>
        <w:tab w:val="right" w:leader="dot" w:pos="9628"/>
      </w:tabs>
      <w:spacing w:after="100"/>
      <w:ind w:left="200"/>
    </w:pPr>
    <w:rPr>
      <w:noProof/>
    </w:rPr>
  </w:style>
  <w:style w:type="paragraph" w:styleId="TOC1">
    <w:name w:val="toc 1"/>
    <w:basedOn w:val="Normal"/>
    <w:next w:val="Normal"/>
    <w:autoRedefine/>
    <w:uiPriority w:val="39"/>
    <w:unhideWhenUsed/>
    <w:rsid w:val="001C0F11"/>
    <w:pPr>
      <w:tabs>
        <w:tab w:val="right" w:leader="dot" w:pos="9628"/>
      </w:tabs>
      <w:spacing w:before="240" w:after="100"/>
    </w:pPr>
    <w:rPr>
      <w:b/>
      <w:noProof/>
      <w:color w:val="48555E" w:themeColor="text2"/>
      <w:sz w:val="24"/>
    </w:rPr>
  </w:style>
  <w:style w:type="paragraph" w:styleId="TOC3">
    <w:name w:val="toc 3"/>
    <w:basedOn w:val="Normal"/>
    <w:next w:val="Normal"/>
    <w:autoRedefine/>
    <w:uiPriority w:val="39"/>
    <w:unhideWhenUsed/>
    <w:rsid w:val="0066217F"/>
    <w:pPr>
      <w:tabs>
        <w:tab w:val="right" w:leader="dot" w:pos="9628"/>
      </w:tabs>
      <w:spacing w:after="100"/>
      <w:ind w:left="400"/>
    </w:pPr>
    <w:rPr>
      <w:noProof/>
    </w:rPr>
  </w:style>
  <w:style w:type="paragraph" w:customStyle="1" w:styleId="AppendicesHeading1">
    <w:name w:val="Appendices Heading 1"/>
    <w:basedOn w:val="Heading1"/>
    <w:qFormat/>
    <w:rsid w:val="007935B6"/>
  </w:style>
  <w:style w:type="paragraph" w:customStyle="1" w:styleId="AppendicesHeading2">
    <w:name w:val="Appendices Heading 2"/>
    <w:basedOn w:val="Heading2"/>
    <w:qFormat/>
    <w:rsid w:val="007935B6"/>
  </w:style>
  <w:style w:type="paragraph" w:customStyle="1" w:styleId="AppendicesHeading3">
    <w:name w:val="Appendices Heading 3"/>
    <w:basedOn w:val="Heading3"/>
    <w:qFormat/>
    <w:rsid w:val="007935B6"/>
  </w:style>
  <w:style w:type="paragraph" w:customStyle="1" w:styleId="AppendicesHeading4">
    <w:name w:val="Appendices Heading 4"/>
    <w:basedOn w:val="Heading4"/>
    <w:qFormat/>
    <w:rsid w:val="007935B6"/>
  </w:style>
  <w:style w:type="paragraph" w:customStyle="1" w:styleId="AppendicesHeading5">
    <w:name w:val="Appendices Heading 5"/>
    <w:basedOn w:val="Heading5"/>
    <w:qFormat/>
    <w:rsid w:val="007935B6"/>
  </w:style>
  <w:style w:type="paragraph" w:customStyle="1" w:styleId="Instructions">
    <w:name w:val="Instructions"/>
    <w:basedOn w:val="Normal"/>
    <w:qFormat/>
    <w:rsid w:val="001C0F11"/>
    <w:pPr>
      <w:pBdr>
        <w:top w:val="single" w:sz="4" w:space="1" w:color="BCD8E3" w:themeColor="background1"/>
        <w:left w:val="single" w:sz="4" w:space="4" w:color="BCD8E3" w:themeColor="background1"/>
        <w:bottom w:val="single" w:sz="4" w:space="1" w:color="BCD8E3" w:themeColor="background1"/>
        <w:right w:val="single" w:sz="4" w:space="4" w:color="BCD8E3" w:themeColor="background1"/>
      </w:pBdr>
      <w:shd w:val="clear" w:color="auto" w:fill="BCD8E3" w:themeFill="background1"/>
      <w:ind w:left="113" w:right="113"/>
    </w:pPr>
  </w:style>
  <w:style w:type="character" w:styleId="Emphasis">
    <w:name w:val="Emphasis"/>
    <w:basedOn w:val="DefaultParagraphFont"/>
    <w:uiPriority w:val="20"/>
    <w:qFormat/>
    <w:rsid w:val="00C118DE"/>
    <w:rPr>
      <w:i/>
      <w:iCs/>
    </w:rPr>
  </w:style>
  <w:style w:type="paragraph" w:styleId="CommentText">
    <w:name w:val="annotation text"/>
    <w:basedOn w:val="Normal"/>
    <w:link w:val="CommentTextChar"/>
    <w:uiPriority w:val="99"/>
    <w:unhideWhenUsed/>
    <w:rsid w:val="00C118DE"/>
    <w:pPr>
      <w:suppressAutoHyphens/>
      <w:spacing w:before="60" w:after="60"/>
    </w:pPr>
    <w:rPr>
      <w:rFonts w:ascii="Arial" w:eastAsiaTheme="minorEastAsia" w:hAnsi="Arial" w:cstheme="minorBidi"/>
      <w:szCs w:val="20"/>
      <w:lang w:eastAsia="en-GB"/>
    </w:rPr>
  </w:style>
  <w:style w:type="character" w:customStyle="1" w:styleId="CommentTextChar">
    <w:name w:val="Comment Text Char"/>
    <w:basedOn w:val="DefaultParagraphFont"/>
    <w:link w:val="CommentText"/>
    <w:uiPriority w:val="99"/>
    <w:rsid w:val="00C118DE"/>
    <w:rPr>
      <w:rFonts w:eastAsiaTheme="minorEastAsia" w:cstheme="minorBidi"/>
      <w:sz w:val="20"/>
      <w:szCs w:val="20"/>
      <w:lang w:eastAsia="en-GB"/>
    </w:rPr>
  </w:style>
  <w:style w:type="paragraph" w:styleId="ListParagraph">
    <w:name w:val="List Paragraph"/>
    <w:basedOn w:val="Normal"/>
    <w:uiPriority w:val="34"/>
    <w:rsid w:val="000D1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7942">
      <w:bodyDiv w:val="1"/>
      <w:marLeft w:val="0"/>
      <w:marRight w:val="0"/>
      <w:marTop w:val="0"/>
      <w:marBottom w:val="0"/>
      <w:divBdr>
        <w:top w:val="none" w:sz="0" w:space="0" w:color="auto"/>
        <w:left w:val="none" w:sz="0" w:space="0" w:color="auto"/>
        <w:bottom w:val="none" w:sz="0" w:space="0" w:color="auto"/>
        <w:right w:val="none" w:sz="0" w:space="0" w:color="auto"/>
      </w:divBdr>
    </w:div>
    <w:div w:id="72288983">
      <w:bodyDiv w:val="1"/>
      <w:marLeft w:val="0"/>
      <w:marRight w:val="0"/>
      <w:marTop w:val="0"/>
      <w:marBottom w:val="0"/>
      <w:divBdr>
        <w:top w:val="none" w:sz="0" w:space="0" w:color="auto"/>
        <w:left w:val="none" w:sz="0" w:space="0" w:color="auto"/>
        <w:bottom w:val="none" w:sz="0" w:space="0" w:color="auto"/>
        <w:right w:val="none" w:sz="0" w:space="0" w:color="auto"/>
      </w:divBdr>
    </w:div>
    <w:div w:id="188183857">
      <w:bodyDiv w:val="1"/>
      <w:marLeft w:val="0"/>
      <w:marRight w:val="0"/>
      <w:marTop w:val="0"/>
      <w:marBottom w:val="0"/>
      <w:divBdr>
        <w:top w:val="none" w:sz="0" w:space="0" w:color="auto"/>
        <w:left w:val="none" w:sz="0" w:space="0" w:color="auto"/>
        <w:bottom w:val="none" w:sz="0" w:space="0" w:color="auto"/>
        <w:right w:val="none" w:sz="0" w:space="0" w:color="auto"/>
      </w:divBdr>
    </w:div>
    <w:div w:id="210003767">
      <w:bodyDiv w:val="1"/>
      <w:marLeft w:val="0"/>
      <w:marRight w:val="0"/>
      <w:marTop w:val="0"/>
      <w:marBottom w:val="0"/>
      <w:divBdr>
        <w:top w:val="none" w:sz="0" w:space="0" w:color="auto"/>
        <w:left w:val="none" w:sz="0" w:space="0" w:color="auto"/>
        <w:bottom w:val="none" w:sz="0" w:space="0" w:color="auto"/>
        <w:right w:val="none" w:sz="0" w:space="0" w:color="auto"/>
      </w:divBdr>
      <w:divsChild>
        <w:div w:id="144397795">
          <w:marLeft w:val="0"/>
          <w:marRight w:val="0"/>
          <w:marTop w:val="0"/>
          <w:marBottom w:val="0"/>
          <w:divBdr>
            <w:top w:val="none" w:sz="0" w:space="0" w:color="auto"/>
            <w:left w:val="none" w:sz="0" w:space="0" w:color="auto"/>
            <w:bottom w:val="none" w:sz="0" w:space="0" w:color="auto"/>
            <w:right w:val="none" w:sz="0" w:space="0" w:color="auto"/>
          </w:divBdr>
          <w:divsChild>
            <w:div w:id="1157264909">
              <w:marLeft w:val="0"/>
              <w:marRight w:val="0"/>
              <w:marTop w:val="0"/>
              <w:marBottom w:val="0"/>
              <w:divBdr>
                <w:top w:val="single" w:sz="6" w:space="0" w:color="666666"/>
                <w:left w:val="single" w:sz="6" w:space="0" w:color="666666"/>
                <w:bottom w:val="single" w:sz="48" w:space="0" w:color="000000"/>
                <w:right w:val="single" w:sz="6" w:space="0" w:color="666666"/>
              </w:divBdr>
              <w:divsChild>
                <w:div w:id="562184448">
                  <w:marLeft w:val="0"/>
                  <w:marRight w:val="0"/>
                  <w:marTop w:val="0"/>
                  <w:marBottom w:val="0"/>
                  <w:divBdr>
                    <w:top w:val="none" w:sz="0" w:space="0" w:color="auto"/>
                    <w:left w:val="none" w:sz="0" w:space="0" w:color="auto"/>
                    <w:bottom w:val="none" w:sz="0" w:space="0" w:color="auto"/>
                    <w:right w:val="none" w:sz="0" w:space="0" w:color="auto"/>
                  </w:divBdr>
                  <w:divsChild>
                    <w:div w:id="629476871">
                      <w:marLeft w:val="150"/>
                      <w:marRight w:val="0"/>
                      <w:marTop w:val="150"/>
                      <w:marBottom w:val="0"/>
                      <w:divBdr>
                        <w:top w:val="none" w:sz="0" w:space="0" w:color="auto"/>
                        <w:left w:val="none" w:sz="0" w:space="0" w:color="auto"/>
                        <w:bottom w:val="none" w:sz="0" w:space="0" w:color="auto"/>
                        <w:right w:val="none" w:sz="0" w:space="0" w:color="auto"/>
                      </w:divBdr>
                      <w:divsChild>
                        <w:div w:id="805513206">
                          <w:marLeft w:val="0"/>
                          <w:marRight w:val="0"/>
                          <w:marTop w:val="0"/>
                          <w:marBottom w:val="0"/>
                          <w:divBdr>
                            <w:top w:val="none" w:sz="0" w:space="0" w:color="auto"/>
                            <w:left w:val="none" w:sz="0" w:space="0" w:color="auto"/>
                            <w:bottom w:val="none" w:sz="0" w:space="0" w:color="auto"/>
                            <w:right w:val="none" w:sz="0" w:space="0" w:color="auto"/>
                          </w:divBdr>
                          <w:divsChild>
                            <w:div w:id="1205947322">
                              <w:marLeft w:val="0"/>
                              <w:marRight w:val="0"/>
                              <w:marTop w:val="0"/>
                              <w:marBottom w:val="0"/>
                              <w:divBdr>
                                <w:top w:val="none" w:sz="0" w:space="0" w:color="auto"/>
                                <w:left w:val="none" w:sz="0" w:space="0" w:color="auto"/>
                                <w:bottom w:val="none" w:sz="0" w:space="0" w:color="auto"/>
                                <w:right w:val="none" w:sz="0" w:space="0" w:color="auto"/>
                              </w:divBdr>
                              <w:divsChild>
                                <w:div w:id="1520924222">
                                  <w:marLeft w:val="0"/>
                                  <w:marRight w:val="0"/>
                                  <w:marTop w:val="0"/>
                                  <w:marBottom w:val="0"/>
                                  <w:divBdr>
                                    <w:top w:val="none" w:sz="0" w:space="0" w:color="auto"/>
                                    <w:left w:val="none" w:sz="0" w:space="0" w:color="auto"/>
                                    <w:bottom w:val="none" w:sz="0" w:space="0" w:color="auto"/>
                                    <w:right w:val="none" w:sz="0" w:space="0" w:color="auto"/>
                                  </w:divBdr>
                                  <w:divsChild>
                                    <w:div w:id="1266616800">
                                      <w:marLeft w:val="0"/>
                                      <w:marRight w:val="0"/>
                                      <w:marTop w:val="0"/>
                                      <w:marBottom w:val="0"/>
                                      <w:divBdr>
                                        <w:top w:val="none" w:sz="0" w:space="0" w:color="auto"/>
                                        <w:left w:val="none" w:sz="0" w:space="0" w:color="auto"/>
                                        <w:bottom w:val="none" w:sz="0" w:space="0" w:color="auto"/>
                                        <w:right w:val="none" w:sz="0" w:space="0" w:color="auto"/>
                                      </w:divBdr>
                                      <w:divsChild>
                                        <w:div w:id="327951791">
                                          <w:marLeft w:val="0"/>
                                          <w:marRight w:val="0"/>
                                          <w:marTop w:val="0"/>
                                          <w:marBottom w:val="0"/>
                                          <w:divBdr>
                                            <w:top w:val="none" w:sz="0" w:space="0" w:color="auto"/>
                                            <w:left w:val="none" w:sz="0" w:space="0" w:color="auto"/>
                                            <w:bottom w:val="none" w:sz="0" w:space="0" w:color="auto"/>
                                            <w:right w:val="none" w:sz="0" w:space="0" w:color="auto"/>
                                          </w:divBdr>
                                          <w:divsChild>
                                            <w:div w:id="2080905658">
                                              <w:marLeft w:val="0"/>
                                              <w:marRight w:val="0"/>
                                              <w:marTop w:val="0"/>
                                              <w:marBottom w:val="0"/>
                                              <w:divBdr>
                                                <w:top w:val="none" w:sz="0" w:space="0" w:color="auto"/>
                                                <w:left w:val="none" w:sz="0" w:space="0" w:color="auto"/>
                                                <w:bottom w:val="none" w:sz="0" w:space="0" w:color="auto"/>
                                                <w:right w:val="none" w:sz="0" w:space="0" w:color="auto"/>
                                              </w:divBdr>
                                              <w:divsChild>
                                                <w:div w:id="20988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237326">
      <w:bodyDiv w:val="1"/>
      <w:marLeft w:val="0"/>
      <w:marRight w:val="0"/>
      <w:marTop w:val="0"/>
      <w:marBottom w:val="0"/>
      <w:divBdr>
        <w:top w:val="none" w:sz="0" w:space="0" w:color="auto"/>
        <w:left w:val="none" w:sz="0" w:space="0" w:color="auto"/>
        <w:bottom w:val="none" w:sz="0" w:space="0" w:color="auto"/>
        <w:right w:val="none" w:sz="0" w:space="0" w:color="auto"/>
      </w:divBdr>
    </w:div>
    <w:div w:id="330452024">
      <w:bodyDiv w:val="1"/>
      <w:marLeft w:val="0"/>
      <w:marRight w:val="0"/>
      <w:marTop w:val="0"/>
      <w:marBottom w:val="0"/>
      <w:divBdr>
        <w:top w:val="none" w:sz="0" w:space="0" w:color="auto"/>
        <w:left w:val="none" w:sz="0" w:space="0" w:color="auto"/>
        <w:bottom w:val="none" w:sz="0" w:space="0" w:color="auto"/>
        <w:right w:val="none" w:sz="0" w:space="0" w:color="auto"/>
      </w:divBdr>
    </w:div>
    <w:div w:id="361784963">
      <w:bodyDiv w:val="1"/>
      <w:marLeft w:val="0"/>
      <w:marRight w:val="0"/>
      <w:marTop w:val="0"/>
      <w:marBottom w:val="0"/>
      <w:divBdr>
        <w:top w:val="none" w:sz="0" w:space="0" w:color="auto"/>
        <w:left w:val="none" w:sz="0" w:space="0" w:color="auto"/>
        <w:bottom w:val="none" w:sz="0" w:space="0" w:color="auto"/>
        <w:right w:val="none" w:sz="0" w:space="0" w:color="auto"/>
      </w:divBdr>
    </w:div>
    <w:div w:id="413429802">
      <w:bodyDiv w:val="1"/>
      <w:marLeft w:val="0"/>
      <w:marRight w:val="0"/>
      <w:marTop w:val="0"/>
      <w:marBottom w:val="0"/>
      <w:divBdr>
        <w:top w:val="none" w:sz="0" w:space="0" w:color="auto"/>
        <w:left w:val="none" w:sz="0" w:space="0" w:color="auto"/>
        <w:bottom w:val="none" w:sz="0" w:space="0" w:color="auto"/>
        <w:right w:val="none" w:sz="0" w:space="0" w:color="auto"/>
      </w:divBdr>
    </w:div>
    <w:div w:id="418991335">
      <w:bodyDiv w:val="1"/>
      <w:marLeft w:val="0"/>
      <w:marRight w:val="0"/>
      <w:marTop w:val="0"/>
      <w:marBottom w:val="0"/>
      <w:divBdr>
        <w:top w:val="none" w:sz="0" w:space="0" w:color="auto"/>
        <w:left w:val="none" w:sz="0" w:space="0" w:color="auto"/>
        <w:bottom w:val="none" w:sz="0" w:space="0" w:color="auto"/>
        <w:right w:val="none" w:sz="0" w:space="0" w:color="auto"/>
      </w:divBdr>
    </w:div>
    <w:div w:id="472018850">
      <w:bodyDiv w:val="1"/>
      <w:marLeft w:val="0"/>
      <w:marRight w:val="0"/>
      <w:marTop w:val="0"/>
      <w:marBottom w:val="0"/>
      <w:divBdr>
        <w:top w:val="none" w:sz="0" w:space="0" w:color="auto"/>
        <w:left w:val="none" w:sz="0" w:space="0" w:color="auto"/>
        <w:bottom w:val="none" w:sz="0" w:space="0" w:color="auto"/>
        <w:right w:val="none" w:sz="0" w:space="0" w:color="auto"/>
      </w:divBdr>
    </w:div>
    <w:div w:id="532233240">
      <w:bodyDiv w:val="1"/>
      <w:marLeft w:val="0"/>
      <w:marRight w:val="0"/>
      <w:marTop w:val="0"/>
      <w:marBottom w:val="0"/>
      <w:divBdr>
        <w:top w:val="none" w:sz="0" w:space="0" w:color="auto"/>
        <w:left w:val="none" w:sz="0" w:space="0" w:color="auto"/>
        <w:bottom w:val="none" w:sz="0" w:space="0" w:color="auto"/>
        <w:right w:val="none" w:sz="0" w:space="0" w:color="auto"/>
      </w:divBdr>
      <w:divsChild>
        <w:div w:id="1404182705">
          <w:marLeft w:val="562"/>
          <w:marRight w:val="0"/>
          <w:marTop w:val="0"/>
          <w:marBottom w:val="0"/>
          <w:divBdr>
            <w:top w:val="none" w:sz="0" w:space="0" w:color="auto"/>
            <w:left w:val="none" w:sz="0" w:space="0" w:color="auto"/>
            <w:bottom w:val="none" w:sz="0" w:space="0" w:color="auto"/>
            <w:right w:val="none" w:sz="0" w:space="0" w:color="auto"/>
          </w:divBdr>
        </w:div>
        <w:div w:id="1311789848">
          <w:marLeft w:val="562"/>
          <w:marRight w:val="0"/>
          <w:marTop w:val="0"/>
          <w:marBottom w:val="0"/>
          <w:divBdr>
            <w:top w:val="none" w:sz="0" w:space="0" w:color="auto"/>
            <w:left w:val="none" w:sz="0" w:space="0" w:color="auto"/>
            <w:bottom w:val="none" w:sz="0" w:space="0" w:color="auto"/>
            <w:right w:val="none" w:sz="0" w:space="0" w:color="auto"/>
          </w:divBdr>
        </w:div>
        <w:div w:id="1995259766">
          <w:marLeft w:val="562"/>
          <w:marRight w:val="0"/>
          <w:marTop w:val="0"/>
          <w:marBottom w:val="0"/>
          <w:divBdr>
            <w:top w:val="none" w:sz="0" w:space="0" w:color="auto"/>
            <w:left w:val="none" w:sz="0" w:space="0" w:color="auto"/>
            <w:bottom w:val="none" w:sz="0" w:space="0" w:color="auto"/>
            <w:right w:val="none" w:sz="0" w:space="0" w:color="auto"/>
          </w:divBdr>
        </w:div>
      </w:divsChild>
    </w:div>
    <w:div w:id="585917859">
      <w:bodyDiv w:val="1"/>
      <w:marLeft w:val="0"/>
      <w:marRight w:val="0"/>
      <w:marTop w:val="0"/>
      <w:marBottom w:val="0"/>
      <w:divBdr>
        <w:top w:val="none" w:sz="0" w:space="0" w:color="auto"/>
        <w:left w:val="none" w:sz="0" w:space="0" w:color="auto"/>
        <w:bottom w:val="none" w:sz="0" w:space="0" w:color="auto"/>
        <w:right w:val="none" w:sz="0" w:space="0" w:color="auto"/>
      </w:divBdr>
    </w:div>
    <w:div w:id="786855956">
      <w:bodyDiv w:val="1"/>
      <w:marLeft w:val="0"/>
      <w:marRight w:val="0"/>
      <w:marTop w:val="0"/>
      <w:marBottom w:val="0"/>
      <w:divBdr>
        <w:top w:val="none" w:sz="0" w:space="0" w:color="auto"/>
        <w:left w:val="none" w:sz="0" w:space="0" w:color="auto"/>
        <w:bottom w:val="none" w:sz="0" w:space="0" w:color="auto"/>
        <w:right w:val="none" w:sz="0" w:space="0" w:color="auto"/>
      </w:divBdr>
    </w:div>
    <w:div w:id="966474225">
      <w:bodyDiv w:val="1"/>
      <w:marLeft w:val="0"/>
      <w:marRight w:val="0"/>
      <w:marTop w:val="0"/>
      <w:marBottom w:val="0"/>
      <w:divBdr>
        <w:top w:val="none" w:sz="0" w:space="0" w:color="auto"/>
        <w:left w:val="none" w:sz="0" w:space="0" w:color="auto"/>
        <w:bottom w:val="none" w:sz="0" w:space="0" w:color="auto"/>
        <w:right w:val="none" w:sz="0" w:space="0" w:color="auto"/>
      </w:divBdr>
    </w:div>
    <w:div w:id="1108353888">
      <w:bodyDiv w:val="1"/>
      <w:marLeft w:val="0"/>
      <w:marRight w:val="0"/>
      <w:marTop w:val="0"/>
      <w:marBottom w:val="0"/>
      <w:divBdr>
        <w:top w:val="none" w:sz="0" w:space="0" w:color="auto"/>
        <w:left w:val="none" w:sz="0" w:space="0" w:color="auto"/>
        <w:bottom w:val="none" w:sz="0" w:space="0" w:color="auto"/>
        <w:right w:val="none" w:sz="0" w:space="0" w:color="auto"/>
      </w:divBdr>
    </w:div>
    <w:div w:id="1127310373">
      <w:bodyDiv w:val="1"/>
      <w:marLeft w:val="0"/>
      <w:marRight w:val="0"/>
      <w:marTop w:val="0"/>
      <w:marBottom w:val="0"/>
      <w:divBdr>
        <w:top w:val="none" w:sz="0" w:space="0" w:color="auto"/>
        <w:left w:val="none" w:sz="0" w:space="0" w:color="auto"/>
        <w:bottom w:val="none" w:sz="0" w:space="0" w:color="auto"/>
        <w:right w:val="none" w:sz="0" w:space="0" w:color="auto"/>
      </w:divBdr>
    </w:div>
    <w:div w:id="1241140429">
      <w:bodyDiv w:val="1"/>
      <w:marLeft w:val="0"/>
      <w:marRight w:val="0"/>
      <w:marTop w:val="0"/>
      <w:marBottom w:val="0"/>
      <w:divBdr>
        <w:top w:val="none" w:sz="0" w:space="0" w:color="auto"/>
        <w:left w:val="none" w:sz="0" w:space="0" w:color="auto"/>
        <w:bottom w:val="none" w:sz="0" w:space="0" w:color="auto"/>
        <w:right w:val="none" w:sz="0" w:space="0" w:color="auto"/>
      </w:divBdr>
      <w:divsChild>
        <w:div w:id="1582984278">
          <w:marLeft w:val="274"/>
          <w:marRight w:val="0"/>
          <w:marTop w:val="60"/>
          <w:marBottom w:val="120"/>
          <w:divBdr>
            <w:top w:val="none" w:sz="0" w:space="0" w:color="auto"/>
            <w:left w:val="none" w:sz="0" w:space="0" w:color="auto"/>
            <w:bottom w:val="none" w:sz="0" w:space="0" w:color="auto"/>
            <w:right w:val="none" w:sz="0" w:space="0" w:color="auto"/>
          </w:divBdr>
        </w:div>
        <w:div w:id="1164512165">
          <w:marLeft w:val="274"/>
          <w:marRight w:val="0"/>
          <w:marTop w:val="60"/>
          <w:marBottom w:val="120"/>
          <w:divBdr>
            <w:top w:val="none" w:sz="0" w:space="0" w:color="auto"/>
            <w:left w:val="none" w:sz="0" w:space="0" w:color="auto"/>
            <w:bottom w:val="none" w:sz="0" w:space="0" w:color="auto"/>
            <w:right w:val="none" w:sz="0" w:space="0" w:color="auto"/>
          </w:divBdr>
        </w:div>
      </w:divsChild>
    </w:div>
    <w:div w:id="1346830608">
      <w:bodyDiv w:val="1"/>
      <w:marLeft w:val="0"/>
      <w:marRight w:val="0"/>
      <w:marTop w:val="0"/>
      <w:marBottom w:val="0"/>
      <w:divBdr>
        <w:top w:val="none" w:sz="0" w:space="0" w:color="auto"/>
        <w:left w:val="none" w:sz="0" w:space="0" w:color="auto"/>
        <w:bottom w:val="none" w:sz="0" w:space="0" w:color="auto"/>
        <w:right w:val="none" w:sz="0" w:space="0" w:color="auto"/>
      </w:divBdr>
    </w:div>
    <w:div w:id="1469084127">
      <w:bodyDiv w:val="1"/>
      <w:marLeft w:val="0"/>
      <w:marRight w:val="0"/>
      <w:marTop w:val="0"/>
      <w:marBottom w:val="0"/>
      <w:divBdr>
        <w:top w:val="none" w:sz="0" w:space="0" w:color="auto"/>
        <w:left w:val="none" w:sz="0" w:space="0" w:color="auto"/>
        <w:bottom w:val="none" w:sz="0" w:space="0" w:color="auto"/>
        <w:right w:val="none" w:sz="0" w:space="0" w:color="auto"/>
      </w:divBdr>
    </w:div>
    <w:div w:id="1513374402">
      <w:bodyDiv w:val="1"/>
      <w:marLeft w:val="0"/>
      <w:marRight w:val="0"/>
      <w:marTop w:val="0"/>
      <w:marBottom w:val="0"/>
      <w:divBdr>
        <w:top w:val="none" w:sz="0" w:space="0" w:color="auto"/>
        <w:left w:val="none" w:sz="0" w:space="0" w:color="auto"/>
        <w:bottom w:val="none" w:sz="0" w:space="0" w:color="auto"/>
        <w:right w:val="none" w:sz="0" w:space="0" w:color="auto"/>
      </w:divBdr>
    </w:div>
    <w:div w:id="1708990622">
      <w:bodyDiv w:val="1"/>
      <w:marLeft w:val="0"/>
      <w:marRight w:val="0"/>
      <w:marTop w:val="0"/>
      <w:marBottom w:val="0"/>
      <w:divBdr>
        <w:top w:val="none" w:sz="0" w:space="0" w:color="auto"/>
        <w:left w:val="none" w:sz="0" w:space="0" w:color="auto"/>
        <w:bottom w:val="none" w:sz="0" w:space="0" w:color="auto"/>
        <w:right w:val="none" w:sz="0" w:space="0" w:color="auto"/>
      </w:divBdr>
      <w:divsChild>
        <w:div w:id="986591248">
          <w:marLeft w:val="0"/>
          <w:marRight w:val="0"/>
          <w:marTop w:val="0"/>
          <w:marBottom w:val="0"/>
          <w:divBdr>
            <w:top w:val="none" w:sz="0" w:space="0" w:color="auto"/>
            <w:left w:val="none" w:sz="0" w:space="0" w:color="auto"/>
            <w:bottom w:val="none" w:sz="0" w:space="0" w:color="auto"/>
            <w:right w:val="none" w:sz="0" w:space="0" w:color="auto"/>
          </w:divBdr>
          <w:divsChild>
            <w:div w:id="1172724320">
              <w:marLeft w:val="0"/>
              <w:marRight w:val="0"/>
              <w:marTop w:val="0"/>
              <w:marBottom w:val="0"/>
              <w:divBdr>
                <w:top w:val="single" w:sz="6" w:space="0" w:color="666666"/>
                <w:left w:val="single" w:sz="6" w:space="0" w:color="666666"/>
                <w:bottom w:val="single" w:sz="48" w:space="0" w:color="000000"/>
                <w:right w:val="single" w:sz="6" w:space="0" w:color="666666"/>
              </w:divBdr>
              <w:divsChild>
                <w:div w:id="1874033384">
                  <w:marLeft w:val="0"/>
                  <w:marRight w:val="0"/>
                  <w:marTop w:val="0"/>
                  <w:marBottom w:val="0"/>
                  <w:divBdr>
                    <w:top w:val="none" w:sz="0" w:space="0" w:color="auto"/>
                    <w:left w:val="none" w:sz="0" w:space="0" w:color="auto"/>
                    <w:bottom w:val="none" w:sz="0" w:space="0" w:color="auto"/>
                    <w:right w:val="none" w:sz="0" w:space="0" w:color="auto"/>
                  </w:divBdr>
                  <w:divsChild>
                    <w:div w:id="290744654">
                      <w:marLeft w:val="150"/>
                      <w:marRight w:val="0"/>
                      <w:marTop w:val="150"/>
                      <w:marBottom w:val="0"/>
                      <w:divBdr>
                        <w:top w:val="none" w:sz="0" w:space="0" w:color="auto"/>
                        <w:left w:val="none" w:sz="0" w:space="0" w:color="auto"/>
                        <w:bottom w:val="none" w:sz="0" w:space="0" w:color="auto"/>
                        <w:right w:val="none" w:sz="0" w:space="0" w:color="auto"/>
                      </w:divBdr>
                      <w:divsChild>
                        <w:div w:id="1945720995">
                          <w:marLeft w:val="0"/>
                          <w:marRight w:val="0"/>
                          <w:marTop w:val="0"/>
                          <w:marBottom w:val="0"/>
                          <w:divBdr>
                            <w:top w:val="none" w:sz="0" w:space="0" w:color="auto"/>
                            <w:left w:val="none" w:sz="0" w:space="0" w:color="auto"/>
                            <w:bottom w:val="none" w:sz="0" w:space="0" w:color="auto"/>
                            <w:right w:val="none" w:sz="0" w:space="0" w:color="auto"/>
                          </w:divBdr>
                          <w:divsChild>
                            <w:div w:id="572086575">
                              <w:marLeft w:val="0"/>
                              <w:marRight w:val="0"/>
                              <w:marTop w:val="0"/>
                              <w:marBottom w:val="0"/>
                              <w:divBdr>
                                <w:top w:val="none" w:sz="0" w:space="0" w:color="auto"/>
                                <w:left w:val="none" w:sz="0" w:space="0" w:color="auto"/>
                                <w:bottom w:val="none" w:sz="0" w:space="0" w:color="auto"/>
                                <w:right w:val="none" w:sz="0" w:space="0" w:color="auto"/>
                              </w:divBdr>
                              <w:divsChild>
                                <w:div w:id="143010660">
                                  <w:marLeft w:val="0"/>
                                  <w:marRight w:val="0"/>
                                  <w:marTop w:val="0"/>
                                  <w:marBottom w:val="0"/>
                                  <w:divBdr>
                                    <w:top w:val="none" w:sz="0" w:space="0" w:color="auto"/>
                                    <w:left w:val="none" w:sz="0" w:space="0" w:color="auto"/>
                                    <w:bottom w:val="none" w:sz="0" w:space="0" w:color="auto"/>
                                    <w:right w:val="none" w:sz="0" w:space="0" w:color="auto"/>
                                  </w:divBdr>
                                  <w:divsChild>
                                    <w:div w:id="499203016">
                                      <w:marLeft w:val="0"/>
                                      <w:marRight w:val="0"/>
                                      <w:marTop w:val="0"/>
                                      <w:marBottom w:val="0"/>
                                      <w:divBdr>
                                        <w:top w:val="none" w:sz="0" w:space="0" w:color="auto"/>
                                        <w:left w:val="none" w:sz="0" w:space="0" w:color="auto"/>
                                        <w:bottom w:val="none" w:sz="0" w:space="0" w:color="auto"/>
                                        <w:right w:val="none" w:sz="0" w:space="0" w:color="auto"/>
                                      </w:divBdr>
                                      <w:divsChild>
                                        <w:div w:id="485636354">
                                          <w:marLeft w:val="0"/>
                                          <w:marRight w:val="0"/>
                                          <w:marTop w:val="0"/>
                                          <w:marBottom w:val="0"/>
                                          <w:divBdr>
                                            <w:top w:val="none" w:sz="0" w:space="0" w:color="auto"/>
                                            <w:left w:val="none" w:sz="0" w:space="0" w:color="auto"/>
                                            <w:bottom w:val="none" w:sz="0" w:space="0" w:color="auto"/>
                                            <w:right w:val="none" w:sz="0" w:space="0" w:color="auto"/>
                                          </w:divBdr>
                                          <w:divsChild>
                                            <w:div w:id="200362086">
                                              <w:marLeft w:val="0"/>
                                              <w:marRight w:val="0"/>
                                              <w:marTop w:val="0"/>
                                              <w:marBottom w:val="0"/>
                                              <w:divBdr>
                                                <w:top w:val="none" w:sz="0" w:space="0" w:color="auto"/>
                                                <w:left w:val="none" w:sz="0" w:space="0" w:color="auto"/>
                                                <w:bottom w:val="none" w:sz="0" w:space="0" w:color="auto"/>
                                                <w:right w:val="none" w:sz="0" w:space="0" w:color="auto"/>
                                              </w:divBdr>
                                              <w:divsChild>
                                                <w:div w:id="213976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520415">
      <w:bodyDiv w:val="1"/>
      <w:marLeft w:val="0"/>
      <w:marRight w:val="0"/>
      <w:marTop w:val="0"/>
      <w:marBottom w:val="0"/>
      <w:divBdr>
        <w:top w:val="none" w:sz="0" w:space="0" w:color="auto"/>
        <w:left w:val="none" w:sz="0" w:space="0" w:color="auto"/>
        <w:bottom w:val="none" w:sz="0" w:space="0" w:color="auto"/>
        <w:right w:val="none" w:sz="0" w:space="0" w:color="auto"/>
      </w:divBdr>
    </w:div>
    <w:div w:id="1763643441">
      <w:bodyDiv w:val="1"/>
      <w:marLeft w:val="0"/>
      <w:marRight w:val="0"/>
      <w:marTop w:val="0"/>
      <w:marBottom w:val="0"/>
      <w:divBdr>
        <w:top w:val="none" w:sz="0" w:space="0" w:color="auto"/>
        <w:left w:val="none" w:sz="0" w:space="0" w:color="auto"/>
        <w:bottom w:val="none" w:sz="0" w:space="0" w:color="auto"/>
        <w:right w:val="none" w:sz="0" w:space="0" w:color="auto"/>
      </w:divBdr>
    </w:div>
    <w:div w:id="1828671449">
      <w:bodyDiv w:val="1"/>
      <w:marLeft w:val="0"/>
      <w:marRight w:val="0"/>
      <w:marTop w:val="0"/>
      <w:marBottom w:val="0"/>
      <w:divBdr>
        <w:top w:val="none" w:sz="0" w:space="0" w:color="auto"/>
        <w:left w:val="none" w:sz="0" w:space="0" w:color="auto"/>
        <w:bottom w:val="none" w:sz="0" w:space="0" w:color="auto"/>
        <w:right w:val="none" w:sz="0" w:space="0" w:color="auto"/>
      </w:divBdr>
    </w:div>
    <w:div w:id="2022466041">
      <w:bodyDiv w:val="1"/>
      <w:marLeft w:val="0"/>
      <w:marRight w:val="0"/>
      <w:marTop w:val="0"/>
      <w:marBottom w:val="0"/>
      <w:divBdr>
        <w:top w:val="none" w:sz="0" w:space="0" w:color="auto"/>
        <w:left w:val="none" w:sz="0" w:space="0" w:color="auto"/>
        <w:bottom w:val="none" w:sz="0" w:space="0" w:color="auto"/>
        <w:right w:val="none" w:sz="0" w:space="0" w:color="auto"/>
      </w:divBdr>
    </w:div>
    <w:div w:id="2032411996">
      <w:bodyDiv w:val="1"/>
      <w:marLeft w:val="0"/>
      <w:marRight w:val="0"/>
      <w:marTop w:val="0"/>
      <w:marBottom w:val="0"/>
      <w:divBdr>
        <w:top w:val="none" w:sz="0" w:space="0" w:color="auto"/>
        <w:left w:val="none" w:sz="0" w:space="0" w:color="auto"/>
        <w:bottom w:val="none" w:sz="0" w:space="0" w:color="auto"/>
        <w:right w:val="none" w:sz="0" w:space="0" w:color="auto"/>
      </w:divBdr>
    </w:div>
    <w:div w:id="205450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cceew.gov.au/water/policy/water-recovery/government-water-purchasing/voluntary-restoring-our-riv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dba.gov.au/publications-and-data/data-and-dashboards/river-murray-weekly-reports-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aff.ent.sirsidynix.net.au/client/en_AU/search/asset/1035603/0" TargetMode="External"/></Relationships>
</file>

<file path=word/theme/theme1.xml><?xml version="1.0" encoding="utf-8"?>
<a:theme xmlns:a="http://schemas.openxmlformats.org/drawingml/2006/main" name="Office Theme">
  <a:themeElements>
    <a:clrScheme name="IGWC">
      <a:dk1>
        <a:srgbClr val="4C6968"/>
      </a:dk1>
      <a:lt1>
        <a:srgbClr val="BCD8E3"/>
      </a:lt1>
      <a:dk2>
        <a:srgbClr val="48555E"/>
      </a:dk2>
      <a:lt2>
        <a:srgbClr val="E7E6E6"/>
      </a:lt2>
      <a:accent1>
        <a:srgbClr val="4C6968"/>
      </a:accent1>
      <a:accent2>
        <a:srgbClr val="48545E"/>
      </a:accent2>
      <a:accent3>
        <a:srgbClr val="BCD7E2"/>
      </a:accent3>
      <a:accent4>
        <a:srgbClr val="6E8C81"/>
      </a:accent4>
      <a:accent5>
        <a:srgbClr val="F0C88A"/>
      </a:accent5>
      <a:accent6>
        <a:srgbClr val="CE9282"/>
      </a:accent6>
      <a:hlink>
        <a:srgbClr val="48545E"/>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6" ma:contentTypeDescription="Create a new document." ma:contentTypeScope="" ma:versionID="5cab47ba510042f66e4e6105773c576c">
  <xsd:schema xmlns:xsd="http://www.w3.org/2001/XMLSchema" xmlns:xs="http://www.w3.org/2001/XMLSchema" xmlns:p="http://schemas.microsoft.com/office/2006/metadata/properties" xmlns:ns1="http://schemas.microsoft.com/sharepoint/v3" xmlns:ns2="b98728ac-f998-415c-abee-6b046fb1441e" xmlns:ns3="d869c146-c82e-4435-92e4-da91542262fd" xmlns:ns4="d81c2681-db7b-4a56-9abd-a3238a78f6b2" xmlns:ns5="e8238601-ce47-4778-85d0-8b1d6564965a" targetNamespace="http://schemas.microsoft.com/office/2006/metadata/properties" ma:root="true" ma:fieldsID="05779f2c1940ef4c36aac48e5e2abca0" ns1:_="" ns2:_="" ns3:_="" ns4:_="" ns5:_="">
    <xsd:import namespace="http://schemas.microsoft.com/sharepoint/v3"/>
    <xsd:import namespace="b98728ac-f998-415c-abee-6b046fb1441e"/>
    <xsd:import namespace="d869c146-c82e-4435-92e4-da91542262fd"/>
    <xsd:import namespace="d81c2681-db7b-4a56-9abd-a3238a78f6b2"/>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1c2681-db7b-4a56-9abd-a3238a78f6b2"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ff4dd4-e1ac-40df-be8e-b1e036f80c8e}" ma:internalName="TaxCatchAll" ma:showField="CatchAllData" ma:web="a95247a4-6a6b-40fb-87b6-0fb2f012c5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8238601-ce47-4778-85d0-8b1d6564965a" xsi:nil="true"/>
    <lcf76f155ced4ddcb4097134ff3c332f xmlns="d81c2681-db7b-4a56-9abd-a3238a78f6b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D15FE2E-5F63-4361-8CE6-31F09F72973C}"/>
</file>

<file path=customXml/itemProps2.xml><?xml version="1.0" encoding="utf-8"?>
<ds:datastoreItem xmlns:ds="http://schemas.openxmlformats.org/officeDocument/2006/customXml" ds:itemID="{22001DFF-CBB2-4699-90B2-2657DCB9CC34}">
  <ds:schemaRefs>
    <ds:schemaRef ds:uri="http://schemas.microsoft.com/sharepoint/v3/contenttype/forms"/>
  </ds:schemaRefs>
</ds:datastoreItem>
</file>

<file path=customXml/itemProps3.xml><?xml version="1.0" encoding="utf-8"?>
<ds:datastoreItem xmlns:ds="http://schemas.openxmlformats.org/officeDocument/2006/customXml" ds:itemID="{7B4B6188-EC08-4402-90C4-612BEF1869EE}">
  <ds:schemaRefs>
    <ds:schemaRef ds:uri="http://purl.org/dc/elements/1.1/"/>
    <ds:schemaRef ds:uri="f4d76bd7-4fe2-47c1-b726-df5f65aaa148"/>
    <ds:schemaRef ds:uri="http://schemas.microsoft.com/office/2006/documentManagement/types"/>
    <ds:schemaRef ds:uri="http://purl.org/dc/terms/"/>
    <ds:schemaRef ds:uri="http://www.w3.org/XML/1998/namespace"/>
    <ds:schemaRef ds:uri="http://schemas.microsoft.com/office/infopath/2007/PartnerControls"/>
    <ds:schemaRef ds:uri="fb14b56f-8d31-4550-9b68-08d80d6555de"/>
    <ds:schemaRef ds:uri="4d0b755e-1b55-4433-9d97-aceefcb0b8cf"/>
    <ds:schemaRef ds:uri="http://schemas.openxmlformats.org/package/2006/metadata/core-properties"/>
    <ds:schemaRef ds:uri="e8238601-ce47-4778-85d0-8b1d6564965a"/>
    <ds:schemaRef ds:uri="http://schemas.microsoft.com/office/2006/metadata/properties"/>
    <ds:schemaRef ds:uri="http://purl.org/dc/dcmitype/"/>
  </ds:schemaRefs>
</ds:datastoreItem>
</file>

<file path=docMetadata/LabelInfo.xml><?xml version="1.0" encoding="utf-8"?>
<clbl:labelList xmlns:clbl="http://schemas.microsoft.com/office/2020/mipLabelMetadata">
  <clbl:label id="{93a64bb5-f182-4e4d-a085-f03dc1365c6f}"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21</TotalTime>
  <Pages>7</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Murray–Darling Basin community perceptions research 2023 Project overview and research methodology</vt:lpstr>
    </vt:vector>
  </TitlesOfParts>
  <Manager/>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Murray–Darling Basin community perceptions research 2024 Project overview and research methodology</dc:title>
  <dc:subject/>
  <dc:creator>Rychevska, Ivanna</dc:creator>
  <cp:keywords/>
  <dc:description/>
  <cp:lastModifiedBy>Maggie WELFARE</cp:lastModifiedBy>
  <cp:revision>5</cp:revision>
  <cp:lastPrinted>2021-12-15T06:45:00Z</cp:lastPrinted>
  <dcterms:created xsi:type="dcterms:W3CDTF">2025-06-29T23:35:00Z</dcterms:created>
  <dcterms:modified xsi:type="dcterms:W3CDTF">2025-11-13T23:31:00Z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MediaServiceImageTags">
    <vt:lpwstr/>
  </property>
  <property fmtid="{D5CDD505-2E9C-101B-9397-08002B2CF9AE}" pid="4" name="MSIP_Label_255a2228-21e6-4321-8159-2aecc625ba09_Enabled">
    <vt:lpwstr>true</vt:lpwstr>
  </property>
  <property fmtid="{D5CDD505-2E9C-101B-9397-08002B2CF9AE}" pid="5" name="MSIP_Label_255a2228-21e6-4321-8159-2aecc625ba09_SetDate">
    <vt:lpwstr>2025-05-21T01:53:18Z</vt:lpwstr>
  </property>
  <property fmtid="{D5CDD505-2E9C-101B-9397-08002B2CF9AE}" pid="6" name="MSIP_Label_255a2228-21e6-4321-8159-2aecc625ba09_Method">
    <vt:lpwstr>Standard</vt:lpwstr>
  </property>
  <property fmtid="{D5CDD505-2E9C-101B-9397-08002B2CF9AE}" pid="7" name="MSIP_Label_255a2228-21e6-4321-8159-2aecc625ba09_Name">
    <vt:lpwstr>CONFIDENTIAL_0</vt:lpwstr>
  </property>
  <property fmtid="{D5CDD505-2E9C-101B-9397-08002B2CF9AE}" pid="8" name="MSIP_Label_255a2228-21e6-4321-8159-2aecc625ba09_SiteId">
    <vt:lpwstr>d42cc95a-d436-45e3-bfe6-1192d0ece130</vt:lpwstr>
  </property>
  <property fmtid="{D5CDD505-2E9C-101B-9397-08002B2CF9AE}" pid="9" name="MSIP_Label_255a2228-21e6-4321-8159-2aecc625ba09_ActionId">
    <vt:lpwstr>edb7afec-1be1-470e-ba04-b52e4561e5d6</vt:lpwstr>
  </property>
  <property fmtid="{D5CDD505-2E9C-101B-9397-08002B2CF9AE}" pid="10" name="MSIP_Label_255a2228-21e6-4321-8159-2aecc625ba09_ContentBits">
    <vt:lpwstr>0</vt:lpwstr>
  </property>
  <property fmtid="{D5CDD505-2E9C-101B-9397-08002B2CF9AE}" pid="11" name="MSIP_Label_255a2228-21e6-4321-8159-2aecc625ba09_Tag">
    <vt:lpwstr>10, 3, 0, 2</vt:lpwstr>
  </property>
  <property fmtid="{D5CDD505-2E9C-101B-9397-08002B2CF9AE}" pid="12" name="Record_x0020_Classification">
    <vt:lpwstr/>
  </property>
  <property fmtid="{D5CDD505-2E9C-101B-9397-08002B2CF9AE}" pid="13" name="h64465b6520a47a58f1168c7a3f04764">
    <vt:lpwstr/>
  </property>
  <property fmtid="{D5CDD505-2E9C-101B-9397-08002B2CF9AE}" pid="14" name="Record Classification">
    <vt:lpwstr/>
  </property>
</Properties>
</file>